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6E4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C6E44" w:rsidRDefault="00205869" w:rsidP="0010095E">
            <w:pPr>
              <w:pStyle w:val="EPName"/>
            </w:pPr>
            <w:r w:rsidRPr="00CC6E44">
              <w:t>Europski parlament</w:t>
            </w:r>
          </w:p>
          <w:p w:rsidR="00751A4A" w:rsidRPr="00CC6E4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6E44">
              <w:t>2024</w:t>
            </w:r>
            <w:r w:rsidR="00817416" w:rsidRPr="00CC6E44">
              <w:t>-202</w:t>
            </w:r>
            <w:r w:rsidRPr="00CC6E4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C6E44" w:rsidRDefault="00187494" w:rsidP="0010095E">
            <w:pPr>
              <w:pStyle w:val="EPLogo"/>
            </w:pPr>
            <w:r w:rsidRPr="00CC6E4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C6E44" w:rsidRDefault="00D058B8" w:rsidP="004C5D52">
      <w:pPr>
        <w:pStyle w:val="LineTop"/>
      </w:pPr>
    </w:p>
    <w:p w:rsidR="00680577" w:rsidRPr="00CC6E44" w:rsidRDefault="00205869" w:rsidP="00680577">
      <w:pPr>
        <w:pStyle w:val="EPBodyTA1"/>
      </w:pPr>
      <w:r w:rsidRPr="00CC6E44">
        <w:t>USVOJENI TEKSTOVI</w:t>
      </w:r>
    </w:p>
    <w:p w:rsidR="00D058B8" w:rsidRPr="00CC6E44" w:rsidRDefault="00D058B8" w:rsidP="00D058B8">
      <w:pPr>
        <w:pStyle w:val="LineBottom"/>
      </w:pPr>
    </w:p>
    <w:p w:rsidR="00205869" w:rsidRPr="00CC6E44" w:rsidRDefault="00205869" w:rsidP="00205869">
      <w:pPr>
        <w:pStyle w:val="ATHeading1"/>
      </w:pPr>
      <w:bookmarkStart w:id="0" w:name="TANumber"/>
      <w:r w:rsidRPr="00CC6E44">
        <w:t>P10_TA(2025)0</w:t>
      </w:r>
      <w:r w:rsidR="00F810F3" w:rsidRPr="00CC6E44">
        <w:t>105</w:t>
      </w:r>
      <w:bookmarkEnd w:id="0"/>
    </w:p>
    <w:p w:rsidR="00205869" w:rsidRPr="00CC6E44" w:rsidRDefault="00205869" w:rsidP="00205869">
      <w:pPr>
        <w:pStyle w:val="ATHeading2"/>
      </w:pPr>
      <w:bookmarkStart w:id="1" w:name="title"/>
      <w:r w:rsidRPr="00CC6E44">
        <w:t>Bankovna unija – godišnje izvješće za 2024.</w:t>
      </w:r>
      <w:bookmarkEnd w:id="1"/>
    </w:p>
    <w:p w:rsidR="00205869" w:rsidRPr="00CC6E44" w:rsidRDefault="00205869" w:rsidP="00205869">
      <w:pPr>
        <w:rPr>
          <w:i/>
          <w:vanish/>
        </w:rPr>
      </w:pPr>
      <w:r w:rsidRPr="00CC6E44">
        <w:rPr>
          <w:i/>
        </w:rPr>
        <w:fldChar w:fldCharType="begin"/>
      </w:r>
      <w:r w:rsidRPr="00CC6E44">
        <w:rPr>
          <w:i/>
        </w:rPr>
        <w:instrText xml:space="preserve"> TC"(</w:instrText>
      </w:r>
      <w:bookmarkStart w:id="2" w:name="DocNumber"/>
      <w:r w:rsidRPr="00CC6E44">
        <w:rPr>
          <w:i/>
        </w:rPr>
        <w:instrText>A10-0044/2025</w:instrText>
      </w:r>
      <w:bookmarkEnd w:id="2"/>
      <w:r w:rsidRPr="00CC6E44">
        <w:rPr>
          <w:i/>
        </w:rPr>
        <w:instrText xml:space="preserve"> - Izvjestitelj: Ralf Seekatz)"\l3 \n&gt; \* MERGEFORMAT </w:instrText>
      </w:r>
      <w:r w:rsidRPr="00CC6E44">
        <w:rPr>
          <w:i/>
        </w:rPr>
        <w:fldChar w:fldCharType="end"/>
      </w:r>
    </w:p>
    <w:p w:rsidR="00205869" w:rsidRPr="00CC6E44" w:rsidRDefault="00205869" w:rsidP="00205869">
      <w:pPr>
        <w:rPr>
          <w:vanish/>
        </w:rPr>
      </w:pPr>
      <w:bookmarkStart w:id="3" w:name="Commission"/>
      <w:r w:rsidRPr="00CC6E44">
        <w:rPr>
          <w:vanish/>
        </w:rPr>
        <w:t>Odbor za ekonomsku i monetarnu politiku</w:t>
      </w:r>
      <w:bookmarkEnd w:id="3"/>
    </w:p>
    <w:p w:rsidR="00205869" w:rsidRPr="00CC6E44" w:rsidRDefault="00205869" w:rsidP="00205869">
      <w:pPr>
        <w:rPr>
          <w:vanish/>
        </w:rPr>
      </w:pPr>
      <w:bookmarkStart w:id="4" w:name="PE"/>
      <w:r w:rsidRPr="00CC6E44">
        <w:rPr>
          <w:vanish/>
        </w:rPr>
        <w:t>PE765.133</w:t>
      </w:r>
      <w:bookmarkEnd w:id="4"/>
    </w:p>
    <w:p w:rsidR="00205869" w:rsidRPr="00CC6E44" w:rsidRDefault="00205869" w:rsidP="00205869">
      <w:pPr>
        <w:pStyle w:val="ATHeading3"/>
      </w:pPr>
      <w:bookmarkStart w:id="5" w:name="Sujet"/>
      <w:r w:rsidRPr="00CC6E44">
        <w:t>Rezolu</w:t>
      </w:r>
      <w:r w:rsidR="006507A9" w:rsidRPr="00CC6E44">
        <w:t xml:space="preserve">cija Europskog parlamenta od </w:t>
      </w:r>
      <w:r w:rsidR="00E27D39" w:rsidRPr="00CC6E44">
        <w:t>8</w:t>
      </w:r>
      <w:r w:rsidRPr="00CC6E44">
        <w:t xml:space="preserve">. </w:t>
      </w:r>
      <w:r w:rsidR="006507A9" w:rsidRPr="00CC6E44">
        <w:t xml:space="preserve">svibnja </w:t>
      </w:r>
      <w:r w:rsidRPr="00CC6E44">
        <w:t>2025. o bankovnoj uniji – godišnje izvješće za 2024.</w:t>
      </w:r>
      <w:bookmarkEnd w:id="5"/>
      <w:r w:rsidRPr="00CC6E44">
        <w:t xml:space="preserve"> </w:t>
      </w:r>
      <w:bookmarkStart w:id="6" w:name="References"/>
      <w:r w:rsidRPr="00CC6E44">
        <w:t>(2024/2055(INI))</w:t>
      </w:r>
      <w:bookmarkEnd w:id="6"/>
    </w:p>
    <w:p w:rsidR="00590CCF" w:rsidRPr="00CC6E44" w:rsidRDefault="00590CCF" w:rsidP="00590CCF">
      <w:pPr>
        <w:pStyle w:val="EPComma"/>
      </w:pPr>
      <w:r w:rsidRPr="00CC6E44">
        <w:rPr>
          <w:rStyle w:val="Italic"/>
        </w:rPr>
        <w:t>Europski parlament</w:t>
      </w:r>
      <w:r w:rsidRPr="00CC6E44">
        <w:t>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svoju Rezoluciju od 16. siječnja 2024. o bankovnoj uniji – godišnje izvješće za 2023.</w:t>
      </w:r>
      <w:r w:rsidRPr="00CC6E44">
        <w:rPr>
          <w:rStyle w:val="FootnoteReference"/>
        </w:rPr>
        <w:footnoteReference w:id="1"/>
      </w:r>
      <w:r w:rsidRPr="00CC6E44">
        <w:t>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mjere koje je Komisija poduzela na temelju Rezolucije Parlamenta od 16. siječnja 2024. o bankovnoj uniji – godišnje izvješće za 2023.,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dokument koji je Europska središnja banka (ESB) objavila 25. ožujka 2024. naslovljen „</w:t>
      </w:r>
      <w:proofErr w:type="spellStart"/>
      <w:r w:rsidRPr="00CC6E44">
        <w:t>Feedback</w:t>
      </w:r>
      <w:proofErr w:type="spellEnd"/>
      <w:r w:rsidRPr="00CC6E44">
        <w:t xml:space="preserve"> on </w:t>
      </w:r>
      <w:proofErr w:type="spellStart"/>
      <w:r w:rsidRPr="00CC6E44">
        <w:t>the</w:t>
      </w:r>
      <w:proofErr w:type="spellEnd"/>
      <w:r w:rsidRPr="00CC6E44">
        <w:t xml:space="preserve"> input </w:t>
      </w:r>
      <w:proofErr w:type="spellStart"/>
      <w:r w:rsidRPr="00CC6E44">
        <w:t>provided</w:t>
      </w:r>
      <w:proofErr w:type="spellEnd"/>
      <w:r w:rsidRPr="00CC6E44">
        <w:t xml:space="preserve"> </w:t>
      </w:r>
      <w:proofErr w:type="spellStart"/>
      <w:r w:rsidRPr="00CC6E44">
        <w:t>by</w:t>
      </w:r>
      <w:proofErr w:type="spellEnd"/>
      <w:r w:rsidRPr="00CC6E44">
        <w:t xml:space="preserve"> </w:t>
      </w:r>
      <w:proofErr w:type="spellStart"/>
      <w:r w:rsidRPr="00CC6E44">
        <w:t>the</w:t>
      </w:r>
      <w:proofErr w:type="spellEnd"/>
      <w:r w:rsidRPr="00CC6E44">
        <w:t xml:space="preserve"> European </w:t>
      </w:r>
      <w:proofErr w:type="spellStart"/>
      <w:r w:rsidRPr="00CC6E44">
        <w:t>Parliament</w:t>
      </w:r>
      <w:proofErr w:type="spellEnd"/>
      <w:r w:rsidRPr="00CC6E44">
        <w:t xml:space="preserve"> as </w:t>
      </w:r>
      <w:proofErr w:type="spellStart"/>
      <w:r w:rsidRPr="00CC6E44">
        <w:t>part</w:t>
      </w:r>
      <w:proofErr w:type="spellEnd"/>
      <w:r w:rsidRPr="00CC6E44">
        <w:t xml:space="preserve"> </w:t>
      </w:r>
      <w:proofErr w:type="spellStart"/>
      <w:r w:rsidRPr="00CC6E44">
        <w:t>of</w:t>
      </w:r>
      <w:proofErr w:type="spellEnd"/>
      <w:r w:rsidRPr="00CC6E44">
        <w:t xml:space="preserve"> </w:t>
      </w:r>
      <w:proofErr w:type="spellStart"/>
      <w:r w:rsidRPr="00CC6E44">
        <w:t>its</w:t>
      </w:r>
      <w:proofErr w:type="spellEnd"/>
      <w:r w:rsidRPr="00CC6E44">
        <w:t xml:space="preserve"> </w:t>
      </w:r>
      <w:proofErr w:type="spellStart"/>
      <w:r w:rsidRPr="00CC6E44">
        <w:t>resolution</w:t>
      </w:r>
      <w:proofErr w:type="spellEnd"/>
      <w:r w:rsidRPr="00CC6E44">
        <w:t xml:space="preserve"> on Banking Union 2023” (Povratne informacije o doprinosu Europskog parlamenta u sklopu njegove Rezolucije o bankovnoj uniji – izvješće za 2023.),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Godišnje izvješće Europske središnje banke o nadzornim aktivnostima za 2023., objavljeno u ožujku 2024.,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Godišnje izvješće Jedinstvenog sanacijskog odbora za 2023., objavljeno 28. lipnja 2024.,</w:t>
      </w:r>
    </w:p>
    <w:p w:rsidR="00590CCF" w:rsidRPr="00CC6E44" w:rsidRDefault="00590CCF" w:rsidP="00590CCF">
      <w:pPr>
        <w:pStyle w:val="NormalHanging12a"/>
      </w:pPr>
      <w:r w:rsidRPr="00CC6E44">
        <w:lastRenderedPageBreak/>
        <w:t>–</w:t>
      </w:r>
      <w:r w:rsidRPr="00CC6E44">
        <w:tab/>
        <w:t>uzimajući u obzir donošenje Direktive o sprečavanju pranja novca</w:t>
      </w:r>
      <w:r w:rsidRPr="00CC6E44">
        <w:rPr>
          <w:rStyle w:val="FootnoteReference"/>
        </w:rPr>
        <w:footnoteReference w:id="2"/>
      </w:r>
      <w:r w:rsidRPr="00CC6E44">
        <w:t xml:space="preserve"> i Uredbe o sprečavanju pranja novca</w:t>
      </w:r>
      <w:r w:rsidRPr="00CC6E44">
        <w:rPr>
          <w:rStyle w:val="FootnoteReference"/>
        </w:rPr>
        <w:footnoteReference w:id="3"/>
      </w:r>
      <w:r w:rsidRPr="00CC6E44">
        <w:t xml:space="preserve"> te osnivanje Tijela za sprečavanje pranja novca</w:t>
      </w:r>
      <w:r w:rsidRPr="00CC6E44">
        <w:rPr>
          <w:rStyle w:val="FootnoteReference"/>
        </w:rPr>
        <w:footnoteReference w:id="4"/>
      </w:r>
      <w:r w:rsidRPr="00CC6E44">
        <w:t>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 xml:space="preserve">uzimajući u obzir provedbu standarda </w:t>
      </w:r>
      <w:proofErr w:type="spellStart"/>
      <w:r w:rsidRPr="00CC6E44">
        <w:t>Basel</w:t>
      </w:r>
      <w:proofErr w:type="spellEnd"/>
      <w:r w:rsidRPr="00CC6E44">
        <w:t> III, odnosno donošenje izmjena Direktive o kapitalnim zahtjevima</w:t>
      </w:r>
      <w:r w:rsidRPr="00CC6E44">
        <w:rPr>
          <w:rStyle w:val="FootnoteReference"/>
        </w:rPr>
        <w:footnoteReference w:id="5"/>
      </w:r>
      <w:r w:rsidRPr="00CC6E44">
        <w:t xml:space="preserve"> i Uredbe o kapitalnim zahtjevima</w:t>
      </w:r>
      <w:r w:rsidRPr="00CC6E44">
        <w:rPr>
          <w:rStyle w:val="FootnoteReference"/>
        </w:rPr>
        <w:footnoteReference w:id="6"/>
      </w:r>
      <w:r w:rsidRPr="00CC6E44">
        <w:t>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donošenje Delegirane uredbe Komisije (EU) 2024/2795 od 24. srpnja 2024. o izmjeni Uredbe (EU) br. 575/2013 Europskog parlamenta i Vijeća u pogledu datuma primjene kapitalnih zahtjeva za tržišni rizik</w:t>
      </w:r>
      <w:r w:rsidRPr="00CC6E44">
        <w:rPr>
          <w:rStyle w:val="FootnoteReference"/>
        </w:rPr>
        <w:footnoteReference w:id="7"/>
      </w:r>
      <w:r w:rsidRPr="00CC6E44">
        <w:t>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svoje stajalište u prvom čitanju od 24. travnja</w:t>
      </w:r>
      <w:r w:rsidR="009734B5">
        <w:t> </w:t>
      </w:r>
      <w:r w:rsidRPr="00CC6E44">
        <w:t>2024. o Prijedlogu uredbe Europskog parlamenta i Vijeća o izmjeni Uredbe (EU) br. 806/2014 u pogledu mjera rane intervencije, uvjeta za sanaciju i financiranja sanacijskih mjera</w:t>
      </w:r>
      <w:r w:rsidRPr="00CC6E44">
        <w:rPr>
          <w:rStyle w:val="FootnoteReference"/>
        </w:rPr>
        <w:footnoteReference w:id="8"/>
      </w:r>
      <w:r w:rsidRPr="00CC6E44">
        <w:t>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svoje stajalište u prvom čitanju od 24. travnja 2024. o Prijedlogu direktive Europskog parlamenta i Vijeća o izmjeni Direktive 2014/59/EU u pogledu mjera rane intervencije, uvjeta za sanaciju i financiranja mjera sanacije</w:t>
      </w:r>
      <w:r w:rsidRPr="00CC6E44">
        <w:rPr>
          <w:rStyle w:val="FootnoteReference"/>
        </w:rPr>
        <w:footnoteReference w:id="9"/>
      </w:r>
      <w:r w:rsidRPr="00CC6E44">
        <w:t>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svoje stajalište u prvom čitanju od 24. travnja 2024. o Prijedlogu direktive Europskog parlamenta i Vijeća o izmjeni Direktive 2014/49/EU u pogledu opsega zaštite depozita, korištenja sredstava sustava osiguranja depozita, prekogranične suradnje i transparentnosti</w:t>
      </w:r>
      <w:r w:rsidRPr="00CC6E44">
        <w:rPr>
          <w:rStyle w:val="FootnoteReference"/>
        </w:rPr>
        <w:footnoteReference w:id="10"/>
      </w:r>
      <w:r w:rsidRPr="00CC6E44">
        <w:t>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izvješće svojeg Odbora za ekonomsku i monetarnu politiku od 23. travnja 2024. o Prijedlogu Uredbe Europskog parlamenta i Vijeća o izmjeni Direktive (EU) 806/2014 radi uspostave Europskog sustava osiguranja depozita,</w:t>
      </w:r>
    </w:p>
    <w:p w:rsidR="00590CCF" w:rsidRPr="00CC6E44" w:rsidRDefault="00590CCF" w:rsidP="00590CCF">
      <w:pPr>
        <w:pStyle w:val="NormalHanging12a"/>
      </w:pPr>
      <w:r w:rsidRPr="00CC6E44">
        <w:lastRenderedPageBreak/>
        <w:t>–</w:t>
      </w:r>
      <w:r w:rsidRPr="00CC6E44">
        <w:tab/>
        <w:t>uzimajući u obzir Komisijin Prijedlog direktive Europskog parlamenta i Vijeća od 14. ožujka 2018. o pružateljima usluge servisiranja kredita, kupcima kredita i naplati kolaterala (COM(2018)0135),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izvješće petorice predsjednika naslovljeno „Dovršetak europske ekonomske i monetarne unije” od 22. lipnja 2015.,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 xml:space="preserve">uzimajući u obzir izvješće </w:t>
      </w:r>
      <w:proofErr w:type="spellStart"/>
      <w:r w:rsidRPr="00CC6E44">
        <w:t>Enrica</w:t>
      </w:r>
      <w:proofErr w:type="spellEnd"/>
      <w:r w:rsidRPr="00CC6E44">
        <w:t xml:space="preserve"> </w:t>
      </w:r>
      <w:proofErr w:type="spellStart"/>
      <w:r w:rsidRPr="00CC6E44">
        <w:t>Lette</w:t>
      </w:r>
      <w:proofErr w:type="spellEnd"/>
      <w:r w:rsidRPr="00CC6E44">
        <w:t xml:space="preserve"> od 10. travnja 2024. naslovljeno „</w:t>
      </w:r>
      <w:proofErr w:type="spellStart"/>
      <w:r w:rsidRPr="00CC6E44">
        <w:t>Much</w:t>
      </w:r>
      <w:proofErr w:type="spellEnd"/>
      <w:r w:rsidRPr="00CC6E44">
        <w:t xml:space="preserve"> more </w:t>
      </w:r>
      <w:proofErr w:type="spellStart"/>
      <w:r w:rsidRPr="00CC6E44">
        <w:t>than</w:t>
      </w:r>
      <w:proofErr w:type="spellEnd"/>
      <w:r w:rsidRPr="00CC6E44">
        <w:t xml:space="preserve"> a </w:t>
      </w:r>
      <w:proofErr w:type="spellStart"/>
      <w:r w:rsidRPr="00CC6E44">
        <w:t>market</w:t>
      </w:r>
      <w:proofErr w:type="spellEnd"/>
      <w:r w:rsidRPr="00CC6E44">
        <w:t xml:space="preserve"> – </w:t>
      </w:r>
      <w:proofErr w:type="spellStart"/>
      <w:r w:rsidRPr="00CC6E44">
        <w:t>Speed</w:t>
      </w:r>
      <w:proofErr w:type="spellEnd"/>
      <w:r w:rsidRPr="00CC6E44">
        <w:t xml:space="preserve">, </w:t>
      </w:r>
      <w:proofErr w:type="spellStart"/>
      <w:r w:rsidRPr="00CC6E44">
        <w:t>security</w:t>
      </w:r>
      <w:proofErr w:type="spellEnd"/>
      <w:r w:rsidRPr="00CC6E44">
        <w:t xml:space="preserve">, </w:t>
      </w:r>
      <w:proofErr w:type="spellStart"/>
      <w:r w:rsidRPr="00CC6E44">
        <w:t>solidarity</w:t>
      </w:r>
      <w:proofErr w:type="spellEnd"/>
      <w:r w:rsidRPr="00CC6E44">
        <w:t xml:space="preserve">: </w:t>
      </w:r>
      <w:proofErr w:type="spellStart"/>
      <w:r w:rsidRPr="00CC6E44">
        <w:t>empowering</w:t>
      </w:r>
      <w:proofErr w:type="spellEnd"/>
      <w:r w:rsidRPr="00CC6E44">
        <w:t xml:space="preserve"> </w:t>
      </w:r>
      <w:proofErr w:type="spellStart"/>
      <w:r w:rsidRPr="00CC6E44">
        <w:t>the</w:t>
      </w:r>
      <w:proofErr w:type="spellEnd"/>
      <w:r w:rsidRPr="00CC6E44">
        <w:t xml:space="preserve"> Single </w:t>
      </w:r>
      <w:proofErr w:type="spellStart"/>
      <w:r w:rsidRPr="00CC6E44">
        <w:t>Market</w:t>
      </w:r>
      <w:proofErr w:type="spellEnd"/>
      <w:r w:rsidRPr="00CC6E44">
        <w:t xml:space="preserve"> to </w:t>
      </w:r>
      <w:proofErr w:type="spellStart"/>
      <w:r w:rsidRPr="00CC6E44">
        <w:t>deliver</w:t>
      </w:r>
      <w:proofErr w:type="spellEnd"/>
      <w:r w:rsidRPr="00CC6E44">
        <w:t xml:space="preserve"> a </w:t>
      </w:r>
      <w:proofErr w:type="spellStart"/>
      <w:r w:rsidRPr="00CC6E44">
        <w:t>sustainable</w:t>
      </w:r>
      <w:proofErr w:type="spellEnd"/>
      <w:r w:rsidRPr="00CC6E44">
        <w:t xml:space="preserve"> future </w:t>
      </w:r>
      <w:proofErr w:type="spellStart"/>
      <w:r w:rsidRPr="00CC6E44">
        <w:t>and</w:t>
      </w:r>
      <w:proofErr w:type="spellEnd"/>
      <w:r w:rsidRPr="00CC6E44">
        <w:t xml:space="preserve"> </w:t>
      </w:r>
      <w:proofErr w:type="spellStart"/>
      <w:r w:rsidRPr="00CC6E44">
        <w:t>prosperity</w:t>
      </w:r>
      <w:proofErr w:type="spellEnd"/>
      <w:r w:rsidRPr="00CC6E44">
        <w:t xml:space="preserve"> for </w:t>
      </w:r>
      <w:proofErr w:type="spellStart"/>
      <w:r w:rsidRPr="00CC6E44">
        <w:t>all</w:t>
      </w:r>
      <w:proofErr w:type="spellEnd"/>
      <w:r w:rsidRPr="00CC6E44">
        <w:t xml:space="preserve"> EU </w:t>
      </w:r>
      <w:proofErr w:type="spellStart"/>
      <w:r w:rsidRPr="00CC6E44">
        <w:t>Citizens</w:t>
      </w:r>
      <w:proofErr w:type="spellEnd"/>
      <w:r w:rsidRPr="00CC6E44">
        <w:t>” (Mnogo više od tržišta – Brzina, sigurnost, solidarnost: osnaživanje jedinstvenog tržišta za ostvarivanje održive budućnosti i blagostanja za sve građane EU-a),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 xml:space="preserve">uzimajući u obzir izvješće Marija </w:t>
      </w:r>
      <w:proofErr w:type="spellStart"/>
      <w:r w:rsidRPr="00CC6E44">
        <w:t>Draghija</w:t>
      </w:r>
      <w:proofErr w:type="spellEnd"/>
      <w:r w:rsidRPr="00CC6E44">
        <w:t xml:space="preserve"> od 9. rujna 2024. naslovljeno „Budućnost europske konkurentnosti”,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izjavu Euroskupine od 11. ožujka 2024. o budućnosti unije tržišta kapitala, izjavu Euroskupine od 16. lipnja 2022. o budućnosti bankovne unije i daljnje izjave Euroskupine s tim u vezi od 28. travnja 2023.,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 xml:space="preserve">uzimajući u obzir okvir Bazelskog odbora za nadzor banaka za objavljivanje izloženosti banaka </w:t>
      </w:r>
      <w:proofErr w:type="spellStart"/>
      <w:r w:rsidRPr="00CC6E44">
        <w:t>kriptoimovini</w:t>
      </w:r>
      <w:proofErr w:type="spellEnd"/>
      <w:r w:rsidRPr="00CC6E44">
        <w:t xml:space="preserve"> te ciljane izmjene bonitetnog standarda tog odbora za izloženost banaka </w:t>
      </w:r>
      <w:proofErr w:type="spellStart"/>
      <w:r w:rsidRPr="00CC6E44">
        <w:t>kriptoimovini</w:t>
      </w:r>
      <w:proofErr w:type="spellEnd"/>
      <w:r w:rsidRPr="00CC6E44">
        <w:t>, koje su objavljene 17. srpnja 2024.,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temeljna načela djelotvornog nadzora banaka Bazelskog odbora za nadzor banaka, objavljena 25. travnja 2024.,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Izvješće Europske središnje banke o financijskoj stabilnosti iz svibnja 2024.,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</w:r>
      <w:r w:rsidRPr="00CC6E44">
        <w:rPr>
          <w:snapToGrid/>
        </w:rPr>
        <w:t>uzimajući u obzir dokument Europske središnje banke iz serije povremenih publikacija naslovljen „</w:t>
      </w:r>
      <w:proofErr w:type="spellStart"/>
      <w:r w:rsidRPr="00CC6E44">
        <w:rPr>
          <w:snapToGrid/>
        </w:rPr>
        <w:t>The</w:t>
      </w:r>
      <w:proofErr w:type="spellEnd"/>
      <w:r w:rsidRPr="00CC6E44">
        <w:rPr>
          <w:snapToGrid/>
        </w:rPr>
        <w:t xml:space="preserve"> </w:t>
      </w:r>
      <w:proofErr w:type="spellStart"/>
      <w:r w:rsidRPr="00CC6E44">
        <w:rPr>
          <w:snapToGrid/>
        </w:rPr>
        <w:t>Road</w:t>
      </w:r>
      <w:proofErr w:type="spellEnd"/>
      <w:r w:rsidRPr="00CC6E44">
        <w:rPr>
          <w:snapToGrid/>
        </w:rPr>
        <w:t xml:space="preserve"> to Paris: </w:t>
      </w:r>
      <w:proofErr w:type="spellStart"/>
      <w:r w:rsidRPr="00CC6E44">
        <w:rPr>
          <w:snapToGrid/>
        </w:rPr>
        <w:t>stress</w:t>
      </w:r>
      <w:proofErr w:type="spellEnd"/>
      <w:r w:rsidRPr="00CC6E44">
        <w:rPr>
          <w:snapToGrid/>
        </w:rPr>
        <w:t xml:space="preserve"> </w:t>
      </w:r>
      <w:proofErr w:type="spellStart"/>
      <w:r w:rsidRPr="00CC6E44">
        <w:rPr>
          <w:snapToGrid/>
        </w:rPr>
        <w:t>testing</w:t>
      </w:r>
      <w:proofErr w:type="spellEnd"/>
      <w:r w:rsidRPr="00CC6E44">
        <w:rPr>
          <w:snapToGrid/>
        </w:rPr>
        <w:t xml:space="preserve"> </w:t>
      </w:r>
      <w:proofErr w:type="spellStart"/>
      <w:r w:rsidRPr="00CC6E44">
        <w:rPr>
          <w:snapToGrid/>
        </w:rPr>
        <w:t>the</w:t>
      </w:r>
      <w:proofErr w:type="spellEnd"/>
      <w:r w:rsidRPr="00CC6E44">
        <w:rPr>
          <w:snapToGrid/>
        </w:rPr>
        <w:t xml:space="preserve"> </w:t>
      </w:r>
      <w:proofErr w:type="spellStart"/>
      <w:r w:rsidRPr="00CC6E44">
        <w:rPr>
          <w:snapToGrid/>
        </w:rPr>
        <w:t>transition</w:t>
      </w:r>
      <w:proofErr w:type="spellEnd"/>
      <w:r w:rsidRPr="00CC6E44">
        <w:rPr>
          <w:snapToGrid/>
        </w:rPr>
        <w:t xml:space="preserve"> </w:t>
      </w:r>
      <w:proofErr w:type="spellStart"/>
      <w:r w:rsidRPr="00CC6E44">
        <w:rPr>
          <w:snapToGrid/>
        </w:rPr>
        <w:t>towards</w:t>
      </w:r>
      <w:proofErr w:type="spellEnd"/>
      <w:r w:rsidRPr="00CC6E44">
        <w:rPr>
          <w:snapToGrid/>
        </w:rPr>
        <w:t xml:space="preserve"> a </w:t>
      </w:r>
      <w:proofErr w:type="spellStart"/>
      <w:r w:rsidRPr="00CC6E44">
        <w:rPr>
          <w:snapToGrid/>
        </w:rPr>
        <w:t>net</w:t>
      </w:r>
      <w:proofErr w:type="spellEnd"/>
      <w:r w:rsidRPr="00CC6E44">
        <w:rPr>
          <w:snapToGrid/>
        </w:rPr>
        <w:t xml:space="preserve">-zero </w:t>
      </w:r>
      <w:proofErr w:type="spellStart"/>
      <w:r w:rsidRPr="00CC6E44">
        <w:rPr>
          <w:snapToGrid/>
        </w:rPr>
        <w:t>economy</w:t>
      </w:r>
      <w:proofErr w:type="spellEnd"/>
      <w:r w:rsidRPr="00CC6E44">
        <w:rPr>
          <w:snapToGrid/>
        </w:rPr>
        <w:t>” (Put prema Parizu: testiranje otpornosti na stres u pogledu prelaska na gospodarstvo s nultom neto stopom emisija),</w:t>
      </w:r>
    </w:p>
    <w:p w:rsidR="00590CCF" w:rsidRPr="00CC6E44" w:rsidRDefault="00590CCF" w:rsidP="00590CCF">
      <w:pPr>
        <w:pStyle w:val="NormalHanging12a"/>
        <w:rPr>
          <w:snapToGrid/>
          <w:szCs w:val="24"/>
        </w:rPr>
      </w:pPr>
      <w:r w:rsidRPr="00CC6E44">
        <w:t>–</w:t>
      </w:r>
      <w:r w:rsidRPr="00CC6E44">
        <w:tab/>
      </w:r>
      <w:r w:rsidRPr="00CC6E44">
        <w:rPr>
          <w:snapToGrid/>
        </w:rPr>
        <w:t>uzimajući u obzir publikaciju Odbora za financijsku stabilnost od 9. studenoga 2015. naslovljenu „</w:t>
      </w:r>
      <w:proofErr w:type="spellStart"/>
      <w:r w:rsidRPr="00CC6E44">
        <w:rPr>
          <w:snapToGrid/>
        </w:rPr>
        <w:t>Principles</w:t>
      </w:r>
      <w:proofErr w:type="spellEnd"/>
      <w:r w:rsidRPr="00CC6E44">
        <w:rPr>
          <w:snapToGrid/>
        </w:rPr>
        <w:t xml:space="preserve"> on </w:t>
      </w:r>
      <w:proofErr w:type="spellStart"/>
      <w:r w:rsidRPr="00CC6E44">
        <w:rPr>
          <w:snapToGrid/>
        </w:rPr>
        <w:t>Loss-absorbing</w:t>
      </w:r>
      <w:proofErr w:type="spellEnd"/>
      <w:r w:rsidRPr="00CC6E44">
        <w:rPr>
          <w:snapToGrid/>
        </w:rPr>
        <w:t xml:space="preserve"> </w:t>
      </w:r>
      <w:proofErr w:type="spellStart"/>
      <w:r w:rsidRPr="00CC6E44">
        <w:rPr>
          <w:snapToGrid/>
        </w:rPr>
        <w:t>and</w:t>
      </w:r>
      <w:proofErr w:type="spellEnd"/>
      <w:r w:rsidRPr="00CC6E44">
        <w:rPr>
          <w:snapToGrid/>
        </w:rPr>
        <w:t xml:space="preserve"> </w:t>
      </w:r>
      <w:proofErr w:type="spellStart"/>
      <w:r w:rsidRPr="00CC6E44">
        <w:rPr>
          <w:snapToGrid/>
        </w:rPr>
        <w:t>Recapitalisation</w:t>
      </w:r>
      <w:proofErr w:type="spellEnd"/>
      <w:r w:rsidRPr="00CC6E44">
        <w:rPr>
          <w:snapToGrid/>
        </w:rPr>
        <w:t xml:space="preserve"> </w:t>
      </w:r>
      <w:proofErr w:type="spellStart"/>
      <w:r w:rsidRPr="00CC6E44">
        <w:rPr>
          <w:snapToGrid/>
        </w:rPr>
        <w:t>Capacity</w:t>
      </w:r>
      <w:proofErr w:type="spellEnd"/>
      <w:r w:rsidRPr="00CC6E44">
        <w:rPr>
          <w:snapToGrid/>
        </w:rPr>
        <w:t xml:space="preserve"> </w:t>
      </w:r>
      <w:proofErr w:type="spellStart"/>
      <w:r w:rsidRPr="00CC6E44">
        <w:rPr>
          <w:snapToGrid/>
        </w:rPr>
        <w:t>of</w:t>
      </w:r>
      <w:proofErr w:type="spellEnd"/>
      <w:r w:rsidRPr="00CC6E44">
        <w:rPr>
          <w:snapToGrid/>
        </w:rPr>
        <w:t xml:space="preserve"> G-</w:t>
      </w:r>
      <w:proofErr w:type="spellStart"/>
      <w:r w:rsidRPr="00CC6E44">
        <w:rPr>
          <w:snapToGrid/>
        </w:rPr>
        <w:t>SIBs</w:t>
      </w:r>
      <w:proofErr w:type="spellEnd"/>
      <w:r w:rsidRPr="00CC6E44">
        <w:rPr>
          <w:snapToGrid/>
        </w:rPr>
        <w:t xml:space="preserve"> in </w:t>
      </w:r>
      <w:proofErr w:type="spellStart"/>
      <w:r w:rsidRPr="00CC6E44">
        <w:rPr>
          <w:snapToGrid/>
        </w:rPr>
        <w:t>Resolution</w:t>
      </w:r>
      <w:proofErr w:type="spellEnd"/>
      <w:r w:rsidRPr="00CC6E44">
        <w:rPr>
          <w:snapToGrid/>
        </w:rPr>
        <w:t>” (Načela u pogledu kapaciteta za pokrivanje gubitaka i dokapitalizaciju globalnih sistemski važnih banaka u sanaciji),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</w:r>
      <w:r w:rsidRPr="00CC6E44">
        <w:rPr>
          <w:snapToGrid/>
        </w:rPr>
        <w:t xml:space="preserve">uzimajući u obzir izvješće Odbora za financijsku stabilnost od 10. listopada 2023. naslovljeno „2023 Bank </w:t>
      </w:r>
      <w:proofErr w:type="spellStart"/>
      <w:r w:rsidRPr="00CC6E44">
        <w:rPr>
          <w:snapToGrid/>
        </w:rPr>
        <w:t>Failures</w:t>
      </w:r>
      <w:proofErr w:type="spellEnd"/>
      <w:r w:rsidRPr="00CC6E44">
        <w:rPr>
          <w:snapToGrid/>
        </w:rPr>
        <w:t xml:space="preserve"> – </w:t>
      </w:r>
      <w:proofErr w:type="spellStart"/>
      <w:r w:rsidRPr="00CC6E44">
        <w:rPr>
          <w:snapToGrid/>
        </w:rPr>
        <w:t>Preliminary</w:t>
      </w:r>
      <w:proofErr w:type="spellEnd"/>
      <w:r w:rsidRPr="00CC6E44">
        <w:rPr>
          <w:snapToGrid/>
        </w:rPr>
        <w:t xml:space="preserve"> </w:t>
      </w:r>
      <w:proofErr w:type="spellStart"/>
      <w:r w:rsidRPr="00CC6E44">
        <w:rPr>
          <w:snapToGrid/>
        </w:rPr>
        <w:t>lessons</w:t>
      </w:r>
      <w:proofErr w:type="spellEnd"/>
      <w:r w:rsidRPr="00CC6E44">
        <w:rPr>
          <w:snapToGrid/>
        </w:rPr>
        <w:t xml:space="preserve"> </w:t>
      </w:r>
      <w:proofErr w:type="spellStart"/>
      <w:r w:rsidRPr="00CC6E44">
        <w:rPr>
          <w:snapToGrid/>
        </w:rPr>
        <w:t>learnt</w:t>
      </w:r>
      <w:proofErr w:type="spellEnd"/>
      <w:r w:rsidRPr="00CC6E44">
        <w:rPr>
          <w:snapToGrid/>
        </w:rPr>
        <w:t xml:space="preserve"> for </w:t>
      </w:r>
      <w:proofErr w:type="spellStart"/>
      <w:r w:rsidRPr="00CC6E44">
        <w:rPr>
          <w:snapToGrid/>
        </w:rPr>
        <w:t>resolution</w:t>
      </w:r>
      <w:proofErr w:type="spellEnd"/>
      <w:r w:rsidRPr="00CC6E44">
        <w:rPr>
          <w:snapToGrid/>
        </w:rPr>
        <w:t>” (Propast banaka 2023. – preliminarne pouke za sanaciju),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 xml:space="preserve">uzimajući u obzir radni dokument Instituta </w:t>
      </w:r>
      <w:proofErr w:type="spellStart"/>
      <w:r w:rsidRPr="00CC6E44">
        <w:t>Peterson</w:t>
      </w:r>
      <w:proofErr w:type="spellEnd"/>
      <w:r w:rsidRPr="00CC6E44">
        <w:t xml:space="preserve"> za međunarodnu ekonomiju br. 24 – 15 od 25. lipnja 2024. naslovljen „</w:t>
      </w:r>
      <w:proofErr w:type="spellStart"/>
      <w:r w:rsidRPr="00CC6E44">
        <w:t>Europe’s</w:t>
      </w:r>
      <w:proofErr w:type="spellEnd"/>
      <w:r w:rsidRPr="00CC6E44">
        <w:t xml:space="preserve"> </w:t>
      </w:r>
      <w:proofErr w:type="spellStart"/>
      <w:r w:rsidRPr="00CC6E44">
        <w:t>banking</w:t>
      </w:r>
      <w:proofErr w:type="spellEnd"/>
      <w:r w:rsidRPr="00CC6E44">
        <w:t xml:space="preserve"> </w:t>
      </w:r>
      <w:proofErr w:type="spellStart"/>
      <w:r w:rsidRPr="00CC6E44">
        <w:t>union</w:t>
      </w:r>
      <w:proofErr w:type="spellEnd"/>
      <w:r w:rsidRPr="00CC6E44">
        <w:t xml:space="preserve"> at ten: </w:t>
      </w:r>
      <w:proofErr w:type="spellStart"/>
      <w:r w:rsidRPr="00CC6E44">
        <w:t>unfinished</w:t>
      </w:r>
      <w:proofErr w:type="spellEnd"/>
      <w:r w:rsidRPr="00CC6E44">
        <w:t xml:space="preserve"> </w:t>
      </w:r>
      <w:proofErr w:type="spellStart"/>
      <w:r w:rsidRPr="00CC6E44">
        <w:t>yet</w:t>
      </w:r>
      <w:proofErr w:type="spellEnd"/>
      <w:r w:rsidRPr="00CC6E44">
        <w:t xml:space="preserve"> </w:t>
      </w:r>
      <w:proofErr w:type="spellStart"/>
      <w:r w:rsidRPr="00CC6E44">
        <w:t>transformative</w:t>
      </w:r>
      <w:proofErr w:type="spellEnd"/>
      <w:r w:rsidRPr="00CC6E44">
        <w:t>”</w:t>
      </w:r>
      <w:r w:rsidRPr="00CC6E44">
        <w:rPr>
          <w:rStyle w:val="FootnoteReference"/>
        </w:rPr>
        <w:footnoteReference w:id="11"/>
      </w:r>
      <w:r w:rsidRPr="00CC6E44">
        <w:t xml:space="preserve"> (Europska bankovna unija deset godina poslije: nedovršen, ali </w:t>
      </w:r>
      <w:proofErr w:type="spellStart"/>
      <w:r w:rsidRPr="00CC6E44">
        <w:t>transformativan</w:t>
      </w:r>
      <w:proofErr w:type="spellEnd"/>
      <w:r w:rsidRPr="00CC6E44">
        <w:t xml:space="preserve"> projekt),</w:t>
      </w:r>
    </w:p>
    <w:p w:rsidR="00590CCF" w:rsidRPr="00CC6E44" w:rsidRDefault="00590CCF" w:rsidP="00590CCF">
      <w:pPr>
        <w:pStyle w:val="NormalHanging12a"/>
      </w:pPr>
      <w:r w:rsidRPr="00CC6E44">
        <w:lastRenderedPageBreak/>
        <w:t>–</w:t>
      </w:r>
      <w:r w:rsidRPr="00CC6E44">
        <w:tab/>
        <w:t>uzimajući u obzir nadzorne prioritete jedinstvenog nadzornog mehanizma za razdoblje 2024. – 2026., objavljene u prosincu 2023.,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Polugodišnje izvješće Jedinstvenog sanacijskog odbora podneseno Euroskupini 13. svibnja 2024.,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ishod ispitivanja transparentnosti za 2023. koje je na razini EU-a provelo Europsko nadzorno tijelo za bankarstvo, objavljen 28. srpnja 2023.,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Tematsko izvješće 12/</w:t>
      </w:r>
      <w:r w:rsidR="009734B5">
        <w:t>20</w:t>
      </w:r>
      <w:bookmarkStart w:id="7" w:name="_GoBack"/>
      <w:bookmarkEnd w:id="7"/>
      <w:r w:rsidRPr="00CC6E44">
        <w:t>23 Europskog revizorskog suda od 12. svibnja 2023. naslovljeno „Nadzor koji EU provodi nad kreditnim rizikom banaka – ESB je pojačao svoje napore, ali potrebno je učiniti više kako bi se dobilo veće jamstvo da su upravljanje kreditnim rizikom i njegovo pokriće primjereni”,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 xml:space="preserve">uzimajući u obzir izjave </w:t>
      </w:r>
      <w:proofErr w:type="spellStart"/>
      <w:r w:rsidRPr="00CC6E44">
        <w:t>Claudije</w:t>
      </w:r>
      <w:proofErr w:type="spellEnd"/>
      <w:r w:rsidRPr="00CC6E44">
        <w:t xml:space="preserve"> </w:t>
      </w:r>
      <w:proofErr w:type="spellStart"/>
      <w:r w:rsidRPr="00CC6E44">
        <w:t>Buch</w:t>
      </w:r>
      <w:proofErr w:type="spellEnd"/>
      <w:r w:rsidRPr="00CC6E44">
        <w:t>, predsjednice Nadzornog odbora ESB-a, na saslušanjima pred parlamentarnim Odborom za ekonomsku i monetarnu politiku održanima 21. ožujka 2024. i 2. rujna 2024.,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 xml:space="preserve">uzimajući u obzir izjave </w:t>
      </w:r>
      <w:proofErr w:type="spellStart"/>
      <w:r w:rsidRPr="00CC6E44">
        <w:t>Dominiquea</w:t>
      </w:r>
      <w:proofErr w:type="spellEnd"/>
      <w:r w:rsidRPr="00CC6E44">
        <w:t xml:space="preserve"> </w:t>
      </w:r>
      <w:proofErr w:type="spellStart"/>
      <w:r w:rsidRPr="00CC6E44">
        <w:t>Laboureixa</w:t>
      </w:r>
      <w:proofErr w:type="spellEnd"/>
      <w:r w:rsidRPr="00CC6E44">
        <w:t>, predsjednika Jedinstvenog sanacijskog odbora, na saslušanjima pred parlamentarnim Odborom za ekonomsku i monetarnu politiku održanima 21. ožujka 2024. i 23. rujna 2024.,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</w:r>
      <w:r w:rsidRPr="00CC6E44">
        <w:rPr>
          <w:snapToGrid/>
        </w:rPr>
        <w:t>uzimajući u obzir izvješća Europskog nadzornog tijela za bankarstvo o procjeni rizika iz srpnja 2024. i prosinca 2024.,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svoju Rezoluciju od 14. ožujka 2019. o rodnoj ravnoteži u imenovanjima u području ekonomske i monetarne politike EU-a</w:t>
      </w:r>
      <w:r w:rsidRPr="00CC6E44">
        <w:rPr>
          <w:rStyle w:val="FootnoteReference"/>
        </w:rPr>
        <w:footnoteReference w:id="12"/>
      </w:r>
      <w:r w:rsidRPr="00CC6E44">
        <w:t>,</w:t>
      </w:r>
    </w:p>
    <w:p w:rsidR="00590CCF" w:rsidRPr="00CC6E44" w:rsidRDefault="00590CCF" w:rsidP="00590CCF">
      <w:pPr>
        <w:pStyle w:val="NormalHanging12a"/>
        <w:rPr>
          <w:snapToGrid/>
          <w:szCs w:val="24"/>
        </w:rPr>
      </w:pPr>
      <w:r w:rsidRPr="00CC6E44">
        <w:t>–</w:t>
      </w:r>
      <w:r w:rsidRPr="00CC6E44">
        <w:tab/>
      </w:r>
      <w:r w:rsidRPr="00CC6E44">
        <w:rPr>
          <w:snapToGrid/>
        </w:rPr>
        <w:t>uzimajući u obzir svoju Rezoluciju od 25. ožujka 2021. o jačanju međunarodne uloge eura</w:t>
      </w:r>
      <w:r w:rsidRPr="00CC6E44">
        <w:rPr>
          <w:rStyle w:val="FootnoteReference"/>
          <w:snapToGrid/>
          <w:szCs w:val="24"/>
          <w:lang w:eastAsia="en-GB"/>
        </w:rPr>
        <w:footnoteReference w:id="13"/>
      </w:r>
      <w:r w:rsidRPr="00CC6E44">
        <w:rPr>
          <w:snapToGrid/>
        </w:rPr>
        <w:t>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članak 55. Poslovnika,</w:t>
      </w:r>
    </w:p>
    <w:p w:rsidR="00590CCF" w:rsidRPr="00CC6E44" w:rsidRDefault="00590CCF" w:rsidP="00590CCF">
      <w:pPr>
        <w:pStyle w:val="NormalHanging12a"/>
      </w:pPr>
      <w:r w:rsidRPr="00CC6E44">
        <w:t>–</w:t>
      </w:r>
      <w:r w:rsidRPr="00CC6E44">
        <w:tab/>
        <w:t>uzimajući u obzir izvješće Odbora za ekonomsku i monetarnu politiku (A10</w:t>
      </w:r>
      <w:r w:rsidRPr="00CC6E44">
        <w:noBreakHyphen/>
        <w:t>0044/2025),</w:t>
      </w:r>
    </w:p>
    <w:p w:rsidR="00590CCF" w:rsidRPr="00CC6E44" w:rsidRDefault="00590CCF" w:rsidP="00590CCF">
      <w:pPr>
        <w:pStyle w:val="NormalHanging12a"/>
      </w:pPr>
      <w:r w:rsidRPr="00CC6E44">
        <w:t>A.</w:t>
      </w:r>
      <w:r w:rsidRPr="00CC6E44">
        <w:tab/>
        <w:t>budući da bankovna unija obuhvaća jedinstveni nadzorni mehanizam, jedinstveni sanacijski mehanizam i europski sustav osiguranja depozita koji još nedostaje;</w:t>
      </w:r>
    </w:p>
    <w:p w:rsidR="00590CCF" w:rsidRPr="00CC6E44" w:rsidRDefault="00A22B73" w:rsidP="00590CCF">
      <w:pPr>
        <w:pStyle w:val="NormalHanging12a"/>
      </w:pPr>
      <w:r w:rsidRPr="00CC6E44">
        <w:t>B.</w:t>
      </w:r>
      <w:r w:rsidR="00590CCF" w:rsidRPr="00CC6E44">
        <w:tab/>
        <w:t>budući da je glavni cilj bankovne unije zaštititi stabilnost bankarskog sektora u Europi i spriječiti potrebu za sanacijom banaka koje su izložene riziku od propasti novcem poreznih obveznika;</w:t>
      </w:r>
    </w:p>
    <w:p w:rsidR="00590CCF" w:rsidRPr="00CC6E44" w:rsidRDefault="00590CCF" w:rsidP="00590CCF">
      <w:pPr>
        <w:pStyle w:val="NormalHanging12a"/>
      </w:pPr>
      <w:r w:rsidRPr="00CC6E44">
        <w:t>C.</w:t>
      </w:r>
      <w:r w:rsidRPr="00CC6E44">
        <w:tab/>
        <w:t xml:space="preserve">budući da bi dovršena bankovna unija bila pozitivan korak za građane i gospodarstvo EU-a jer bi se njome poboljšala konkurentnost i stabilnost bankarskog sektora, smanjio sistemski rizik, poboljšali ponuda i izbor za potrošače te ponudile bolje mogućnosti za prekogranično bankarstvo koje poboljšava pristup financiranju za kućanstva i poslovne subjekte, čime se smanjenju troškovi za klijente banaka te istodobno osigurava da se javna sredstva ne koriste za spašavanje bankarskog sektora; budući da još nije </w:t>
      </w:r>
      <w:r w:rsidRPr="00CC6E44">
        <w:lastRenderedPageBreak/>
        <w:t>pronađeno rješenje za rizik u pogledu banaka koje su prevelike da bi se dopustilo da propadnu („</w:t>
      </w:r>
      <w:proofErr w:type="spellStart"/>
      <w:r w:rsidRPr="00CC6E44">
        <w:t>too</w:t>
      </w:r>
      <w:proofErr w:type="spellEnd"/>
      <w:r w:rsidRPr="00CC6E44">
        <w:t xml:space="preserve"> </w:t>
      </w:r>
      <w:proofErr w:type="spellStart"/>
      <w:r w:rsidRPr="00CC6E44">
        <w:t>big</w:t>
      </w:r>
      <w:proofErr w:type="spellEnd"/>
      <w:r w:rsidRPr="00CC6E44">
        <w:t xml:space="preserve"> to </w:t>
      </w:r>
      <w:proofErr w:type="spellStart"/>
      <w:r w:rsidRPr="00CC6E44">
        <w:t>failˮ</w:t>
      </w:r>
      <w:proofErr w:type="spellEnd"/>
      <w:r w:rsidRPr="00CC6E44">
        <w:t>);</w:t>
      </w:r>
    </w:p>
    <w:p w:rsidR="00590CCF" w:rsidRPr="00CC6E44" w:rsidRDefault="00590CCF" w:rsidP="00590CCF">
      <w:pPr>
        <w:pStyle w:val="NormalHanging12a"/>
      </w:pPr>
      <w:r w:rsidRPr="00CC6E44">
        <w:t xml:space="preserve">D. </w:t>
      </w:r>
      <w:r w:rsidRPr="00CC6E44">
        <w:tab/>
        <w:t>budući da je dovršavanje reforme okvira EU-a za krizno upravljanje bankarskim sektorom i osiguranje depozita, s posebnim naglaskom na malim i srednjim bankama, presudno za sigurnost, stabilnost i otpornost europskog bankarskog sektora; budući da je potpuna bankovna unija s istinskim europskim sustavom osiguranja depozita osnovni uvjet kojim se jamči povjerenje građana u europske banke;</w:t>
      </w:r>
    </w:p>
    <w:p w:rsidR="00590CCF" w:rsidRPr="00CC6E44" w:rsidRDefault="00590CCF" w:rsidP="00590CCF">
      <w:pPr>
        <w:pStyle w:val="NormalHanging12a"/>
      </w:pPr>
      <w:r w:rsidRPr="00CC6E44">
        <w:t>E.</w:t>
      </w:r>
      <w:r w:rsidRPr="00CC6E44">
        <w:tab/>
        <w:t>budući da fragmentacija i nedostatak prekogranične konsolidacije bankarskog sektora EU-a utječu na njegovu globalnu konkurentnost; budući da se jaz u profitabilnosti između banaka EU-a i banaka SAD-a povećao;</w:t>
      </w:r>
    </w:p>
    <w:p w:rsidR="00590CCF" w:rsidRPr="00CC6E44" w:rsidRDefault="00590CCF" w:rsidP="00590CCF">
      <w:pPr>
        <w:pStyle w:val="NormalHanging12a"/>
      </w:pPr>
      <w:r w:rsidRPr="00CC6E44">
        <w:t>F.</w:t>
      </w:r>
      <w:r w:rsidRPr="00CC6E44">
        <w:tab/>
        <w:t>budući da je snažan bankarski sektor ključan za ostvarivanje gospodarskog rasta, povećanje mogućnosti vlasništva nad stambenim nekretninama, poticanje ulaganja i otvaranja radnih mjesta, financiranje malih i srednjih poduzeća (MSP-ovi) i start-</w:t>
      </w:r>
      <w:proofErr w:type="spellStart"/>
      <w:r w:rsidRPr="00CC6E44">
        <w:t>up</w:t>
      </w:r>
      <w:proofErr w:type="spellEnd"/>
      <w:r w:rsidRPr="00CC6E44">
        <w:t xml:space="preserve"> poduzeća te osiguravanje prelaska na zeleno i digitalno gospodarstvo;</w:t>
      </w:r>
    </w:p>
    <w:p w:rsidR="00590CCF" w:rsidRPr="00CC6E44" w:rsidRDefault="00590CCF" w:rsidP="00590CCF">
      <w:pPr>
        <w:pStyle w:val="NormalHanging12a"/>
      </w:pPr>
      <w:r w:rsidRPr="00CC6E44">
        <w:t>G.</w:t>
      </w:r>
      <w:r w:rsidRPr="00CC6E44">
        <w:tab/>
        <w:t>budući da otprilike 80 % vanjskog financiranja za trgovačka društva u EU-u potječe od banaka, dok samo 20 % sredstava potječe s tržišta kapitala; budući da u SAD-u samo 30 % kredita za trgovačka društva financiraju banke, dok se 70 % kredita financira sredstvima s tržištâ kapitala, uključujući korporativne obveznice i dionice;</w:t>
      </w:r>
    </w:p>
    <w:p w:rsidR="00590CCF" w:rsidRPr="00CC6E44" w:rsidRDefault="00590CCF" w:rsidP="00590CCF">
      <w:pPr>
        <w:pStyle w:val="NormalHanging12a"/>
      </w:pPr>
      <w:r w:rsidRPr="00CC6E44">
        <w:t>H.</w:t>
      </w:r>
      <w:r w:rsidRPr="00CC6E44">
        <w:tab/>
        <w:t xml:space="preserve">budući da 356,1 milijarda EUR </w:t>
      </w:r>
      <w:proofErr w:type="spellStart"/>
      <w:r w:rsidRPr="00CC6E44">
        <w:t>neprihodonosnih</w:t>
      </w:r>
      <w:proofErr w:type="spellEnd"/>
      <w:r w:rsidRPr="00CC6E44">
        <w:t xml:space="preserve"> kredita zabilježenih 2024. u 110 nadziranih institucija u usporedbi s 988,9 milijardi EUR </w:t>
      </w:r>
      <w:proofErr w:type="spellStart"/>
      <w:r w:rsidRPr="00CC6E44">
        <w:t>neprihodonosnih</w:t>
      </w:r>
      <w:proofErr w:type="spellEnd"/>
      <w:r w:rsidRPr="00CC6E44">
        <w:t xml:space="preserve"> kredita zabilježenih u 102 nadzirane institucije u drugom tromjesečju 2015. pokazuje znatnu silaznu putanju jer je ukupni udio </w:t>
      </w:r>
      <w:proofErr w:type="spellStart"/>
      <w:r w:rsidRPr="00CC6E44">
        <w:t>neprihodonosnih</w:t>
      </w:r>
      <w:proofErr w:type="spellEnd"/>
      <w:r w:rsidRPr="00CC6E44">
        <w:t xml:space="preserve"> kredita 36 % iznosa iz 2015.; budući da je potrebno uložiti dodatne napore;</w:t>
      </w:r>
    </w:p>
    <w:p w:rsidR="00590CCF" w:rsidRPr="00CC6E44" w:rsidRDefault="00590CCF" w:rsidP="00590CCF">
      <w:pPr>
        <w:pStyle w:val="NormalHanging12a"/>
      </w:pPr>
      <w:r w:rsidRPr="00CC6E44">
        <w:t>I.</w:t>
      </w:r>
      <w:r w:rsidRPr="00CC6E44">
        <w:tab/>
        <w:t>budući da je u travnju 2024. donio stajalište o preispitivanju okvira za upravljanje krizama i osiguranje depozita;</w:t>
      </w:r>
    </w:p>
    <w:p w:rsidR="00590CCF" w:rsidRPr="00CC6E44" w:rsidRDefault="00590CCF" w:rsidP="00590CCF">
      <w:pPr>
        <w:pStyle w:val="NormalHanging12a"/>
      </w:pPr>
      <w:r w:rsidRPr="00CC6E44">
        <w:t>J.</w:t>
      </w:r>
      <w:r w:rsidRPr="00CC6E44">
        <w:tab/>
        <w:t>budući da je u travnju 2024. njegov Odbor za ekonomsku i monetarnu politiku usvojio izvješće o prijedlogu Komisije o uspostavi europskog sustava osiguranja depozita;</w:t>
      </w:r>
    </w:p>
    <w:p w:rsidR="00590CCF" w:rsidRPr="00CC6E44" w:rsidRDefault="00590CCF" w:rsidP="00590CCF">
      <w:pPr>
        <w:pStyle w:val="NormalHanging12a"/>
      </w:pPr>
      <w:r w:rsidRPr="00CC6E44">
        <w:t>K.</w:t>
      </w:r>
      <w:r w:rsidRPr="00CC6E44">
        <w:tab/>
        <w:t>budući da se financijske institucije sve više oslanjaju na upotrebu informacijske i komunikacijske tehnologije (IKT); budući da digitalizacija financija pruža ključne prilike za bankarski sektor te donosi važan tehnološki napredak u bankarskom sektoru EU-a, i to povećanjem učinkovitosti u pružanju bankarskih usluga i većom sklonosti inovacijama; budući da ona donosi i izazove, među ostalim u pogledu zaštite podataka, reputacijskih rizika, sprečavanja pranja novca i zaštite potrošača; budući da bankarski sektor EU-a mora povećati svoju kibernetičku otpornost kako bi sustavi IKT-a mogli izdržati razne vrste prijetnji za kibernetičku sigurnost; budući da ESB trenutačno proučava uvođenje digitalnog eura;</w:t>
      </w:r>
    </w:p>
    <w:p w:rsidR="00590CCF" w:rsidRPr="00CC6E44" w:rsidRDefault="00590CCF" w:rsidP="00590CCF">
      <w:pPr>
        <w:pStyle w:val="NormalHanging12a"/>
      </w:pPr>
      <w:r w:rsidRPr="00CC6E44">
        <w:t>L.</w:t>
      </w:r>
      <w:r w:rsidRPr="00CC6E44">
        <w:tab/>
        <w:t>budući da se banke u EU-u odupiru utjecaju ruske agresije; budući da one imaju ključnu ulogu u osiguravanju aktualne provedbe sankcija koje je EU nametnuo Rusiji kao odgovor na invaziju te u osiguravanju poštovanja tih sankcija; budući da je potrebna daljnja koordinacija kako bi se izbjeglo zaobilaženje sankcija;</w:t>
      </w:r>
    </w:p>
    <w:p w:rsidR="00590CCF" w:rsidRPr="00CC6E44" w:rsidRDefault="00590CCF" w:rsidP="00590CCF">
      <w:pPr>
        <w:pStyle w:val="NormalHanging12a"/>
      </w:pPr>
      <w:r w:rsidRPr="00CC6E44">
        <w:t xml:space="preserve">M. </w:t>
      </w:r>
      <w:r w:rsidRPr="00CC6E44">
        <w:tab/>
        <w:t>budući da su klimatske promjene, uništavanje okoliša i prelazak na niskougljično gospodarstvo čimbenici koje pri procjeni rizika za bilance banaka treba uzeti u obzir, i to kao izvor rizika koji potencijalno utječe na ulaganja u svim regijama i sektorima;</w:t>
      </w:r>
    </w:p>
    <w:p w:rsidR="00590CCF" w:rsidRPr="00CC6E44" w:rsidRDefault="00590CCF" w:rsidP="00590CCF">
      <w:pPr>
        <w:pStyle w:val="Normal12a24b"/>
        <w:jc w:val="both"/>
      </w:pPr>
      <w:r w:rsidRPr="00CC6E44">
        <w:rPr>
          <w:rStyle w:val="BoldItalic"/>
        </w:rPr>
        <w:lastRenderedPageBreak/>
        <w:t>Opća razmatranja</w:t>
      </w:r>
    </w:p>
    <w:p w:rsidR="00590CCF" w:rsidRPr="00CC6E44" w:rsidRDefault="00590CCF" w:rsidP="00590CCF">
      <w:pPr>
        <w:pStyle w:val="NormalHanging12a"/>
      </w:pPr>
      <w:r w:rsidRPr="00CC6E44">
        <w:t>1.</w:t>
      </w:r>
      <w:r w:rsidRPr="00CC6E44">
        <w:tab/>
        <w:t>prima na znanje napredak postignut u posljednjih deset godina uspostavom jedinstvenog nadzornog mehanizma i jedinstvenog sanacijskog mehanizma; napominje da bankovna unija neće biti dovršena bez uspostave trećeg stupa, europskog sustava osiguranja depozita;</w:t>
      </w:r>
    </w:p>
    <w:p w:rsidR="00590CCF" w:rsidRPr="00CC6E44" w:rsidRDefault="00590CCF" w:rsidP="00590CCF">
      <w:pPr>
        <w:pStyle w:val="NormalHanging12a"/>
      </w:pPr>
      <w:r w:rsidRPr="00CC6E44">
        <w:t>2.</w:t>
      </w:r>
      <w:r w:rsidRPr="00CC6E44">
        <w:tab/>
        <w:t>traži od Komisije da se pobrine za to da dovršenje bankovne unije i unije tržišta kapitala ostane ključni prioritet; ističe da se tim projektima kućanstvima i MSP-ovima otvara pristup širim mogućnostima financiranja, smanjuje velika ovisnost o bankovnim kreditima za potrebe poticanja ulaganja i otvaranja radnih mjesta, povećava financijska stabilnost, smanjuje učinak gospodarskih padova, podržava konkurentnost, pružaju dodatne mogućnosti ulaganja, financira prelazak na zeleno i digitalno gospodarstvo te oslobađa potencijal rasta EU-a; napominje da se od Komisije traži da uzme u obzir posebnosti različitih bankovnih modela, uz istodobno očuvanje jednakih uvjeta;</w:t>
      </w:r>
    </w:p>
    <w:p w:rsidR="00590CCF" w:rsidRPr="00CC6E44" w:rsidRDefault="00590CCF" w:rsidP="00590CCF">
      <w:pPr>
        <w:pStyle w:val="NormalHanging12a"/>
      </w:pPr>
      <w:r w:rsidRPr="00CC6E44">
        <w:t>3.</w:t>
      </w:r>
      <w:r w:rsidRPr="00CC6E44">
        <w:tab/>
        <w:t>napominje da je potrebno pripremiti se za razdoblja bankarskog stresa koja bi mogla dovesti do povlačenja novca iz banaka, kao što se u ožujku 2023. dogodilo u nekim jurisdikcijama izvan EU-a, te da je potrebno osigurati stabilnost depozita;</w:t>
      </w:r>
    </w:p>
    <w:p w:rsidR="00590CCF" w:rsidRPr="00CC6E44" w:rsidRDefault="00590CCF" w:rsidP="00590CCF">
      <w:pPr>
        <w:pStyle w:val="NormalHanging12a"/>
      </w:pPr>
      <w:r w:rsidRPr="00CC6E44">
        <w:t>4.</w:t>
      </w:r>
      <w:r w:rsidRPr="00CC6E44">
        <w:rPr>
          <w:b/>
          <w:i/>
        </w:rPr>
        <w:tab/>
      </w:r>
      <w:r w:rsidRPr="00CC6E44">
        <w:t xml:space="preserve">ističe da je kibernetička otpornost ključan element konkurentnosti bankarskog sektora EU-a, posebno uzimajući u obzir geopolitičku situaciju i potrebu za očuvanjem financijske stabilnosti; </w:t>
      </w:r>
    </w:p>
    <w:p w:rsidR="00590CCF" w:rsidRPr="00CC6E44" w:rsidRDefault="00590CCF" w:rsidP="00590CCF">
      <w:pPr>
        <w:pStyle w:val="NormalHanging12a"/>
      </w:pPr>
      <w:r w:rsidRPr="00CC6E44">
        <w:t>5.</w:t>
      </w:r>
      <w:r w:rsidRPr="00CC6E44">
        <w:tab/>
        <w:t xml:space="preserve">primjećuje da bi integriranija bankovna unija pomogla da bankarski sektor EU-a postane otporniji, da se poboljša pristup kreditima i smanje troškovi; napominje da bi se boljom prekograničnom integracijom bankarskog poslovanja povećao potencijal za podjelu rizika u privatnom sektoru i osigurala diversifikacija na bankovnom tržištu EU-a; ističe da integriranija bankovna unija nije nužno isto što i </w:t>
      </w:r>
      <w:proofErr w:type="spellStart"/>
      <w:r w:rsidRPr="00CC6E44">
        <w:t>konsolidiranije</w:t>
      </w:r>
      <w:proofErr w:type="spellEnd"/>
      <w:r w:rsidRPr="00CC6E44">
        <w:t xml:space="preserve"> bankovno tržište te da postoje koristi za tržišno natjecanje na diversificiranom bankovnom tržištu; ističe da bi potpuno razvijena bankovna unija omogućila da banke u EU-u rastu i da se bolje pozicioniraju za tržišno natjecanje na međunarodnoj razini;</w:t>
      </w:r>
    </w:p>
    <w:p w:rsidR="00590CCF" w:rsidRPr="00CC6E44" w:rsidRDefault="00590CCF" w:rsidP="00590CCF">
      <w:pPr>
        <w:pStyle w:val="NormalHanging12a"/>
      </w:pPr>
      <w:r w:rsidRPr="00CC6E44">
        <w:t>6.</w:t>
      </w:r>
      <w:r w:rsidRPr="00CC6E44">
        <w:tab/>
        <w:t>žali zbog toga što je sposobnost banaka u EU-u da financiraju velika ulaganja ograničena manjom profitabilnošću koja nije dovoljna za osiguravanje njihove konkurentnosti; primjećuje da je jaz u profitabilnosti u usporedbi s drugim jurisdikcijama prouzročen strukturnim i regulatornim čimbenicima te poziva na reviziju kako bi se pojednostavio regulatorni okvir; napominje da posebna priroda bankarskog sustava EU-a, u kojem postoji velik broj manjih banaka, zahtijeva rješenja kojima se to uzima u obzir i koja su prilagođena njegovim karakteristikama, a da se pritom ne naruši financijska stabilnost; i dalje ima na umu rizik za banke koje su prevelike da bi se dopustilo da propadnu;</w:t>
      </w:r>
    </w:p>
    <w:p w:rsidR="00590CCF" w:rsidRPr="00CC6E44" w:rsidRDefault="00590CCF" w:rsidP="00590CCF">
      <w:pPr>
        <w:pStyle w:val="NormalHanging12a"/>
      </w:pPr>
      <w:r w:rsidRPr="00CC6E44">
        <w:t>7.</w:t>
      </w:r>
      <w:r w:rsidRPr="00CC6E44">
        <w:tab/>
        <w:t>poziva Komisiju da procijeni potrebu za razvojem ciljanih okvira unutar bankovne unije kako bi se poboljšao pristup financiranju za MSP-ove i start-</w:t>
      </w:r>
      <w:proofErr w:type="spellStart"/>
      <w:r w:rsidRPr="00CC6E44">
        <w:t>up</w:t>
      </w:r>
      <w:proofErr w:type="spellEnd"/>
      <w:r w:rsidRPr="00CC6E44">
        <w:t xml:space="preserve"> poduzeća, uzimajući u obzir da su oni okosnica gospodarstva EU-a;</w:t>
      </w:r>
    </w:p>
    <w:p w:rsidR="00590CCF" w:rsidRPr="00CC6E44" w:rsidRDefault="00590CCF" w:rsidP="00590CCF">
      <w:pPr>
        <w:pStyle w:val="NormalHanging12a"/>
      </w:pPr>
      <w:r w:rsidRPr="00CC6E44">
        <w:t>8.</w:t>
      </w:r>
      <w:r w:rsidRPr="00CC6E44">
        <w:tab/>
        <w:t>žali zbog toga što je prekogranična aktivnost banaka u EU-u i dalje prilično ograničena, posebno u pogledu odobravanja zajmova; stoga smatra da je važno dovršiti bankovnu uniju kako bi se podržalo slobodno kretanje kapitala na potpuno integriranom unutarnjem tržištu;</w:t>
      </w:r>
    </w:p>
    <w:p w:rsidR="00590CCF" w:rsidRPr="00CC6E44" w:rsidRDefault="00590CCF" w:rsidP="00590CCF">
      <w:pPr>
        <w:pStyle w:val="NormalHanging12a"/>
      </w:pPr>
      <w:r w:rsidRPr="00CC6E44">
        <w:lastRenderedPageBreak/>
        <w:t>9.</w:t>
      </w:r>
      <w:r w:rsidRPr="00CC6E44">
        <w:tab/>
        <w:t>poziva banke iz EU-a koje još posluju u Rusiji da što prije napuste rusko tržište; poziva nadzorne institucije da osiguraju da te banke brzo izađu s ruskog tržišta;</w:t>
      </w:r>
    </w:p>
    <w:p w:rsidR="00590CCF" w:rsidRPr="00CC6E44" w:rsidRDefault="00590CCF" w:rsidP="00590CCF">
      <w:pPr>
        <w:pStyle w:val="NormalHanging12a"/>
      </w:pPr>
      <w:r w:rsidRPr="00CC6E44">
        <w:t>10.</w:t>
      </w:r>
      <w:r w:rsidRPr="00CC6E44">
        <w:tab/>
        <w:t>poziva Komisiju da dodatno istraži bi li stvaranje zasebne jurisdikcije za banke u EU-u sa znatnim prekograničnim operacijama</w:t>
      </w:r>
      <w:r w:rsidRPr="00CC6E44">
        <w:rPr>
          <w:rStyle w:val="FootnoteReference"/>
        </w:rPr>
        <w:footnoteReference w:id="14"/>
      </w:r>
      <w:r w:rsidRPr="00CC6E44">
        <w:t xml:space="preserve"> moglo pomoći u dovršenju bankovne unije ili bi se time povećala fragmentacija bankarskog sektora;</w:t>
      </w:r>
    </w:p>
    <w:p w:rsidR="00590CCF" w:rsidRPr="00CC6E44" w:rsidRDefault="00590CCF" w:rsidP="00590CCF">
      <w:pPr>
        <w:pStyle w:val="NormalHanging12a"/>
      </w:pPr>
      <w:r w:rsidRPr="00CC6E44">
        <w:t>11.</w:t>
      </w:r>
      <w:r w:rsidRPr="00CC6E44">
        <w:tab/>
        <w:t xml:space="preserve">primjećuje da bi se mogla istražiti mogućnost revizije </w:t>
      </w:r>
      <w:proofErr w:type="spellStart"/>
      <w:r w:rsidRPr="00CC6E44">
        <w:t>sekuritizacijskog</w:t>
      </w:r>
      <w:proofErr w:type="spellEnd"/>
      <w:r w:rsidRPr="00CC6E44">
        <w:t xml:space="preserve"> okvira za jačanje europskih tržišta te uvođenje europskih osiguranih obveznica kao instrumenta financiranja s dvostrukom zaštitom za dugoročno financiranje MSP-ova, uzimajući u obzir rizike za financijsku stabilnost;</w:t>
      </w:r>
    </w:p>
    <w:p w:rsidR="00590CCF" w:rsidRPr="00CC6E44" w:rsidRDefault="00590CCF" w:rsidP="00590CCF">
      <w:pPr>
        <w:pStyle w:val="NormalHanging12a"/>
      </w:pPr>
      <w:r w:rsidRPr="00CC6E44">
        <w:t>12.</w:t>
      </w:r>
      <w:r w:rsidRPr="00CC6E44">
        <w:tab/>
        <w:t>ističe da je financijska pismenost ključna u modernim gospodarstvima jer doprinosi otpornosti bankarskih sustava u svim državama članicama i potiče prekogranične financijske aktivnosti;</w:t>
      </w:r>
    </w:p>
    <w:p w:rsidR="00590CCF" w:rsidRPr="00CC6E44" w:rsidRDefault="00590CCF" w:rsidP="00590CCF">
      <w:pPr>
        <w:pStyle w:val="NormalHanging12a"/>
        <w:rPr>
          <w:snapToGrid/>
        </w:rPr>
      </w:pPr>
      <w:r w:rsidRPr="00CC6E44">
        <w:t>13.</w:t>
      </w:r>
      <w:r w:rsidRPr="00CC6E44">
        <w:tab/>
        <w:t>ističe da će visoka razina zaštite potrošača povećati otpornost bankovne unije;</w:t>
      </w:r>
    </w:p>
    <w:p w:rsidR="00590CCF" w:rsidRPr="00CC6E44" w:rsidRDefault="00590CCF" w:rsidP="00590CCF">
      <w:pPr>
        <w:pStyle w:val="NormalHanging12a"/>
      </w:pPr>
      <w:r w:rsidRPr="00CC6E44">
        <w:t>14.</w:t>
      </w:r>
      <w:r w:rsidRPr="00CC6E44">
        <w:tab/>
        <w:t>smatra da bi se Komisija trebala usredotočiti na aspekte koji doprinose postizanju ciljeva u pogledu digitalizacije, modernizacije, pojednostavljenja, racionalizacije i veće konkurentnosti; tvrdi da su pravna sigurnost, pouzdanost, predvidljivost i stabilnost od presudne važnosti kako bi banke u EU-u mogle poslovati u povoljnim uvjetima;</w:t>
      </w:r>
    </w:p>
    <w:p w:rsidR="00590CCF" w:rsidRPr="00CC6E44" w:rsidRDefault="00590CCF" w:rsidP="00590CCF">
      <w:pPr>
        <w:pStyle w:val="NormalHanging12a"/>
      </w:pPr>
      <w:r w:rsidRPr="00CC6E44">
        <w:t>15.</w:t>
      </w:r>
      <w:r w:rsidRPr="00CC6E44">
        <w:tab/>
        <w:t xml:space="preserve">napominje da, osim tradicionalnih zajmova, različiti izvori financiranja mogu biti korisni za rast i konkurentnost EU-a te uviđa da su financijska rješenja osigurana imovinom </w:t>
      </w:r>
      <w:proofErr w:type="spellStart"/>
      <w:r w:rsidRPr="00CC6E44">
        <w:t>niskorizična</w:t>
      </w:r>
      <w:proofErr w:type="spellEnd"/>
      <w:r w:rsidRPr="00CC6E44">
        <w:t>;</w:t>
      </w:r>
    </w:p>
    <w:p w:rsidR="00590CCF" w:rsidRPr="00CC6E44" w:rsidRDefault="00590CCF" w:rsidP="00590CCF">
      <w:pPr>
        <w:pStyle w:val="NormalHanging12a"/>
        <w:rPr>
          <w:b/>
          <w:snapToGrid/>
        </w:rPr>
      </w:pPr>
      <w:r w:rsidRPr="00CC6E44">
        <w:t>16.</w:t>
      </w:r>
      <w:r w:rsidRPr="00CC6E44">
        <w:rPr>
          <w:b/>
          <w:i/>
        </w:rPr>
        <w:tab/>
      </w:r>
      <w:r w:rsidRPr="00CC6E44">
        <w:t>prima na znanje napredak ESB-a u pogledu digitalnog eura i parlamentarni dijalog s ESB-om o toj temi; razumije postojeće zadrške, primjerice u pogledu njegove funkcionalnosti izvan interneta, s obzirom na to da se transakcijama izvan interneta smanjuje vidljivost i ometa sprečavanje financijskog kriminala; podsjeća da bi digitalni euro trebao dopuniti, a ne zamijeniti gotovinu; smatra da je odluka o uvođenju digitalnog eura u konačnici politička odluka koju moraju donijeti suzakonodavci EU-a s obzirom na mogući znatan utjecaj te odluke na širok raspon područja obuhvaćenih nadležnostima EU-a, uključujući privatnost, zaštitu potrošača, financijsku stabilnost, financijsku politiku i ostala područja koja nadilaze strogo područje monetarne politike;</w:t>
      </w:r>
    </w:p>
    <w:p w:rsidR="00590CCF" w:rsidRPr="00CC6E44" w:rsidRDefault="00590CCF" w:rsidP="00590CCF">
      <w:pPr>
        <w:pStyle w:val="NormalHanging12a"/>
      </w:pPr>
      <w:r w:rsidRPr="00CC6E44">
        <w:t>17.</w:t>
      </w:r>
      <w:r w:rsidRPr="00CC6E44">
        <w:tab/>
        <w:t xml:space="preserve">žali zbog toga što neke financijske institucije nisu uspjele osigurati rodnu ravnotežu, posebno u svojim upravljačkim tijelima; naglašava da rodna ravnoteža u odborima i među radnicima donosi i društvenu i gospodarsku dobit; poziva financijske institucije da redovito ažuriraju svoje politike raznolikosti i uključenosti te da pomažu u poticanju zdrave radne kulture u kojoj se prednost daje </w:t>
      </w:r>
      <w:proofErr w:type="spellStart"/>
      <w:r w:rsidRPr="00CC6E44">
        <w:t>uključivosti</w:t>
      </w:r>
      <w:proofErr w:type="spellEnd"/>
      <w:r w:rsidRPr="00CC6E44">
        <w:t>; poziva privatne i javne subjekte da se uhvate u koštac s nedostatkom raznolikosti i rodne ravnoteže u upravljačkim tijelima financijskih institucija;</w:t>
      </w:r>
    </w:p>
    <w:p w:rsidR="00590CCF" w:rsidRPr="00CC6E44" w:rsidRDefault="00590CCF" w:rsidP="00590CCF">
      <w:pPr>
        <w:pStyle w:val="Normal12a24b"/>
        <w:jc w:val="both"/>
      </w:pPr>
      <w:r w:rsidRPr="00CC6E44">
        <w:rPr>
          <w:rStyle w:val="BoldItalic"/>
        </w:rPr>
        <w:t>Nadzor</w:t>
      </w:r>
    </w:p>
    <w:p w:rsidR="00590CCF" w:rsidRPr="00CC6E44" w:rsidRDefault="00590CCF" w:rsidP="00590CCF">
      <w:pPr>
        <w:pStyle w:val="NormalHanging12a"/>
      </w:pPr>
      <w:r w:rsidRPr="00CC6E44">
        <w:t>18.</w:t>
      </w:r>
      <w:r w:rsidRPr="00CC6E44">
        <w:tab/>
        <w:t xml:space="preserve">pozdravlja činjenicu da su suzakonodavci donijeli novi paket o bankarstvu kojim se u EU-u provode standardi </w:t>
      </w:r>
      <w:proofErr w:type="spellStart"/>
      <w:r w:rsidRPr="00CC6E44">
        <w:t>Basel</w:t>
      </w:r>
      <w:proofErr w:type="spellEnd"/>
      <w:r w:rsidRPr="00CC6E44">
        <w:t xml:space="preserve"> III; primjećuje da trenutačno postoji nedostatak jasnoće u pogledu provedbe standarda </w:t>
      </w:r>
      <w:proofErr w:type="spellStart"/>
      <w:r w:rsidRPr="00CC6E44">
        <w:t>Basel</w:t>
      </w:r>
      <w:proofErr w:type="spellEnd"/>
      <w:r w:rsidRPr="00CC6E44">
        <w:t xml:space="preserve"> III u nekim drugim jurisdikcijama i da je moguć rizik </w:t>
      </w:r>
      <w:r w:rsidRPr="00CC6E44">
        <w:lastRenderedPageBreak/>
        <w:t>u pogledu jednakih uvjeta na međunarodnoj razini;</w:t>
      </w:r>
      <w:r w:rsidRPr="00CC6E44">
        <w:rPr>
          <w:b/>
          <w:i/>
        </w:rPr>
        <w:t xml:space="preserve"> </w:t>
      </w:r>
      <w:r w:rsidRPr="00CC6E44">
        <w:t xml:space="preserve">naglašava da bi Komisija trebala ocijeniti bi li ciljane promjene mogle pomoći u održavanju međunarodne konkurentnosti banaka EU-a bez slabljenja njihove otpornosti; podsjeća da je delegiranim aktom o datumu primjene kapitalnih zahtjeva za tržišni rizik datum početka primjene novog okvira za tržišni rizik odgođen za jednu godinu do 1. siječnja 2026.; poziva Komisiju da procijeni je li potrebno preispitati odluke o istovjetnosti donesene s jurisdikcijama koje ne provode standarde </w:t>
      </w:r>
      <w:proofErr w:type="spellStart"/>
      <w:r w:rsidRPr="00CC6E44">
        <w:t>Basel</w:t>
      </w:r>
      <w:proofErr w:type="spellEnd"/>
      <w:r w:rsidRPr="00CC6E44">
        <w:t> III kako bi se očuvala financijska stabilnost financijskog sektora EU-a;</w:t>
      </w:r>
    </w:p>
    <w:p w:rsidR="00F52F28" w:rsidRPr="00CC6E44" w:rsidRDefault="00F52F28" w:rsidP="00590CCF">
      <w:pPr>
        <w:pStyle w:val="NormalHanging12a"/>
      </w:pPr>
      <w:r w:rsidRPr="00CC6E44">
        <w:t>19.</w:t>
      </w:r>
      <w:r w:rsidRPr="00CC6E44">
        <w:tab/>
        <w:t>prima na znanje sve učestaliju pojavu zatvaranja podružnica banaka, što doprinosi riziku od gašenja banaka u određenim regijama, a to posebno negativno utječe na ranjive građane koji nemaju digitalni pristup; ističe presudnu ulogu manjih banaka u osiguravanju pristupa osnovnim bankarskim uslugama, posebno u ruralnim i udaljenim područjima, čime se podupiru kućanstva, MSP-ovi i lokalna gospodarstva; napominje da visoki troškovi nadzora i regulatorna opterećenja mogu biti znatni izazovi za manje banke; ističe potrebu za primjenom načela proporcionalnosti pri nadzoru banaka, čime se osigurava da je intenzitet regulacije prilagođen veličini, profilu rizičnosti i poslovnom modelu institucija, uzimajući pritom u obzir ključnu teritorijalnu ulogu manjih banaka i njihove posebne značajke;</w:t>
      </w:r>
    </w:p>
    <w:p w:rsidR="00590CCF" w:rsidRPr="00CC6E44" w:rsidRDefault="008E789B" w:rsidP="00590CCF">
      <w:pPr>
        <w:pStyle w:val="NormalHanging12a"/>
      </w:pPr>
      <w:r w:rsidRPr="00CC6E44">
        <w:t>20</w:t>
      </w:r>
      <w:r w:rsidR="00590CCF" w:rsidRPr="00CC6E44">
        <w:t>.</w:t>
      </w:r>
      <w:r w:rsidR="00590CCF" w:rsidRPr="00CC6E44">
        <w:tab/>
        <w:t>podsjeća da paket o bankarstvu sadržava velik broj mandata Europskog nadzornog tijela za bankarstvo; poziva Europsko nadzorno tijelo za bankarstvo da te mandate poštuje;</w:t>
      </w:r>
    </w:p>
    <w:p w:rsidR="00590CCF" w:rsidRPr="00CC6E44" w:rsidRDefault="008E789B" w:rsidP="00590CCF">
      <w:pPr>
        <w:pStyle w:val="NormalHanging12a"/>
      </w:pPr>
      <w:r w:rsidRPr="00CC6E44">
        <w:t>21</w:t>
      </w:r>
      <w:r w:rsidR="00590CCF" w:rsidRPr="00CC6E44">
        <w:t>.</w:t>
      </w:r>
      <w:r w:rsidR="00590CCF" w:rsidRPr="00CC6E44">
        <w:tab/>
        <w:t>napominje da je bankarski sektor čak i unutar postojećeg regulatornog okvira pokazao otpornost tijekom događaja na tržištu posljednjih godina te da je prosječna stopa redovnog osnovnog kapitala ostala na visokoj razini i iznosi 15,81 %;</w:t>
      </w:r>
    </w:p>
    <w:p w:rsidR="00590CCF" w:rsidRPr="00CC6E44" w:rsidRDefault="008E789B" w:rsidP="00590CCF">
      <w:pPr>
        <w:pStyle w:val="NormalHanging12a"/>
      </w:pPr>
      <w:r w:rsidRPr="00CC6E44">
        <w:t>22</w:t>
      </w:r>
      <w:r w:rsidR="00590CCF" w:rsidRPr="00CC6E44">
        <w:t>.</w:t>
      </w:r>
      <w:r w:rsidR="00590CCF" w:rsidRPr="00CC6E44">
        <w:tab/>
        <w:t xml:space="preserve">napominje da je udio </w:t>
      </w:r>
      <w:proofErr w:type="spellStart"/>
      <w:r w:rsidR="00590CCF" w:rsidRPr="00CC6E44">
        <w:t>neprihodonosnih</w:t>
      </w:r>
      <w:proofErr w:type="spellEnd"/>
      <w:r w:rsidR="00590CCF" w:rsidRPr="00CC6E44">
        <w:t xml:space="preserve"> kredita ostao stabilan na 2,30 %, a kvocijent </w:t>
      </w:r>
      <w:proofErr w:type="spellStart"/>
      <w:r w:rsidR="00590CCF" w:rsidRPr="00CC6E44">
        <w:t>likvidnosne</w:t>
      </w:r>
      <w:proofErr w:type="spellEnd"/>
      <w:r w:rsidR="00590CCF" w:rsidRPr="00CC6E44">
        <w:t xml:space="preserve"> pokrivenosti na 159,39 %;</w:t>
      </w:r>
    </w:p>
    <w:p w:rsidR="00590CCF" w:rsidRPr="00CC6E44" w:rsidRDefault="008E789B" w:rsidP="00590CCF">
      <w:pPr>
        <w:pStyle w:val="NormalHanging12a"/>
      </w:pPr>
      <w:r w:rsidRPr="00CC6E44">
        <w:t>23</w:t>
      </w:r>
      <w:r w:rsidR="00590CCF" w:rsidRPr="00CC6E44">
        <w:t>.</w:t>
      </w:r>
      <w:r w:rsidR="00590CCF" w:rsidRPr="00CC6E44">
        <w:tab/>
        <w:t xml:space="preserve">primjećuje da postoje različite razine izloženosti </w:t>
      </w:r>
      <w:proofErr w:type="spellStart"/>
      <w:r w:rsidR="00590CCF" w:rsidRPr="00CC6E44">
        <w:t>neprihodonosnim</w:t>
      </w:r>
      <w:proofErr w:type="spellEnd"/>
      <w:r w:rsidR="00590CCF" w:rsidRPr="00CC6E44">
        <w:t xml:space="preserve"> kreditima i podsjeća da postoje države članice čije su razine izloženosti 1 % ili čak niže, dok druge države članice imaju razine izloženosti veće od 4 %; smatra da bi se napori za smanjenje izloženosti europskih banaka toj vrsti kredita trebali nastaviti kao dobra praksa upravljanja rizicima;</w:t>
      </w:r>
    </w:p>
    <w:p w:rsidR="00590CCF" w:rsidRPr="00CC6E44" w:rsidRDefault="008E789B" w:rsidP="00590CCF">
      <w:pPr>
        <w:pStyle w:val="NormalHanging12a"/>
      </w:pPr>
      <w:r w:rsidRPr="00CC6E44">
        <w:t>24</w:t>
      </w:r>
      <w:r w:rsidR="00590CCF" w:rsidRPr="00CC6E44">
        <w:t>.</w:t>
      </w:r>
      <w:r w:rsidR="00590CCF" w:rsidRPr="00CC6E44">
        <w:tab/>
        <w:t xml:space="preserve">ističe činjenicu da nepovoljni makroekonomski uvjeti, geopolitički problemi i brz razvoj usluga odgode plaćanja mogu dovesti do pogoršanja kvalitete imovine i utjecati na razinu </w:t>
      </w:r>
      <w:proofErr w:type="spellStart"/>
      <w:r w:rsidR="00590CCF" w:rsidRPr="00CC6E44">
        <w:t>neprihodonosnih</w:t>
      </w:r>
      <w:proofErr w:type="spellEnd"/>
      <w:r w:rsidR="00590CCF" w:rsidRPr="00CC6E44">
        <w:t xml:space="preserve"> kredita u budućnosti; stoga ističe važnost opreznog upravljanja rizicima i primjerenog izdvajanja rezervacija;</w:t>
      </w:r>
    </w:p>
    <w:p w:rsidR="00590CCF" w:rsidRPr="00CC6E44" w:rsidRDefault="008E789B" w:rsidP="00590CCF">
      <w:pPr>
        <w:pStyle w:val="NormalHanging12a"/>
      </w:pPr>
      <w:r w:rsidRPr="00CC6E44">
        <w:t>25</w:t>
      </w:r>
      <w:r w:rsidR="00590CCF" w:rsidRPr="00CC6E44">
        <w:t>.</w:t>
      </w:r>
      <w:r w:rsidR="00590CCF" w:rsidRPr="00CC6E44">
        <w:tab/>
        <w:t xml:space="preserve">napominje da trenutačne razine profitabilnosti bankarskog sektora nekim državama članicama mogu pružiti priliku da povećaju </w:t>
      </w:r>
      <w:proofErr w:type="spellStart"/>
      <w:r w:rsidR="00590CCF" w:rsidRPr="00CC6E44">
        <w:t>makrobonitetne</w:t>
      </w:r>
      <w:proofErr w:type="spellEnd"/>
      <w:r w:rsidR="00590CCF" w:rsidRPr="00CC6E44">
        <w:t xml:space="preserve"> zaštitne slojeve i pomoći u očuvanju otpornosti bankarskog sektora; poziva Komisiju da dodatno istraži tu mogućnost i pažljivo procijeni kako revidirati </w:t>
      </w:r>
      <w:proofErr w:type="spellStart"/>
      <w:r w:rsidR="00590CCF" w:rsidRPr="00CC6E44">
        <w:t>makrobonitetni</w:t>
      </w:r>
      <w:proofErr w:type="spellEnd"/>
      <w:r w:rsidR="00590CCF" w:rsidRPr="00CC6E44">
        <w:t xml:space="preserve"> okvir, uzimajući u obzir mogući učinak na kapitalne zahtjeve te imajući na umu jednake uvjete s drugim jurisdikcijama;</w:t>
      </w:r>
    </w:p>
    <w:p w:rsidR="00590CCF" w:rsidRPr="00CC6E44" w:rsidRDefault="008E789B" w:rsidP="00590CCF">
      <w:pPr>
        <w:pStyle w:val="NormalHanging12a"/>
      </w:pPr>
      <w:r w:rsidRPr="00CC6E44">
        <w:t>26</w:t>
      </w:r>
      <w:r w:rsidR="00590CCF" w:rsidRPr="00CC6E44">
        <w:t>.</w:t>
      </w:r>
      <w:r w:rsidR="00590CCF" w:rsidRPr="00CC6E44">
        <w:rPr>
          <w:b/>
          <w:i/>
        </w:rPr>
        <w:tab/>
      </w:r>
      <w:r w:rsidR="00590CCF" w:rsidRPr="00CC6E44">
        <w:t>napominje da bankarski sektor ima ulogu u podupiranju prelaska na digitalizirano i ugljično neutralno gospodarstvo, u usmjeravanju sredstava na obnovljive izvore energije i podupiranju postizanja ciljeva zelenog plana EU-a i Europskog zakona o klimi;</w:t>
      </w:r>
    </w:p>
    <w:p w:rsidR="00590CCF" w:rsidRPr="00CC6E44" w:rsidRDefault="008E789B" w:rsidP="00590CCF">
      <w:pPr>
        <w:pStyle w:val="NormalHanging12a"/>
      </w:pPr>
      <w:r w:rsidRPr="00CC6E44">
        <w:lastRenderedPageBreak/>
        <w:t>27</w:t>
      </w:r>
      <w:r w:rsidR="00590CCF" w:rsidRPr="00CC6E44">
        <w:t>.</w:t>
      </w:r>
      <w:r w:rsidR="00590CCF" w:rsidRPr="00CC6E44">
        <w:tab/>
        <w:t>konstatira da Europska središnja banka u okviru svojih nadzornih praksi uzima u obzir financijske rizike povezane s klimom i prirodom te da pomno prati sve veće fizičke i tranzicijske rizike;</w:t>
      </w:r>
    </w:p>
    <w:p w:rsidR="00590CCF" w:rsidRPr="00CC6E44" w:rsidRDefault="008E789B" w:rsidP="00590CCF">
      <w:pPr>
        <w:pStyle w:val="NormalHanging12a"/>
      </w:pPr>
      <w:r w:rsidRPr="00CC6E44">
        <w:t>28</w:t>
      </w:r>
      <w:r w:rsidR="00590CCF" w:rsidRPr="00CC6E44">
        <w:t>.</w:t>
      </w:r>
      <w:r w:rsidR="00590CCF" w:rsidRPr="00CC6E44">
        <w:tab/>
        <w:t xml:space="preserve">pozdravlja ideju povećanja poduzetničkog kapitala i oslobađanja kapitala za financiranje brzorastućih trgovačkih društava u EU-u; prima na znanje predanost predsjednice Komisije </w:t>
      </w:r>
      <w:proofErr w:type="spellStart"/>
      <w:r w:rsidR="00590CCF" w:rsidRPr="00CC6E44">
        <w:t>Ursule</w:t>
      </w:r>
      <w:proofErr w:type="spellEnd"/>
      <w:r w:rsidR="00590CCF" w:rsidRPr="00CC6E44">
        <w:t xml:space="preserve"> von der </w:t>
      </w:r>
      <w:proofErr w:type="spellStart"/>
      <w:r w:rsidR="00590CCF" w:rsidRPr="00CC6E44">
        <w:t>Leyen</w:t>
      </w:r>
      <w:proofErr w:type="spellEnd"/>
      <w:r w:rsidR="00590CCF" w:rsidRPr="00CC6E44">
        <w:t xml:space="preserve"> uvođenju mjera za apsorpciju rizika kako bi se komercijalnim bankama, ulagačima i poduzetničkom kapitalu olakšalo financiranje brzorastućih trgovačkih društava</w:t>
      </w:r>
      <w:r w:rsidR="00590CCF" w:rsidRPr="00CC6E44">
        <w:rPr>
          <w:rStyle w:val="FootnoteReference"/>
        </w:rPr>
        <w:footnoteReference w:id="15"/>
      </w:r>
      <w:r w:rsidR="00590CCF" w:rsidRPr="00CC6E44">
        <w:t>; napominje da se to mora učiniti na način koji ne predstavlja sistemski rizik niti moralni hazard;</w:t>
      </w:r>
    </w:p>
    <w:p w:rsidR="00590CCF" w:rsidRPr="00CC6E44" w:rsidRDefault="008E789B" w:rsidP="00590CCF">
      <w:pPr>
        <w:pStyle w:val="NormalHanging12a"/>
      </w:pPr>
      <w:r w:rsidRPr="00CC6E44">
        <w:t>29</w:t>
      </w:r>
      <w:r w:rsidR="00590CCF" w:rsidRPr="00CC6E44">
        <w:t>.</w:t>
      </w:r>
      <w:r w:rsidR="00590CCF" w:rsidRPr="00CC6E44">
        <w:tab/>
        <w:t>pozdravlja osnivanje novog Tijela za sprečavanje pranja novca i borbu protiv financiranja terorizma, koje će omogućiti učinkovitije načine borbe protiv pranja novca i financiranja terorizma izravnim nadzorom nad određenim financijskim subjektima te boljom suradnjom, boljim protokom informacija među nacionalnim tijelima i boljom koordinacijom među tijelima za provedbu sankcija u državama članicama kako bi se pomoglo u uklanjanju nedostataka pri provedbi ciljanih sankcija;</w:t>
      </w:r>
    </w:p>
    <w:p w:rsidR="00590CCF" w:rsidRPr="00CC6E44" w:rsidRDefault="008E789B" w:rsidP="00590CCF">
      <w:pPr>
        <w:pStyle w:val="NormalHanging12a"/>
      </w:pPr>
      <w:r w:rsidRPr="00CC6E44">
        <w:t>30</w:t>
      </w:r>
      <w:r w:rsidR="00590CCF" w:rsidRPr="00CC6E44">
        <w:t>.</w:t>
      </w:r>
      <w:r w:rsidR="00590CCF" w:rsidRPr="00CC6E44">
        <w:tab/>
        <w:t xml:space="preserve">ističe potrebu za jačanjem otpornosti nebankarskih financijskih posrednika, među ostalim oblikovanjem posebnih regulatornih i nadzornih instrumenata; ističe da se takvim mjerama mora zajamčiti sigurnost financijskog sustava te zaštititi najbolji interes klijenata; pozdravlja savjetovanje Komisije o </w:t>
      </w:r>
      <w:proofErr w:type="spellStart"/>
      <w:r w:rsidR="00590CCF" w:rsidRPr="00CC6E44">
        <w:t>makrobonitetnim</w:t>
      </w:r>
      <w:proofErr w:type="spellEnd"/>
      <w:r w:rsidR="00590CCF" w:rsidRPr="00CC6E44">
        <w:t xml:space="preserve"> politikama za nebankarske financijske posrednike; podržava preporuku Eurosustava o uvođenju testiranja otpornosti na stres na razini cijelog sustava radi utvrđivanja i kvantificiranja rizika za otpornost ključnih tržišta; poziva Komisiju da istraži postoje li nedostaci u nadzornim alatima, među ostalim u vezi s mogućim krizama likvidnosti i implikacijama za sistemski rizik;</w:t>
      </w:r>
    </w:p>
    <w:p w:rsidR="00590CCF" w:rsidRPr="00CC6E44" w:rsidRDefault="008E789B" w:rsidP="00590CCF">
      <w:pPr>
        <w:pStyle w:val="NormalHanging12a"/>
      </w:pPr>
      <w:r w:rsidRPr="00CC6E44">
        <w:t>31</w:t>
      </w:r>
      <w:r w:rsidR="00590CCF" w:rsidRPr="00CC6E44">
        <w:t>.</w:t>
      </w:r>
      <w:r w:rsidR="00590CCF" w:rsidRPr="00CC6E44">
        <w:tab/>
        <w:t xml:space="preserve">napominje da </w:t>
      </w:r>
      <w:proofErr w:type="spellStart"/>
      <w:r w:rsidR="00590CCF" w:rsidRPr="00CC6E44">
        <w:t>kriptoimovina</w:t>
      </w:r>
      <w:proofErr w:type="spellEnd"/>
      <w:r w:rsidR="00590CCF" w:rsidRPr="00CC6E44">
        <w:t xml:space="preserve"> stvara nove izazove i prilike za financijski sustav, ali je za njega i rizik, te da im nacionalna nadzorna tijela, jedinstveni nadzorni mehanizam i Europski odbor za sistemske rizike trebaju posvetiti pozornost;</w:t>
      </w:r>
    </w:p>
    <w:p w:rsidR="00590CCF" w:rsidRPr="00CC6E44" w:rsidRDefault="00590CCF" w:rsidP="00590CCF">
      <w:pPr>
        <w:pStyle w:val="Normal12a24b"/>
        <w:jc w:val="both"/>
      </w:pPr>
      <w:r w:rsidRPr="00CC6E44">
        <w:rPr>
          <w:rStyle w:val="BoldItalic"/>
        </w:rPr>
        <w:t>Rezolucija</w:t>
      </w:r>
    </w:p>
    <w:p w:rsidR="00590CCF" w:rsidRPr="00CC6E44" w:rsidRDefault="008E789B" w:rsidP="00590CCF">
      <w:pPr>
        <w:pStyle w:val="NormalHanging12a"/>
      </w:pPr>
      <w:r w:rsidRPr="00CC6E44">
        <w:t>32</w:t>
      </w:r>
      <w:r w:rsidR="00590CCF" w:rsidRPr="00CC6E44">
        <w:t>.</w:t>
      </w:r>
      <w:r w:rsidR="00590CCF" w:rsidRPr="00CC6E44">
        <w:tab/>
        <w:t>podsjeća na to da stajalište koje je Parlament usvojio u travnju 2024. o okviru za upravljanje krizama i osiguranje depozita u svim državama članicama osigurava dosljedniji pristup primjeni sanacijskih instrumenata i zaštite depozita kako bi se poboljšala financijska stabilnost, zaštita poreznih obveznika i povjerenje deponenata; napominje da male banke imaju neke posebnosti koje mogu zahtijevati razmjeran pristup; naglašava da bi europska i nacionalna nadležna tijela trebala imati na raspolaganju odgovarajuće i dostatne alate za učinkovit odgovor na propadanje banaka i zaštitu financijske stabilnosti te da banke moraju poslovati u učinkovitom regulatornom okružju koje potiče njihov razvoj;</w:t>
      </w:r>
    </w:p>
    <w:p w:rsidR="00590CCF" w:rsidRPr="00CC6E44" w:rsidRDefault="008E789B" w:rsidP="00590CCF">
      <w:pPr>
        <w:pStyle w:val="NormalHanging12a"/>
      </w:pPr>
      <w:r w:rsidRPr="00CC6E44">
        <w:t>33</w:t>
      </w:r>
      <w:r w:rsidR="00590CCF" w:rsidRPr="00CC6E44">
        <w:t>.</w:t>
      </w:r>
      <w:r w:rsidR="00590CCF" w:rsidRPr="00CC6E44">
        <w:tab/>
        <w:t xml:space="preserve">ističe važnost očuvanja primarne odgovornosti dioničara i vjerovnika za pokrivanje gubitaka u slučaju propasti banke; naglašava da se mora izbjegavati posezanje za novcem poreznih obveznika, što je i dalje ključna pouka izvučena iz globalne financijske krize; naglašava da sanacija vlastitim sredstvima dioničara i vjerovnika </w:t>
      </w:r>
      <w:r w:rsidR="00590CCF" w:rsidRPr="00CC6E44">
        <w:lastRenderedPageBreak/>
        <w:t>mora ostati glavni izvor financiranja sanacije prije nego što se iskoriste izvori koje financira industrija;</w:t>
      </w:r>
    </w:p>
    <w:p w:rsidR="00590CCF" w:rsidRPr="00CC6E44" w:rsidRDefault="008E789B" w:rsidP="00590CCF">
      <w:pPr>
        <w:pStyle w:val="NormalHanging12a"/>
      </w:pPr>
      <w:r w:rsidRPr="00CC6E44">
        <w:t>34</w:t>
      </w:r>
      <w:r w:rsidR="00590CCF" w:rsidRPr="00CC6E44">
        <w:t>.</w:t>
      </w:r>
      <w:r w:rsidR="00590CCF" w:rsidRPr="00CC6E44">
        <w:tab/>
        <w:t>podsjeća na to da je dovoljan minimalan zahtjev za regulatorni kapital i prihvatljive obveze ključan za vjerodostojan okvir za sanaciju i za osiguravanje da sanacijska tijela imaju dovoljnu fleksibilnost za učinkovitu primjenu sanacijskih strategija potrebnih u konkretnoj kriznoj situaciji; ističe da bi taj minimalni zahtjev trebao biti dovoljan za učinkovitu provedbu svake sanacijske strategije uključene u sanacijski plan banke; podsjeća da bi okvirom za sanaciju trebalo izbjeći neopravdano povećanje kalibracije minimalnog zahtjeva za regulatorni kapital i prihvatljive obveze te nerazmjerne doprinose u Jedinstveni fond za sanaciju;</w:t>
      </w:r>
    </w:p>
    <w:p w:rsidR="00590CCF" w:rsidRPr="00CC6E44" w:rsidRDefault="008E789B" w:rsidP="00590CCF">
      <w:pPr>
        <w:pStyle w:val="NormalHanging12a"/>
      </w:pPr>
      <w:r w:rsidRPr="00CC6E44">
        <w:t>35</w:t>
      </w:r>
      <w:r w:rsidR="00590CCF" w:rsidRPr="00CC6E44">
        <w:t>.</w:t>
      </w:r>
      <w:r w:rsidR="00590CCF" w:rsidRPr="00CC6E44">
        <w:tab/>
        <w:t>naglašava da bi, ako se prihvatljive obveze banke izdaju ulagačima izvan EU-a, otpis ili konverzija tih obveza trebali biti izvršivi s potpunom sigurnošću kako bi se zaštitila učinkovita primjena sanacijskih instrumenata;</w:t>
      </w:r>
    </w:p>
    <w:p w:rsidR="00590CCF" w:rsidRPr="00CC6E44" w:rsidRDefault="008E789B" w:rsidP="00590CCF">
      <w:pPr>
        <w:pStyle w:val="NormalHanging12a"/>
      </w:pPr>
      <w:r w:rsidRPr="00CC6E44">
        <w:t>36</w:t>
      </w:r>
      <w:r w:rsidR="00590CCF" w:rsidRPr="00CC6E44">
        <w:t>.</w:t>
      </w:r>
      <w:r w:rsidR="00590CCF" w:rsidRPr="00CC6E44">
        <w:tab/>
        <w:t>napominje da bi trebalo izbjegavati svako oslanjanje na novac poreznih obveznika za potrebe sanacije banaka, među ostalim za potporu za likvidnost, te pritom poštovati fiskalnu i društvenu odgovornost i tržišnu disciplinu;</w:t>
      </w:r>
    </w:p>
    <w:p w:rsidR="00590CCF" w:rsidRPr="00CC6E44" w:rsidRDefault="008E789B" w:rsidP="00590CCF">
      <w:pPr>
        <w:pStyle w:val="NormalHanging12a"/>
      </w:pPr>
      <w:r w:rsidRPr="00CC6E44">
        <w:t>37</w:t>
      </w:r>
      <w:r w:rsidR="00590CCF" w:rsidRPr="00CC6E44">
        <w:t>.</w:t>
      </w:r>
      <w:r w:rsidR="00590CCF" w:rsidRPr="00CC6E44">
        <w:tab/>
        <w:t>podsjeća da banke moraju nastaviti ispunjavati svoje obveze i obavljati svoje ključne funkcije nakon provedbe odluke o sanaciji;</w:t>
      </w:r>
    </w:p>
    <w:p w:rsidR="00590CCF" w:rsidRPr="00CC6E44" w:rsidRDefault="008E789B" w:rsidP="00590CCF">
      <w:pPr>
        <w:pStyle w:val="NormalHanging12a"/>
      </w:pPr>
      <w:r w:rsidRPr="00CC6E44">
        <w:t>38</w:t>
      </w:r>
      <w:r w:rsidR="00590CCF" w:rsidRPr="00CC6E44">
        <w:t>.</w:t>
      </w:r>
      <w:r w:rsidR="00590CCF" w:rsidRPr="00CC6E44">
        <w:tab/>
        <w:t>podsjeća na važnost pojašnjavanja uloge ESB-a kao pružatelja likvidnosti tijekom sanacije, pri čemu dužnu pozornost treba pridati odgovarajućim jamstvima i mandatu ESB-a;</w:t>
      </w:r>
    </w:p>
    <w:p w:rsidR="00590CCF" w:rsidRPr="00CC6E44" w:rsidRDefault="008E789B" w:rsidP="00590CCF">
      <w:pPr>
        <w:pStyle w:val="NormalHanging12a"/>
      </w:pPr>
      <w:r w:rsidRPr="00CC6E44">
        <w:t>39</w:t>
      </w:r>
      <w:r w:rsidR="00590CCF" w:rsidRPr="00CC6E44">
        <w:t>.</w:t>
      </w:r>
      <w:r w:rsidR="00590CCF" w:rsidRPr="00CC6E44">
        <w:tab/>
        <w:t xml:space="preserve">ističe najavu Jedinstvenog sanacijskog odbora da će poboljšati svoje kapacitete za pokretanje izvršnih mjera kako bi se uklonile bitne prepreke za provedivost sanacije; poziva na to da se na kraju svakog ciklusa planiranja sanacije objavi </w:t>
      </w:r>
      <w:proofErr w:type="spellStart"/>
      <w:r w:rsidR="00590CCF" w:rsidRPr="00CC6E44">
        <w:t>anonimiziran</w:t>
      </w:r>
      <w:proofErr w:type="spellEnd"/>
      <w:r w:rsidR="00590CCF" w:rsidRPr="00CC6E44">
        <w:t xml:space="preserve"> popis utvrđenih prepreka za provedivost sanacije i mjera donesenih za njihovo uklanjanje;</w:t>
      </w:r>
    </w:p>
    <w:p w:rsidR="00590CCF" w:rsidRPr="00CC6E44" w:rsidRDefault="008E789B" w:rsidP="00590CCF">
      <w:pPr>
        <w:pStyle w:val="NormalHanging12a"/>
      </w:pPr>
      <w:r w:rsidRPr="00CC6E44">
        <w:t>40</w:t>
      </w:r>
      <w:r w:rsidR="00590CCF" w:rsidRPr="00CC6E44">
        <w:t>.</w:t>
      </w:r>
      <w:r w:rsidR="00590CCF" w:rsidRPr="00CC6E44">
        <w:tab/>
        <w:t>pozdravlja Stratešku viziju jedinstvenog sanacijskog mehanizma za 2028. koju je donio Jedinstveni sanacijski odbor kako bi se utvrdili njegovi dugoročni ciljevi, riješili novi problemi te dodatno ojačala suradnja s nacionalnim sanacijskim tijelima i ostalim dionicima; posebno primjećuje namjeru Jedinstvenog sanacijskog odbora da utvrdi područja u kojima se održivost može dodatno integrirati u njegovo svakodnevno funkcioniranje i temeljno poslovanje; ističe da je potrebno osigurati učinkovitost i isplativost pri provedbi nove strategije;</w:t>
      </w:r>
    </w:p>
    <w:p w:rsidR="00590CCF" w:rsidRPr="00CC6E44" w:rsidRDefault="008E789B" w:rsidP="00590CCF">
      <w:pPr>
        <w:pStyle w:val="NormalHanging12a"/>
      </w:pPr>
      <w:r w:rsidRPr="00CC6E44">
        <w:t>41</w:t>
      </w:r>
      <w:r w:rsidR="00590CCF" w:rsidRPr="00CC6E44">
        <w:t>.</w:t>
      </w:r>
      <w:r w:rsidR="00590CCF" w:rsidRPr="00CC6E44">
        <w:tab/>
        <w:t>pozdravlja plan Jedinstvenog sanacijskog odbora za racionalizaciju godišnjeg ciklusa planiranja sanacije kako bi on bio učinkovitiji i više usmjeren na testiranje provedivosti sanacije banaka i operacionalizaciju sanacijskih strategija;</w:t>
      </w:r>
    </w:p>
    <w:p w:rsidR="00590CCF" w:rsidRPr="00CC6E44" w:rsidRDefault="008E789B" w:rsidP="00590CCF">
      <w:pPr>
        <w:pStyle w:val="NormalHanging12a"/>
      </w:pPr>
      <w:r w:rsidRPr="00CC6E44">
        <w:t>42</w:t>
      </w:r>
      <w:r w:rsidR="00590CCF" w:rsidRPr="00CC6E44">
        <w:t>.</w:t>
      </w:r>
      <w:r w:rsidR="00590CCF" w:rsidRPr="00CC6E44">
        <w:tab/>
        <w:t>pozdravlja činjenicu da je Jedinstveni fond za sanaciju sad uspostavljen; poziva sve države članice da u potpunosti ratificiraju Sporazum o izmjeni Ugovora o Europskom stabilizacijskom mehanizmu, uključujući uspostavu zajedničkog zaštitnog mehanizma za Jedinstveni fond za sanaciju;</w:t>
      </w:r>
    </w:p>
    <w:p w:rsidR="00590CCF" w:rsidRPr="00CC6E44" w:rsidRDefault="008E789B" w:rsidP="00590CCF">
      <w:pPr>
        <w:pStyle w:val="NormalHanging12a"/>
      </w:pPr>
      <w:r w:rsidRPr="00CC6E44">
        <w:t>43</w:t>
      </w:r>
      <w:r w:rsidR="00590CCF" w:rsidRPr="00CC6E44">
        <w:t>.</w:t>
      </w:r>
      <w:r w:rsidR="00590CCF" w:rsidRPr="00CC6E44">
        <w:tab/>
        <w:t xml:space="preserve">ističe potrebu za dodatnim naporima kako bi se osigurala potpuna provedivost sanacije za sve banke obuhvaćene područjem sanacije; podsjeća da se postizanje provedivosti sanacije ne može smatrati „promjenjivim ciljem” te stoga poziva na veću </w:t>
      </w:r>
      <w:r w:rsidR="00590CCF" w:rsidRPr="00CC6E44">
        <w:lastRenderedPageBreak/>
        <w:t>standardizaciju i usklađivanje procjene provedivosti sanacije; međutim, podsjeća na važnu ulogu nacionalnih sanacijskih tijela u procjeni provedivosti sanacije;</w:t>
      </w:r>
    </w:p>
    <w:p w:rsidR="00590CCF" w:rsidRPr="00CC6E44" w:rsidRDefault="00590CCF" w:rsidP="00590CCF">
      <w:pPr>
        <w:pStyle w:val="Normal12a24b"/>
        <w:jc w:val="both"/>
      </w:pPr>
      <w:r w:rsidRPr="00CC6E44">
        <w:rPr>
          <w:rStyle w:val="BoldItalic"/>
        </w:rPr>
        <w:t>Osiguranje depozita</w:t>
      </w:r>
    </w:p>
    <w:p w:rsidR="00590CCF" w:rsidRPr="00CC6E44" w:rsidRDefault="008E789B" w:rsidP="00590CCF">
      <w:pPr>
        <w:pStyle w:val="NormalHanging12a"/>
      </w:pPr>
      <w:r w:rsidRPr="00CC6E44">
        <w:t>44</w:t>
      </w:r>
      <w:r w:rsidR="00590CCF" w:rsidRPr="00CC6E44">
        <w:t>.</w:t>
      </w:r>
      <w:r w:rsidR="00590CCF" w:rsidRPr="00CC6E44">
        <w:tab/>
        <w:t>ističe činjenicu da je prijedlog Komisije o uspostavi europskog sustava osiguranja depozita objavljen još 2015. i da se okružje od tad znatno promijenilo;</w:t>
      </w:r>
    </w:p>
    <w:p w:rsidR="00590CCF" w:rsidRPr="00CC6E44" w:rsidRDefault="008E789B" w:rsidP="00590CCF">
      <w:pPr>
        <w:pStyle w:val="NormalHanging12a"/>
      </w:pPr>
      <w:r w:rsidRPr="00CC6E44">
        <w:t>45</w:t>
      </w:r>
      <w:r w:rsidR="00590CCF" w:rsidRPr="00CC6E44">
        <w:t>.</w:t>
      </w:r>
      <w:r w:rsidR="00590CCF" w:rsidRPr="00CC6E44">
        <w:tab/>
        <w:t>podsjeća da je stajalište Odbora za ekonomsku i monetarnu politiku o europskom sustavu osiguranja depozita doneseno u travnju 2024.; napominje da to stajalište odstupa od prijedloga Komisije iz 2015. i da se u njemu usvaja nov pristup; očekuje da Vijeće nastavi pregovore o europskom sustavu osiguranja depozita te ga u tome potiče;</w:t>
      </w:r>
    </w:p>
    <w:p w:rsidR="00590CCF" w:rsidRPr="00CC6E44" w:rsidRDefault="008E789B" w:rsidP="00590CCF">
      <w:pPr>
        <w:pStyle w:val="NormalHanging12a"/>
      </w:pPr>
      <w:r w:rsidRPr="00CC6E44">
        <w:t>46</w:t>
      </w:r>
      <w:r w:rsidR="00590CCF" w:rsidRPr="00CC6E44">
        <w:t>.</w:t>
      </w:r>
      <w:r w:rsidR="00590CCF" w:rsidRPr="00CC6E44">
        <w:tab/>
        <w:t>napominje da su nacionalni sustavi osiguranja depozita uspješno uvedeni i da su u brojnim slučajevima dokazali svoju funkcionalnost; ističe da je potrebno uzeti u obzir konkretne nacionalne značajke i očuvati sustave koji dobro funkcioniraju za manje banke, a koji su već uspostavljeni u nekim državama članicama, kao što su institucionalni sustavi zaštite, i to tako da se osiguraju jednaki uvjeti u cijeloj bankovnoj uniji;</w:t>
      </w:r>
    </w:p>
    <w:p w:rsidR="00590CCF" w:rsidRPr="00CC6E44" w:rsidRDefault="00590CCF" w:rsidP="00590CCF">
      <w:pPr>
        <w:pStyle w:val="NormalCenter12a"/>
      </w:pPr>
      <w:r w:rsidRPr="00CC6E44">
        <w:t>°</w:t>
      </w:r>
    </w:p>
    <w:p w:rsidR="00590CCF" w:rsidRPr="00CC6E44" w:rsidRDefault="00590CCF" w:rsidP="00590CCF">
      <w:pPr>
        <w:pStyle w:val="NormalCenter12a"/>
      </w:pPr>
      <w:r w:rsidRPr="00CC6E44">
        <w:t>°</w:t>
      </w:r>
      <w:r w:rsidRPr="00CC6E44">
        <w:tab/>
        <w:t>°</w:t>
      </w:r>
    </w:p>
    <w:p w:rsidR="00E365E1" w:rsidRPr="00CC6E44" w:rsidRDefault="008E789B" w:rsidP="006507A9">
      <w:pPr>
        <w:pStyle w:val="NormalHanging12a"/>
      </w:pPr>
      <w:r w:rsidRPr="00CC6E44">
        <w:t>47</w:t>
      </w:r>
      <w:r w:rsidR="00590CCF" w:rsidRPr="00CC6E44">
        <w:t>.</w:t>
      </w:r>
      <w:r w:rsidR="00590CCF" w:rsidRPr="00CC6E44">
        <w:tab/>
        <w:t>nalaže svojoj predsjednici da ovu Rezoluciju proslijedi Vijeću, Komisiji, Europskoj središnjoj banci, Jedinstvenom sanacijskom odboru i Europskom nadzornom tijelu za bankarstvo.</w:t>
      </w:r>
    </w:p>
    <w:sectPr w:rsidR="00E365E1" w:rsidRPr="00CC6E44" w:rsidSect="008B5FA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869" w:rsidRPr="008B5FAD" w:rsidRDefault="00205869">
      <w:r w:rsidRPr="008B5FAD">
        <w:separator/>
      </w:r>
    </w:p>
  </w:endnote>
  <w:endnote w:type="continuationSeparator" w:id="0">
    <w:p w:rsidR="00205869" w:rsidRPr="008B5FAD" w:rsidRDefault="00205869">
      <w:r w:rsidRPr="008B5F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ąSVbN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869" w:rsidRPr="008B5FAD" w:rsidRDefault="00205869">
      <w:r w:rsidRPr="008B5FAD">
        <w:separator/>
      </w:r>
    </w:p>
  </w:footnote>
  <w:footnote w:type="continuationSeparator" w:id="0">
    <w:p w:rsidR="00205869" w:rsidRPr="008B5FAD" w:rsidRDefault="00205869">
      <w:r w:rsidRPr="008B5FAD">
        <w:continuationSeparator/>
      </w:r>
    </w:p>
  </w:footnote>
  <w:footnote w:id="1">
    <w:p w:rsidR="00590CCF" w:rsidRPr="008B5FAD" w:rsidRDefault="00590CCF" w:rsidP="008B5FAD">
      <w:pPr>
        <w:pStyle w:val="FootnoteText"/>
        <w:ind w:left="567" w:hanging="567"/>
        <w:rPr>
          <w:sz w:val="24"/>
          <w:lang w:val="hr-HR"/>
        </w:rPr>
      </w:pPr>
      <w:r w:rsidRPr="008B5FAD">
        <w:rPr>
          <w:rStyle w:val="FootnoteReference"/>
          <w:sz w:val="24"/>
          <w:lang w:val="hr-HR"/>
        </w:rPr>
        <w:footnoteRef/>
      </w:r>
      <w:r w:rsidR="008B5FAD" w:rsidRPr="008B5FAD">
        <w:rPr>
          <w:sz w:val="24"/>
          <w:lang w:val="hr-HR"/>
        </w:rPr>
        <w:t xml:space="preserve"> </w:t>
      </w:r>
      <w:r w:rsidR="008B5FAD" w:rsidRPr="008B5FAD">
        <w:rPr>
          <w:sz w:val="24"/>
          <w:lang w:val="hr-HR"/>
        </w:rPr>
        <w:tab/>
      </w:r>
      <w:r w:rsidRPr="008B5FAD">
        <w:rPr>
          <w:sz w:val="24"/>
          <w:lang w:val="hr-HR"/>
        </w:rPr>
        <w:t xml:space="preserve">SL C, C/2024/5706, 17.10.2024., ELI: </w:t>
      </w:r>
      <w:hyperlink r:id="rId1" w:history="1">
        <w:r w:rsidRPr="008B5FAD">
          <w:rPr>
            <w:rStyle w:val="Hyperlink"/>
            <w:sz w:val="24"/>
            <w:lang w:val="hr-HR"/>
          </w:rPr>
          <w:t>http://data.europa.eu/eli/C/2024/5706/oj</w:t>
        </w:r>
      </w:hyperlink>
      <w:r w:rsidRPr="008B5FAD">
        <w:rPr>
          <w:sz w:val="24"/>
          <w:lang w:val="hr-HR"/>
        </w:rPr>
        <w:t>.</w:t>
      </w:r>
    </w:p>
  </w:footnote>
  <w:footnote w:id="2">
    <w:p w:rsidR="00590CCF" w:rsidRPr="008B5FAD" w:rsidRDefault="00590CCF" w:rsidP="008B5FAD">
      <w:pPr>
        <w:pStyle w:val="FootnoteText"/>
        <w:ind w:left="567" w:hanging="567"/>
        <w:rPr>
          <w:sz w:val="24"/>
          <w:lang w:val="hr-HR"/>
        </w:rPr>
      </w:pPr>
      <w:r w:rsidRPr="008B5FAD">
        <w:rPr>
          <w:rStyle w:val="FootnoteReference"/>
          <w:color w:val="000000" w:themeColor="text1"/>
          <w:sz w:val="24"/>
          <w:lang w:val="hr-HR"/>
        </w:rPr>
        <w:footnoteRef/>
      </w:r>
      <w:r w:rsidR="008B5FAD" w:rsidRPr="008B5FAD">
        <w:rPr>
          <w:color w:val="000000" w:themeColor="text1"/>
          <w:sz w:val="24"/>
          <w:lang w:val="hr-HR"/>
        </w:rPr>
        <w:t xml:space="preserve"> </w:t>
      </w:r>
      <w:r w:rsidR="008B5FAD" w:rsidRPr="008B5FAD">
        <w:rPr>
          <w:color w:val="000000" w:themeColor="text1"/>
          <w:sz w:val="24"/>
          <w:lang w:val="hr-HR"/>
        </w:rPr>
        <w:tab/>
      </w:r>
      <w:r w:rsidRPr="008B5FAD">
        <w:rPr>
          <w:color w:val="000000" w:themeColor="text1"/>
          <w:sz w:val="24"/>
          <w:lang w:val="hr-HR"/>
        </w:rPr>
        <w:t xml:space="preserve">Direktiva (EU) 2024/1640 Europskog parlamenta i Vijeća od 31. svibnja 2024. o mehanizmima koje države članice trebaju uspostaviti radi sprečavanja korištenja financijskog sustava u svrhu pranja novca ili financiranja terorizma, o izmjeni Direktive (EU) 2019/1937 te izmjeni i stavljanju izvan snage Direktive (EU) 2015/849 (SL L, 2024/1640, 19.6.2024., ELI: </w:t>
      </w:r>
      <w:hyperlink r:id="rId2" w:history="1">
        <w:r w:rsidRPr="008B5FAD">
          <w:rPr>
            <w:rStyle w:val="Hyperlink"/>
            <w:sz w:val="24"/>
            <w:lang w:val="hr-HR"/>
          </w:rPr>
          <w:t>http://data.europa.eu/eli/dir/2024/1640/oj</w:t>
        </w:r>
      </w:hyperlink>
      <w:r w:rsidRPr="008B5FAD">
        <w:rPr>
          <w:color w:val="000000" w:themeColor="text1"/>
          <w:sz w:val="24"/>
          <w:lang w:val="hr-HR"/>
        </w:rPr>
        <w:t>).</w:t>
      </w:r>
    </w:p>
  </w:footnote>
  <w:footnote w:id="3">
    <w:p w:rsidR="00590CCF" w:rsidRPr="008B5FAD" w:rsidRDefault="00590CCF" w:rsidP="008B5FAD">
      <w:pPr>
        <w:pStyle w:val="FootnoteText"/>
        <w:ind w:left="567" w:hanging="567"/>
        <w:rPr>
          <w:sz w:val="24"/>
          <w:lang w:val="hr-HR"/>
        </w:rPr>
      </w:pPr>
      <w:r w:rsidRPr="008B5FAD">
        <w:rPr>
          <w:rStyle w:val="FootnoteReference"/>
          <w:sz w:val="24"/>
          <w:lang w:val="hr-HR"/>
        </w:rPr>
        <w:footnoteRef/>
      </w:r>
      <w:r w:rsidR="008B5FAD" w:rsidRPr="008B5FAD">
        <w:rPr>
          <w:sz w:val="24"/>
          <w:lang w:val="hr-HR"/>
        </w:rPr>
        <w:t xml:space="preserve"> </w:t>
      </w:r>
      <w:r w:rsidR="008B5FAD" w:rsidRPr="008B5FAD">
        <w:rPr>
          <w:sz w:val="24"/>
          <w:lang w:val="hr-HR"/>
        </w:rPr>
        <w:tab/>
      </w:r>
      <w:r w:rsidRPr="008B5FAD">
        <w:rPr>
          <w:sz w:val="24"/>
          <w:lang w:val="hr-HR"/>
        </w:rPr>
        <w:t xml:space="preserve">Uredba (EU) 2024/1624 Europskog parlamenta i Vijeća od 31. svibnja 2024. o sprečavanju korištenja financijskog sustava u svrhu pranja novca ili financiranja terorizma (SL L, 2024/1624, 19.6.2024., ELI: </w:t>
      </w:r>
      <w:hyperlink r:id="rId3" w:history="1">
        <w:r w:rsidRPr="008B5FAD">
          <w:rPr>
            <w:rStyle w:val="Hyperlink"/>
            <w:sz w:val="24"/>
            <w:lang w:val="hr-HR"/>
          </w:rPr>
          <w:t>http://data.europa.eu/eli/reg/2024/1624/oj</w:t>
        </w:r>
      </w:hyperlink>
      <w:r w:rsidRPr="008B5FAD">
        <w:rPr>
          <w:sz w:val="24"/>
          <w:lang w:val="hr-HR"/>
        </w:rPr>
        <w:t>).</w:t>
      </w:r>
    </w:p>
  </w:footnote>
  <w:footnote w:id="4">
    <w:p w:rsidR="00590CCF" w:rsidRPr="008B5FAD" w:rsidRDefault="00590CCF" w:rsidP="008B5FAD">
      <w:pPr>
        <w:pStyle w:val="FootnoteText"/>
        <w:ind w:left="567" w:hanging="567"/>
        <w:rPr>
          <w:sz w:val="24"/>
          <w:lang w:val="hr-HR"/>
        </w:rPr>
      </w:pPr>
      <w:r w:rsidRPr="008B5FAD">
        <w:rPr>
          <w:rStyle w:val="FootnoteReference"/>
          <w:color w:val="000000" w:themeColor="text1"/>
          <w:sz w:val="24"/>
          <w:lang w:val="hr-HR"/>
        </w:rPr>
        <w:footnoteRef/>
      </w:r>
      <w:r w:rsidR="008B5FAD" w:rsidRPr="008B5FAD">
        <w:rPr>
          <w:color w:val="000000" w:themeColor="text1"/>
          <w:sz w:val="24"/>
          <w:lang w:val="hr-HR"/>
        </w:rPr>
        <w:t xml:space="preserve"> </w:t>
      </w:r>
      <w:r w:rsidR="008B5FAD" w:rsidRPr="008B5FAD">
        <w:rPr>
          <w:color w:val="000000" w:themeColor="text1"/>
          <w:sz w:val="24"/>
          <w:lang w:val="hr-HR"/>
        </w:rPr>
        <w:tab/>
      </w:r>
      <w:r w:rsidRPr="008B5FAD">
        <w:rPr>
          <w:color w:val="000000" w:themeColor="text1"/>
          <w:sz w:val="24"/>
          <w:lang w:val="hr-HR"/>
        </w:rPr>
        <w:t>Uredba (EU) 2024/1620 Europskog parlamenta i Vijeća od 31. svibnja 2024. o osnivanju Tijela za sprečavanje pranja novca i borbu protiv financiranja terorizma i izmjeni uredaba (EU) br. 1093/2010, (EU) br. 1094/2010 i (EU) br. 1095/2010.</w:t>
      </w:r>
      <w:r w:rsidRPr="008B5FAD">
        <w:rPr>
          <w:color w:val="000000" w:themeColor="text1"/>
          <w:sz w:val="24"/>
          <w:u w:color="0000FF"/>
          <w:lang w:val="hr-HR"/>
        </w:rPr>
        <w:t xml:space="preserve"> (SL L, 2024/1620, 19.6.2024., ELI: </w:t>
      </w:r>
      <w:hyperlink r:id="rId4" w:history="1">
        <w:r w:rsidRPr="008B5FAD">
          <w:rPr>
            <w:rStyle w:val="Hyperlink"/>
            <w:sz w:val="24"/>
            <w:lang w:val="hr-HR"/>
          </w:rPr>
          <w:t>http://data.europa.eu/eli/reg/2024/1620/oj</w:t>
        </w:r>
      </w:hyperlink>
      <w:r w:rsidRPr="008B5FAD">
        <w:rPr>
          <w:color w:val="000000" w:themeColor="text1"/>
          <w:sz w:val="24"/>
          <w:u w:color="0000FF"/>
          <w:lang w:val="hr-HR"/>
        </w:rPr>
        <w:t>).</w:t>
      </w:r>
    </w:p>
  </w:footnote>
  <w:footnote w:id="5">
    <w:p w:rsidR="00590CCF" w:rsidRPr="008B5FAD" w:rsidRDefault="00590CCF" w:rsidP="008B5FAD">
      <w:pPr>
        <w:pStyle w:val="FootnoteText"/>
        <w:ind w:left="567" w:hanging="567"/>
        <w:rPr>
          <w:color w:val="000000" w:themeColor="text1"/>
          <w:sz w:val="24"/>
          <w:lang w:val="hr-HR"/>
        </w:rPr>
      </w:pPr>
      <w:r w:rsidRPr="008B5FAD">
        <w:rPr>
          <w:rStyle w:val="FootnoteReference"/>
          <w:color w:val="000000" w:themeColor="text1"/>
          <w:sz w:val="24"/>
          <w:lang w:val="hr-HR"/>
        </w:rPr>
        <w:footnoteRef/>
      </w:r>
      <w:r w:rsidR="008B5FAD" w:rsidRPr="008B5FAD">
        <w:rPr>
          <w:color w:val="000000" w:themeColor="text1"/>
          <w:sz w:val="24"/>
          <w:u w:color="0000FF"/>
          <w:lang w:val="hr-HR"/>
        </w:rPr>
        <w:t xml:space="preserve"> </w:t>
      </w:r>
      <w:r w:rsidR="008B5FAD" w:rsidRPr="008B5FAD">
        <w:rPr>
          <w:color w:val="000000" w:themeColor="text1"/>
          <w:sz w:val="24"/>
          <w:u w:color="0000FF"/>
          <w:lang w:val="hr-HR"/>
        </w:rPr>
        <w:tab/>
      </w:r>
      <w:r w:rsidRPr="008B5FAD">
        <w:rPr>
          <w:color w:val="000000" w:themeColor="text1"/>
          <w:sz w:val="24"/>
          <w:u w:color="0000FF"/>
          <w:lang w:val="hr-HR"/>
        </w:rPr>
        <w:t xml:space="preserve">Direktiva (EU) 2024/1619 Europskog parlamenta i Vijeća od 31. svibnja 2024. o izmjeni Direktive 2013/36/EU u pogledu nadzornih ovlasti, sankcija, podružnica iz trećih zemalja i okolišnih, socijalnih i upravljačkih rizika (SL L, 2024/1619, 19.6.2024., ELI: </w:t>
      </w:r>
      <w:hyperlink r:id="rId5" w:history="1">
        <w:r w:rsidRPr="008B5FAD">
          <w:rPr>
            <w:rStyle w:val="Hyperlink"/>
            <w:sz w:val="24"/>
            <w:lang w:val="hr-HR"/>
          </w:rPr>
          <w:t>http://data.europa.eu/eli/dir/2024/1619/oj</w:t>
        </w:r>
      </w:hyperlink>
      <w:r w:rsidRPr="008B5FAD">
        <w:rPr>
          <w:color w:val="000000" w:themeColor="text1"/>
          <w:sz w:val="24"/>
          <w:u w:color="0000FF"/>
          <w:lang w:val="hr-HR"/>
        </w:rPr>
        <w:t>).</w:t>
      </w:r>
    </w:p>
  </w:footnote>
  <w:footnote w:id="6">
    <w:p w:rsidR="00590CCF" w:rsidRPr="008B5FAD" w:rsidRDefault="00590CCF" w:rsidP="008B5FAD">
      <w:pPr>
        <w:pStyle w:val="FootnoteText"/>
        <w:ind w:left="567" w:hanging="567"/>
        <w:rPr>
          <w:sz w:val="24"/>
          <w:lang w:val="hr-HR"/>
        </w:rPr>
      </w:pPr>
      <w:r w:rsidRPr="008B5FAD">
        <w:rPr>
          <w:rStyle w:val="FootnoteReference"/>
          <w:color w:val="000000" w:themeColor="text1"/>
          <w:sz w:val="24"/>
          <w:lang w:val="hr-HR"/>
        </w:rPr>
        <w:footnoteRef/>
      </w:r>
      <w:r w:rsidR="008B5FAD" w:rsidRPr="008B5FAD">
        <w:rPr>
          <w:color w:val="000000" w:themeColor="text1"/>
          <w:sz w:val="24"/>
          <w:u w:color="0000FF"/>
          <w:lang w:val="hr-HR"/>
        </w:rPr>
        <w:t xml:space="preserve"> </w:t>
      </w:r>
      <w:r w:rsidR="008B5FAD" w:rsidRPr="008B5FAD">
        <w:rPr>
          <w:color w:val="000000" w:themeColor="text1"/>
          <w:sz w:val="24"/>
          <w:u w:color="0000FF"/>
          <w:lang w:val="hr-HR"/>
        </w:rPr>
        <w:tab/>
      </w:r>
      <w:r w:rsidRPr="008B5FAD">
        <w:rPr>
          <w:color w:val="000000" w:themeColor="text1"/>
          <w:sz w:val="24"/>
          <w:u w:color="0000FF"/>
          <w:lang w:val="hr-HR"/>
        </w:rPr>
        <w:t xml:space="preserve">Uredba (EU) 2024/1623 Europskog parlamenta i Vijeća od 31. svibnja 2024. o izmjeni Uredbe (EU) br. 575/2013 u pogledu zahtjeva za kreditni rizik, rizik prilagodbe kreditnom vrednovanju, operativni rizik, tržišni rizik i minimalnu donju granicu (SL L, 2024/1623, 19.6.2024., ELI: </w:t>
      </w:r>
      <w:hyperlink r:id="rId6" w:history="1">
        <w:r w:rsidRPr="008B5FAD">
          <w:rPr>
            <w:rStyle w:val="Hyperlink"/>
            <w:sz w:val="24"/>
            <w:lang w:val="hr-HR"/>
          </w:rPr>
          <w:t>http://data.europa.eu/eli/reg/2024/1623/oj</w:t>
        </w:r>
      </w:hyperlink>
      <w:r w:rsidRPr="008B5FAD">
        <w:rPr>
          <w:color w:val="000000" w:themeColor="text1"/>
          <w:sz w:val="24"/>
          <w:u w:color="0000FF"/>
          <w:lang w:val="hr-HR"/>
        </w:rPr>
        <w:t>).</w:t>
      </w:r>
    </w:p>
  </w:footnote>
  <w:footnote w:id="7">
    <w:p w:rsidR="00590CCF" w:rsidRPr="008B5FAD" w:rsidRDefault="00590CCF" w:rsidP="008B5FAD">
      <w:pPr>
        <w:pStyle w:val="FootnoteText"/>
        <w:ind w:left="567" w:hanging="567"/>
        <w:rPr>
          <w:sz w:val="24"/>
          <w:lang w:val="hr-HR"/>
        </w:rPr>
      </w:pPr>
      <w:r w:rsidRPr="008B5FAD">
        <w:rPr>
          <w:rStyle w:val="FootnoteReference"/>
          <w:color w:val="000000" w:themeColor="text1"/>
          <w:sz w:val="24"/>
          <w:lang w:val="hr-HR"/>
        </w:rPr>
        <w:footnoteRef/>
      </w:r>
      <w:r w:rsidR="008B5FAD" w:rsidRPr="008B5FAD">
        <w:rPr>
          <w:color w:val="000000" w:themeColor="text1"/>
          <w:sz w:val="24"/>
          <w:lang w:val="hr-HR"/>
        </w:rPr>
        <w:t xml:space="preserve"> </w:t>
      </w:r>
      <w:r w:rsidR="008B5FAD" w:rsidRPr="008B5FAD">
        <w:rPr>
          <w:color w:val="000000" w:themeColor="text1"/>
          <w:sz w:val="24"/>
          <w:lang w:val="hr-HR"/>
        </w:rPr>
        <w:tab/>
      </w:r>
      <w:r w:rsidRPr="008B5FAD">
        <w:rPr>
          <w:color w:val="000000" w:themeColor="text1"/>
          <w:sz w:val="24"/>
          <w:lang w:val="hr-HR"/>
        </w:rPr>
        <w:t>SL L</w:t>
      </w:r>
      <w:r w:rsidR="009734B5">
        <w:rPr>
          <w:color w:val="000000" w:themeColor="text1"/>
          <w:sz w:val="24"/>
          <w:lang w:val="hr-HR"/>
        </w:rPr>
        <w:t>,</w:t>
      </w:r>
      <w:r w:rsidRPr="008B5FAD">
        <w:rPr>
          <w:color w:val="000000" w:themeColor="text1"/>
          <w:sz w:val="24"/>
          <w:lang w:val="hr-HR"/>
        </w:rPr>
        <w:t xml:space="preserve"> 2024/2795, 31.10.2024., ELI: </w:t>
      </w:r>
      <w:hyperlink r:id="rId7" w:history="1">
        <w:r w:rsidRPr="008B5FAD">
          <w:rPr>
            <w:rStyle w:val="Hyperlink"/>
            <w:sz w:val="24"/>
            <w:lang w:val="hr-HR"/>
          </w:rPr>
          <w:t>http://data.europa.eu/eli/reg_del/2024/2795/oj</w:t>
        </w:r>
      </w:hyperlink>
      <w:r w:rsidRPr="008B5FAD">
        <w:rPr>
          <w:color w:val="000000" w:themeColor="text1"/>
          <w:sz w:val="24"/>
          <w:lang w:val="hr-HR"/>
        </w:rPr>
        <w:t>.</w:t>
      </w:r>
    </w:p>
  </w:footnote>
  <w:footnote w:id="8">
    <w:p w:rsidR="00590CCF" w:rsidRPr="008B5FAD" w:rsidRDefault="00590CCF" w:rsidP="008B5FAD">
      <w:pPr>
        <w:pStyle w:val="FootnoteText"/>
        <w:ind w:left="567" w:hanging="567"/>
        <w:rPr>
          <w:sz w:val="24"/>
          <w:lang w:val="hr-HR"/>
        </w:rPr>
      </w:pPr>
      <w:r w:rsidRPr="008B5FAD">
        <w:rPr>
          <w:rStyle w:val="FootnoteReference"/>
          <w:sz w:val="24"/>
          <w:lang w:val="hr-HR"/>
        </w:rPr>
        <w:footnoteRef/>
      </w:r>
      <w:r w:rsidR="008B5FAD" w:rsidRPr="008B5FAD">
        <w:rPr>
          <w:sz w:val="24"/>
          <w:lang w:val="hr-HR"/>
        </w:rPr>
        <w:t xml:space="preserve"> </w:t>
      </w:r>
      <w:r w:rsidR="008B5FAD" w:rsidRPr="008B5FAD">
        <w:rPr>
          <w:sz w:val="24"/>
          <w:lang w:val="hr-HR"/>
        </w:rPr>
        <w:tab/>
      </w:r>
      <w:r w:rsidRPr="008B5FAD">
        <w:rPr>
          <w:sz w:val="24"/>
          <w:lang w:val="hr-HR"/>
        </w:rPr>
        <w:t>Usvojeni tekstovi, P9_TA(2024)0326.</w:t>
      </w:r>
    </w:p>
  </w:footnote>
  <w:footnote w:id="9">
    <w:p w:rsidR="00590CCF" w:rsidRPr="008B5FAD" w:rsidRDefault="00590CCF" w:rsidP="008B5FAD">
      <w:pPr>
        <w:pStyle w:val="FootnoteText"/>
        <w:ind w:left="567" w:hanging="567"/>
        <w:rPr>
          <w:sz w:val="24"/>
          <w:lang w:val="hr-HR"/>
        </w:rPr>
      </w:pPr>
      <w:r w:rsidRPr="008B5FAD">
        <w:rPr>
          <w:rStyle w:val="FootnoteReference"/>
          <w:sz w:val="24"/>
          <w:lang w:val="hr-HR"/>
        </w:rPr>
        <w:footnoteRef/>
      </w:r>
      <w:r w:rsidR="008B5FAD" w:rsidRPr="008B5FAD">
        <w:rPr>
          <w:sz w:val="24"/>
          <w:lang w:val="hr-HR"/>
        </w:rPr>
        <w:t xml:space="preserve"> </w:t>
      </w:r>
      <w:r w:rsidR="008B5FAD" w:rsidRPr="008B5FAD">
        <w:rPr>
          <w:sz w:val="24"/>
          <w:lang w:val="hr-HR"/>
        </w:rPr>
        <w:tab/>
      </w:r>
      <w:r w:rsidRPr="008B5FAD">
        <w:rPr>
          <w:sz w:val="24"/>
          <w:lang w:val="hr-HR"/>
        </w:rPr>
        <w:t>Usvojeni tekstovi, P9_TA(2024)0327.</w:t>
      </w:r>
    </w:p>
  </w:footnote>
  <w:footnote w:id="10">
    <w:p w:rsidR="00590CCF" w:rsidRPr="008B5FAD" w:rsidRDefault="00590CCF" w:rsidP="008B5FAD">
      <w:pPr>
        <w:pStyle w:val="FootnoteText"/>
        <w:ind w:left="567" w:hanging="567"/>
        <w:rPr>
          <w:sz w:val="24"/>
          <w:lang w:val="hr-HR"/>
        </w:rPr>
      </w:pPr>
      <w:r w:rsidRPr="008B5FAD">
        <w:rPr>
          <w:rStyle w:val="FootnoteReference"/>
          <w:sz w:val="24"/>
          <w:lang w:val="hr-HR"/>
        </w:rPr>
        <w:footnoteRef/>
      </w:r>
      <w:r w:rsidR="008B5FAD" w:rsidRPr="008B5FAD">
        <w:rPr>
          <w:sz w:val="24"/>
          <w:lang w:val="hr-HR"/>
        </w:rPr>
        <w:t xml:space="preserve"> </w:t>
      </w:r>
      <w:r w:rsidR="008B5FAD" w:rsidRPr="008B5FAD">
        <w:rPr>
          <w:sz w:val="24"/>
          <w:lang w:val="hr-HR"/>
        </w:rPr>
        <w:tab/>
      </w:r>
      <w:r w:rsidRPr="008B5FAD">
        <w:rPr>
          <w:sz w:val="24"/>
          <w:lang w:val="hr-HR"/>
        </w:rPr>
        <w:t>Usvojeni tekstovi, P9_TA(2024)0328.</w:t>
      </w:r>
    </w:p>
  </w:footnote>
  <w:footnote w:id="11">
    <w:p w:rsidR="00590CCF" w:rsidRPr="008B5FAD" w:rsidRDefault="00590CCF" w:rsidP="008B5FAD">
      <w:pPr>
        <w:pStyle w:val="FootnoteText"/>
        <w:ind w:left="567" w:hanging="567"/>
        <w:rPr>
          <w:sz w:val="24"/>
          <w:lang w:val="hr-HR"/>
        </w:rPr>
      </w:pPr>
      <w:r w:rsidRPr="008B5FAD">
        <w:rPr>
          <w:rStyle w:val="FootnoteReference"/>
          <w:sz w:val="24"/>
          <w:lang w:val="hr-HR"/>
        </w:rPr>
        <w:footnoteRef/>
      </w:r>
      <w:r w:rsidR="008B5FAD" w:rsidRPr="008B5FAD">
        <w:rPr>
          <w:sz w:val="24"/>
          <w:lang w:val="hr-HR"/>
        </w:rPr>
        <w:t xml:space="preserve"> </w:t>
      </w:r>
      <w:r w:rsidR="008B5FAD" w:rsidRPr="008B5FAD">
        <w:rPr>
          <w:sz w:val="24"/>
          <w:lang w:val="hr-HR"/>
        </w:rPr>
        <w:tab/>
      </w:r>
      <w:proofErr w:type="spellStart"/>
      <w:r w:rsidRPr="008B5FAD">
        <w:rPr>
          <w:sz w:val="24"/>
          <w:lang w:val="hr-HR"/>
        </w:rPr>
        <w:t>Véron</w:t>
      </w:r>
      <w:proofErr w:type="spellEnd"/>
      <w:r w:rsidRPr="008B5FAD">
        <w:rPr>
          <w:sz w:val="24"/>
          <w:lang w:val="hr-HR"/>
        </w:rPr>
        <w:t>, N., „</w:t>
      </w:r>
      <w:proofErr w:type="spellStart"/>
      <w:r w:rsidRPr="008B5FAD">
        <w:rPr>
          <w:sz w:val="24"/>
          <w:lang w:val="hr-HR"/>
        </w:rPr>
        <w:t>Europe’s</w:t>
      </w:r>
      <w:proofErr w:type="spellEnd"/>
      <w:r w:rsidRPr="008B5FAD">
        <w:rPr>
          <w:sz w:val="24"/>
          <w:lang w:val="hr-HR"/>
        </w:rPr>
        <w:t xml:space="preserve"> </w:t>
      </w:r>
      <w:proofErr w:type="spellStart"/>
      <w:r w:rsidRPr="008B5FAD">
        <w:rPr>
          <w:sz w:val="24"/>
          <w:lang w:val="hr-HR"/>
        </w:rPr>
        <w:t>banking</w:t>
      </w:r>
      <w:proofErr w:type="spellEnd"/>
      <w:r w:rsidRPr="008B5FAD">
        <w:rPr>
          <w:sz w:val="24"/>
          <w:lang w:val="hr-HR"/>
        </w:rPr>
        <w:t xml:space="preserve"> </w:t>
      </w:r>
      <w:proofErr w:type="spellStart"/>
      <w:r w:rsidRPr="008B5FAD">
        <w:rPr>
          <w:sz w:val="24"/>
          <w:lang w:val="hr-HR"/>
        </w:rPr>
        <w:t>union</w:t>
      </w:r>
      <w:proofErr w:type="spellEnd"/>
      <w:r w:rsidRPr="008B5FAD">
        <w:rPr>
          <w:sz w:val="24"/>
          <w:lang w:val="hr-HR"/>
        </w:rPr>
        <w:t xml:space="preserve"> at ten: </w:t>
      </w:r>
      <w:proofErr w:type="spellStart"/>
      <w:r w:rsidRPr="008B5FAD">
        <w:rPr>
          <w:sz w:val="24"/>
          <w:lang w:val="hr-HR"/>
        </w:rPr>
        <w:t>unfinished</w:t>
      </w:r>
      <w:proofErr w:type="spellEnd"/>
      <w:r w:rsidRPr="008B5FAD">
        <w:rPr>
          <w:sz w:val="24"/>
          <w:lang w:val="hr-HR"/>
        </w:rPr>
        <w:t xml:space="preserve"> </w:t>
      </w:r>
      <w:proofErr w:type="spellStart"/>
      <w:r w:rsidRPr="008B5FAD">
        <w:rPr>
          <w:sz w:val="24"/>
          <w:lang w:val="hr-HR"/>
        </w:rPr>
        <w:t>yet</w:t>
      </w:r>
      <w:proofErr w:type="spellEnd"/>
      <w:r w:rsidRPr="008B5FAD">
        <w:rPr>
          <w:sz w:val="24"/>
          <w:lang w:val="hr-HR"/>
        </w:rPr>
        <w:t xml:space="preserve"> </w:t>
      </w:r>
      <w:proofErr w:type="spellStart"/>
      <w:r w:rsidRPr="008B5FAD">
        <w:rPr>
          <w:sz w:val="24"/>
          <w:lang w:val="hr-HR"/>
        </w:rPr>
        <w:t>transformative</w:t>
      </w:r>
      <w:proofErr w:type="spellEnd"/>
      <w:r w:rsidRPr="008B5FAD">
        <w:rPr>
          <w:sz w:val="24"/>
          <w:lang w:val="hr-HR"/>
        </w:rPr>
        <w:t xml:space="preserve">” (Europska bankovna unija deset godina poslije: nedovršen, ali </w:t>
      </w:r>
      <w:proofErr w:type="spellStart"/>
      <w:r w:rsidRPr="008B5FAD">
        <w:rPr>
          <w:sz w:val="24"/>
          <w:lang w:val="hr-HR"/>
        </w:rPr>
        <w:t>transformativan</w:t>
      </w:r>
      <w:proofErr w:type="spellEnd"/>
      <w:r w:rsidRPr="008B5FAD">
        <w:rPr>
          <w:sz w:val="24"/>
          <w:lang w:val="hr-HR"/>
        </w:rPr>
        <w:t xml:space="preserve"> projekt), Institut </w:t>
      </w:r>
      <w:proofErr w:type="spellStart"/>
      <w:r w:rsidRPr="008B5FAD">
        <w:rPr>
          <w:sz w:val="24"/>
          <w:lang w:val="hr-HR"/>
        </w:rPr>
        <w:t>Peterson</w:t>
      </w:r>
      <w:proofErr w:type="spellEnd"/>
      <w:r w:rsidRPr="008B5FAD">
        <w:rPr>
          <w:sz w:val="24"/>
          <w:lang w:val="hr-HR"/>
        </w:rPr>
        <w:t xml:space="preserve"> za međunarodnu ekonomiju br. 24 – 15, lipanj 2024.</w:t>
      </w:r>
    </w:p>
  </w:footnote>
  <w:footnote w:id="12">
    <w:p w:rsidR="00590CCF" w:rsidRPr="008B5FAD" w:rsidRDefault="00590CCF" w:rsidP="008B5FAD">
      <w:pPr>
        <w:pStyle w:val="FootnoteText"/>
        <w:ind w:left="567" w:hanging="567"/>
        <w:rPr>
          <w:color w:val="000000" w:themeColor="text1"/>
          <w:sz w:val="24"/>
          <w:lang w:val="hr-HR"/>
        </w:rPr>
      </w:pPr>
      <w:r w:rsidRPr="008B5FAD">
        <w:rPr>
          <w:rStyle w:val="FootnoteReference"/>
          <w:color w:val="000000" w:themeColor="text1"/>
          <w:sz w:val="24"/>
          <w:lang w:val="hr-HR"/>
        </w:rPr>
        <w:footnoteRef/>
      </w:r>
      <w:r w:rsidR="008B5FAD" w:rsidRPr="008B5FAD">
        <w:rPr>
          <w:color w:val="000000" w:themeColor="text1"/>
          <w:sz w:val="24"/>
          <w:u w:color="0000FF"/>
          <w:lang w:val="hr-HR"/>
        </w:rPr>
        <w:t xml:space="preserve"> </w:t>
      </w:r>
      <w:r w:rsidR="008B5FAD" w:rsidRPr="008B5FAD">
        <w:rPr>
          <w:color w:val="000000" w:themeColor="text1"/>
          <w:sz w:val="24"/>
          <w:u w:color="0000FF"/>
          <w:lang w:val="hr-HR"/>
        </w:rPr>
        <w:tab/>
      </w:r>
      <w:r w:rsidRPr="008B5FAD">
        <w:rPr>
          <w:color w:val="000000" w:themeColor="text1"/>
          <w:sz w:val="24"/>
          <w:u w:color="0000FF"/>
          <w:lang w:val="hr-HR"/>
        </w:rPr>
        <w:t>SL C 23, 21.1.2021., str. 105.</w:t>
      </w:r>
    </w:p>
  </w:footnote>
  <w:footnote w:id="13">
    <w:p w:rsidR="00590CCF" w:rsidRPr="008B5FAD" w:rsidRDefault="00590CCF" w:rsidP="008B5FAD">
      <w:pPr>
        <w:pStyle w:val="FootnoteText"/>
        <w:ind w:left="567" w:hanging="567"/>
        <w:rPr>
          <w:sz w:val="24"/>
          <w:lang w:val="hr-HR"/>
        </w:rPr>
      </w:pPr>
      <w:r w:rsidRPr="008B5FAD">
        <w:rPr>
          <w:rStyle w:val="FootnoteReference"/>
          <w:sz w:val="24"/>
          <w:lang w:val="hr-HR"/>
        </w:rPr>
        <w:footnoteRef/>
      </w:r>
      <w:r w:rsidR="008B5FAD" w:rsidRPr="008B5FAD">
        <w:rPr>
          <w:sz w:val="24"/>
          <w:lang w:val="hr-HR"/>
        </w:rPr>
        <w:t xml:space="preserve"> </w:t>
      </w:r>
      <w:r w:rsidR="008B5FAD" w:rsidRPr="008B5FAD">
        <w:rPr>
          <w:sz w:val="24"/>
          <w:lang w:val="hr-HR"/>
        </w:rPr>
        <w:tab/>
      </w:r>
      <w:r w:rsidRPr="008B5FAD">
        <w:rPr>
          <w:sz w:val="24"/>
          <w:lang w:val="hr-HR"/>
        </w:rPr>
        <w:t>SL C 494, 8.12.2021., str. 118.</w:t>
      </w:r>
    </w:p>
  </w:footnote>
  <w:footnote w:id="14">
    <w:p w:rsidR="00590CCF" w:rsidRPr="008B5FAD" w:rsidRDefault="00590CCF" w:rsidP="008B5FAD">
      <w:pPr>
        <w:pStyle w:val="FootnoteText"/>
        <w:ind w:left="567" w:hanging="567"/>
        <w:rPr>
          <w:sz w:val="24"/>
          <w:lang w:val="hr-HR"/>
        </w:rPr>
      </w:pPr>
      <w:r w:rsidRPr="008B5FAD">
        <w:rPr>
          <w:rStyle w:val="FootnoteReference"/>
          <w:sz w:val="24"/>
          <w:lang w:val="hr-HR"/>
        </w:rPr>
        <w:footnoteRef/>
      </w:r>
      <w:r w:rsidR="008B5FAD" w:rsidRPr="008B5FAD">
        <w:rPr>
          <w:sz w:val="24"/>
          <w:lang w:val="hr-HR"/>
        </w:rPr>
        <w:t xml:space="preserve"> </w:t>
      </w:r>
      <w:r w:rsidR="008B5FAD" w:rsidRPr="008B5FAD">
        <w:rPr>
          <w:sz w:val="24"/>
          <w:lang w:val="hr-HR"/>
        </w:rPr>
        <w:tab/>
      </w:r>
      <w:proofErr w:type="spellStart"/>
      <w:r w:rsidRPr="008B5FAD">
        <w:rPr>
          <w:sz w:val="24"/>
          <w:lang w:val="hr-HR"/>
        </w:rPr>
        <w:t>Draghijevo</w:t>
      </w:r>
      <w:proofErr w:type="spellEnd"/>
      <w:r w:rsidRPr="008B5FAD">
        <w:rPr>
          <w:sz w:val="24"/>
          <w:lang w:val="hr-HR"/>
        </w:rPr>
        <w:t xml:space="preserve"> izvješće, str. 61.</w:t>
      </w:r>
    </w:p>
  </w:footnote>
  <w:footnote w:id="15">
    <w:p w:rsidR="00590CCF" w:rsidRPr="008B5FAD" w:rsidRDefault="00590CCF" w:rsidP="008B5FAD">
      <w:pPr>
        <w:pStyle w:val="FootnoteText"/>
        <w:ind w:left="567" w:hanging="567"/>
        <w:rPr>
          <w:sz w:val="24"/>
          <w:lang w:val="hr-HR"/>
        </w:rPr>
      </w:pPr>
      <w:r w:rsidRPr="008B5FAD">
        <w:rPr>
          <w:rStyle w:val="FootnoteReference"/>
          <w:sz w:val="24"/>
          <w:lang w:val="hr-HR"/>
        </w:rPr>
        <w:footnoteRef/>
      </w:r>
      <w:r w:rsidR="008B5FAD" w:rsidRPr="008B5FAD">
        <w:rPr>
          <w:sz w:val="24"/>
          <w:lang w:val="hr-HR"/>
        </w:rPr>
        <w:t xml:space="preserve"> </w:t>
      </w:r>
      <w:r w:rsidR="008B5FAD" w:rsidRPr="008B5FAD">
        <w:rPr>
          <w:sz w:val="24"/>
          <w:lang w:val="hr-HR"/>
        </w:rPr>
        <w:tab/>
      </w:r>
      <w:r w:rsidRPr="008B5FAD">
        <w:rPr>
          <w:sz w:val="24"/>
          <w:lang w:val="hr-HR"/>
        </w:rPr>
        <w:t xml:space="preserve">Von der </w:t>
      </w:r>
      <w:proofErr w:type="spellStart"/>
      <w:r w:rsidRPr="008B5FAD">
        <w:rPr>
          <w:sz w:val="24"/>
          <w:lang w:val="hr-HR"/>
        </w:rPr>
        <w:t>Leyen</w:t>
      </w:r>
      <w:proofErr w:type="spellEnd"/>
      <w:r w:rsidRPr="008B5FAD">
        <w:rPr>
          <w:sz w:val="24"/>
          <w:lang w:val="hr-HR"/>
        </w:rPr>
        <w:t xml:space="preserve">, </w:t>
      </w:r>
      <w:proofErr w:type="spellStart"/>
      <w:r w:rsidRPr="008B5FAD">
        <w:rPr>
          <w:sz w:val="24"/>
          <w:lang w:val="hr-HR"/>
        </w:rPr>
        <w:t>Ursula</w:t>
      </w:r>
      <w:proofErr w:type="spellEnd"/>
      <w:r w:rsidRPr="008B5FAD">
        <w:rPr>
          <w:sz w:val="24"/>
          <w:lang w:val="hr-HR"/>
        </w:rPr>
        <w:t xml:space="preserve">, </w:t>
      </w:r>
      <w:r w:rsidRPr="008B5FAD">
        <w:rPr>
          <w:i/>
          <w:sz w:val="24"/>
          <w:lang w:val="hr-HR"/>
        </w:rPr>
        <w:t>Izbor za Europu: političke smjernice za sljedeću Europsku komisiju 2024. – 2029.</w:t>
      </w:r>
      <w:r w:rsidRPr="008B5FAD">
        <w:rPr>
          <w:sz w:val="24"/>
          <w:lang w:val="hr-HR"/>
        </w:rPr>
        <w:t>, str. 11.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4/2025"/>
    <w:docVar w:name="dvlangue" w:val="HR"/>
    <w:docVar w:name="dvnumam" w:val="0"/>
    <w:docVar w:name="dvpe" w:val="765.133"/>
    <w:docVar w:name="dvrapporteur" w:val="Izvjestitelj: "/>
    <w:docVar w:name="dvtitre" w:val="Rezolucija Europskog parlamenta od .... 2025. o bankovnoj uniji – godišnje izvješće za 2024.(2024/2055(INI))"/>
  </w:docVars>
  <w:rsids>
    <w:rsidRoot w:val="002058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586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CCF"/>
    <w:rsid w:val="005C2568"/>
    <w:rsid w:val="005F1B17"/>
    <w:rsid w:val="006037C0"/>
    <w:rsid w:val="006507A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FAD"/>
    <w:rsid w:val="008C2AC6"/>
    <w:rsid w:val="008E789B"/>
    <w:rsid w:val="00930C23"/>
    <w:rsid w:val="0093193B"/>
    <w:rsid w:val="009509D8"/>
    <w:rsid w:val="00950B64"/>
    <w:rsid w:val="009734B5"/>
    <w:rsid w:val="00981893"/>
    <w:rsid w:val="00A1687D"/>
    <w:rsid w:val="00A22B7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E44"/>
    <w:rsid w:val="00CF071A"/>
    <w:rsid w:val="00D058B8"/>
    <w:rsid w:val="00D56C11"/>
    <w:rsid w:val="00D834A0"/>
    <w:rsid w:val="00D872DF"/>
    <w:rsid w:val="00D91E21"/>
    <w:rsid w:val="00DA7FCD"/>
    <w:rsid w:val="00E27D3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F28"/>
    <w:rsid w:val="00F74202"/>
    <w:rsid w:val="00F810F3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3F9FD3"/>
  <w15:chartTrackingRefBased/>
  <w15:docId w15:val="{AEA8F777-2F32-4F1C-8058-F7FBF932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0CCF"/>
    <w:pPr>
      <w:spacing w:before="480" w:after="24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590CC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rsid w:val="00590CCF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EPFooter">
    <w:name w:val="EPFooter"/>
    <w:basedOn w:val="Normal"/>
    <w:rsid w:val="00590CCF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590CCF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590CCF"/>
    <w:rPr>
      <w:snapToGrid w:val="0"/>
      <w:sz w:val="24"/>
      <w:lang w:val="hr-HR" w:eastAsia="en-US"/>
    </w:rPr>
  </w:style>
  <w:style w:type="paragraph" w:customStyle="1" w:styleId="NormalCenter12a">
    <w:name w:val="NormalCenter12a"/>
    <w:basedOn w:val="Normal"/>
    <w:rsid w:val="00590CCF"/>
    <w:pPr>
      <w:spacing w:after="240"/>
      <w:jc w:val="center"/>
    </w:pPr>
  </w:style>
  <w:style w:type="character" w:customStyle="1" w:styleId="BoldItalic">
    <w:name w:val="BoldItalic"/>
    <w:uiPriority w:val="1"/>
    <w:rsid w:val="00590CCF"/>
    <w:rPr>
      <w:b/>
      <w:i/>
      <w:u w:val="none"/>
    </w:rPr>
  </w:style>
  <w:style w:type="character" w:customStyle="1" w:styleId="Italic">
    <w:name w:val="Italic"/>
    <w:uiPriority w:val="1"/>
    <w:rsid w:val="00590CCF"/>
    <w:rPr>
      <w:i/>
    </w:rPr>
  </w:style>
  <w:style w:type="paragraph" w:customStyle="1" w:styleId="Normal12a24b">
    <w:name w:val="Normal12a24b"/>
    <w:basedOn w:val="Normal"/>
    <w:rsid w:val="00590CCF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590CCF"/>
    <w:rPr>
      <w:color w:val="0000FF"/>
      <w:u w:val="single"/>
    </w:rPr>
  </w:style>
  <w:style w:type="paragraph" w:styleId="Footer">
    <w:name w:val="footer"/>
    <w:basedOn w:val="Normal"/>
    <w:link w:val="FooterChar"/>
    <w:rsid w:val="006507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507A9"/>
    <w:rPr>
      <w:sz w:val="24"/>
      <w:lang w:val="hr-HR"/>
    </w:rPr>
  </w:style>
  <w:style w:type="paragraph" w:styleId="BalloonText">
    <w:name w:val="Balloon Text"/>
    <w:basedOn w:val="Normal"/>
    <w:link w:val="BalloonTextChar"/>
    <w:rsid w:val="00A22B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22B73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624/oj" TargetMode="External"/><Relationship Id="rId7" Type="http://schemas.openxmlformats.org/officeDocument/2006/relationships/hyperlink" Target="http://data.europa.eu/eli/reg_del/2024/2795/oj" TargetMode="External"/><Relationship Id="rId2" Type="http://schemas.openxmlformats.org/officeDocument/2006/relationships/hyperlink" Target="http://data.europa.eu/eli/dir/2024/1640/oj" TargetMode="External"/><Relationship Id="rId1" Type="http://schemas.openxmlformats.org/officeDocument/2006/relationships/hyperlink" Target="http://data.europa.eu/eli/C/2024/5706/oj" TargetMode="External"/><Relationship Id="rId6" Type="http://schemas.openxmlformats.org/officeDocument/2006/relationships/hyperlink" Target="http://data.europa.eu/eli/reg/2024/1623/oj" TargetMode="External"/><Relationship Id="rId5" Type="http://schemas.openxmlformats.org/officeDocument/2006/relationships/hyperlink" Target="http://data.europa.eu/eli/dir/2024/1619/oj" TargetMode="External"/><Relationship Id="rId4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70FF2-F775-4373-A6B8-0451AD2A6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3952</Words>
  <Characters>24465</Characters>
  <Application>Microsoft Office Word</Application>
  <DocSecurity>0</DocSecurity>
  <Lines>978</Lines>
  <Paragraphs>263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DADIĆ Ivana</cp:lastModifiedBy>
  <cp:revision>2</cp:revision>
  <cp:lastPrinted>2004-11-19T15:42:00Z</cp:lastPrinted>
  <dcterms:created xsi:type="dcterms:W3CDTF">2025-06-03T11:54:00Z</dcterms:created>
  <dcterms:modified xsi:type="dcterms:W3CDTF">2025-06-03T11:54:00Z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A10-0044/2025</vt:lpwstr>
  </property>
  <property fmtid="{D5CDD505-2E9C-101B-9397-08002B2CF9AE}" pid="4" name="&lt;Type&gt;">
    <vt:lpwstr>RR</vt:lpwstr>
  </property>
</Properties>
</file>