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1787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17876" w:rsidRDefault="00A251FA" w:rsidP="0010095E">
            <w:pPr>
              <w:pStyle w:val="EPName"/>
            </w:pPr>
            <w:r w:rsidRPr="00217876">
              <w:t>Európai Parlament</w:t>
            </w:r>
          </w:p>
          <w:p w:rsidR="00751A4A" w:rsidRPr="0021787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17876">
              <w:t>2024</w:t>
            </w:r>
            <w:r w:rsidR="00817416" w:rsidRPr="00217876">
              <w:t>-202</w:t>
            </w:r>
            <w:r w:rsidRPr="0021787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17876" w:rsidRDefault="00187494" w:rsidP="0010095E">
            <w:pPr>
              <w:pStyle w:val="EPLogo"/>
            </w:pPr>
            <w:r w:rsidRPr="0021787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17876" w:rsidRDefault="00D058B8" w:rsidP="004C5D52">
      <w:pPr>
        <w:pStyle w:val="LineTop"/>
      </w:pPr>
    </w:p>
    <w:p w:rsidR="00680577" w:rsidRPr="00217876" w:rsidRDefault="00A251FA" w:rsidP="00680577">
      <w:pPr>
        <w:pStyle w:val="EPBodyTA1"/>
      </w:pPr>
      <w:r w:rsidRPr="00217876">
        <w:t>ELFOGADOTT SZÖVEGEK</w:t>
      </w:r>
    </w:p>
    <w:p w:rsidR="00D058B8" w:rsidRPr="00217876" w:rsidRDefault="00D058B8" w:rsidP="00D058B8">
      <w:pPr>
        <w:pStyle w:val="LineBottom"/>
      </w:pPr>
    </w:p>
    <w:p w:rsidR="00A251FA" w:rsidRPr="00217876" w:rsidRDefault="00A251FA" w:rsidP="00A251FA">
      <w:pPr>
        <w:pStyle w:val="ATHeading1"/>
      </w:pPr>
      <w:bookmarkStart w:id="0" w:name="TANumber"/>
      <w:r w:rsidRPr="00217876">
        <w:t>P10_</w:t>
      </w:r>
      <w:proofErr w:type="gramStart"/>
      <w:r w:rsidRPr="00217876">
        <w:t>TA(</w:t>
      </w:r>
      <w:proofErr w:type="gramEnd"/>
      <w:r w:rsidRPr="00217876">
        <w:t>2025)0</w:t>
      </w:r>
      <w:r w:rsidR="00217876">
        <w:t>105</w:t>
      </w:r>
      <w:bookmarkEnd w:id="0"/>
    </w:p>
    <w:p w:rsidR="00A251FA" w:rsidRPr="00217876" w:rsidRDefault="00A251FA" w:rsidP="00A251FA">
      <w:pPr>
        <w:pStyle w:val="ATHeading2"/>
      </w:pPr>
      <w:bookmarkStart w:id="1" w:name="title"/>
      <w:r w:rsidRPr="00217876">
        <w:t>Bankunió – 2024. évi éves jelentés</w:t>
      </w:r>
      <w:bookmarkEnd w:id="1"/>
    </w:p>
    <w:p w:rsidR="00A251FA" w:rsidRPr="00217876" w:rsidRDefault="00A251FA" w:rsidP="00A251FA">
      <w:pPr>
        <w:rPr>
          <w:i/>
          <w:vanish/>
        </w:rPr>
      </w:pPr>
      <w:r w:rsidRPr="00217876">
        <w:rPr>
          <w:i/>
        </w:rPr>
        <w:fldChar w:fldCharType="begin"/>
      </w:r>
      <w:r w:rsidRPr="00217876">
        <w:rPr>
          <w:i/>
        </w:rPr>
        <w:instrText xml:space="preserve"> TC"(</w:instrText>
      </w:r>
      <w:bookmarkStart w:id="2" w:name="DocNumber"/>
      <w:r w:rsidRPr="00217876">
        <w:rPr>
          <w:i/>
        </w:rPr>
        <w:instrText>A10-0044/2025</w:instrText>
      </w:r>
      <w:bookmarkEnd w:id="2"/>
      <w:r w:rsidRPr="00217876">
        <w:rPr>
          <w:i/>
        </w:rPr>
        <w:instrText xml:space="preserve"> - Előadó: Ralf Seekatz)"\l3 \n&gt; \* MERGEFORMAT </w:instrText>
      </w:r>
      <w:r w:rsidRPr="00217876">
        <w:rPr>
          <w:i/>
        </w:rPr>
        <w:fldChar w:fldCharType="end"/>
      </w:r>
    </w:p>
    <w:p w:rsidR="00A251FA" w:rsidRPr="00217876" w:rsidRDefault="00A251FA" w:rsidP="00A251FA">
      <w:pPr>
        <w:rPr>
          <w:vanish/>
        </w:rPr>
      </w:pPr>
      <w:bookmarkStart w:id="3" w:name="Commission"/>
      <w:r w:rsidRPr="00217876">
        <w:rPr>
          <w:vanish/>
        </w:rPr>
        <w:t>Gazdasági és Monetáris Bizottság</w:t>
      </w:r>
      <w:bookmarkEnd w:id="3"/>
    </w:p>
    <w:p w:rsidR="00A251FA" w:rsidRPr="00217876" w:rsidRDefault="00A251FA" w:rsidP="00A251FA">
      <w:pPr>
        <w:rPr>
          <w:vanish/>
        </w:rPr>
      </w:pPr>
      <w:bookmarkStart w:id="4" w:name="PE"/>
      <w:r w:rsidRPr="00217876">
        <w:rPr>
          <w:vanish/>
        </w:rPr>
        <w:t>PE765.133</w:t>
      </w:r>
      <w:bookmarkEnd w:id="4"/>
    </w:p>
    <w:p w:rsidR="00A251FA" w:rsidRPr="00217876" w:rsidRDefault="00A251FA" w:rsidP="00A251FA">
      <w:pPr>
        <w:pStyle w:val="ATHeading3"/>
      </w:pPr>
      <w:bookmarkStart w:id="5" w:name="Sujet"/>
      <w:r w:rsidRPr="00217876">
        <w:t xml:space="preserve">Az Európai Parlament 2025. </w:t>
      </w:r>
      <w:r w:rsidR="00BF1D81" w:rsidRPr="00217876">
        <w:t>május</w:t>
      </w:r>
      <w:r w:rsidRPr="00217876">
        <w:t xml:space="preserve"> </w:t>
      </w:r>
      <w:r w:rsidR="00217876">
        <w:t>8</w:t>
      </w:r>
      <w:r w:rsidR="00BB5D2B" w:rsidRPr="00217876">
        <w:t>-</w:t>
      </w:r>
      <w:r w:rsidRPr="00217876">
        <w:t>i állásfoglalása a bankunióról – 2024. évi éves jelentés</w:t>
      </w:r>
      <w:bookmarkEnd w:id="5"/>
      <w:r w:rsidRPr="00217876">
        <w:t xml:space="preserve"> </w:t>
      </w:r>
      <w:bookmarkStart w:id="6" w:name="References"/>
      <w:r w:rsidRPr="00217876">
        <w:t>(2024/</w:t>
      </w:r>
      <w:proofErr w:type="gramStart"/>
      <w:r w:rsidRPr="00217876">
        <w:t>2055(</w:t>
      </w:r>
      <w:proofErr w:type="gramEnd"/>
      <w:r w:rsidRPr="00217876">
        <w:t>INI))</w:t>
      </w:r>
      <w:bookmarkEnd w:id="6"/>
    </w:p>
    <w:p w:rsidR="000A3FAB" w:rsidRPr="00217876" w:rsidRDefault="000A3FAB" w:rsidP="000A3FAB">
      <w:pPr>
        <w:pStyle w:val="EPComma"/>
      </w:pPr>
      <w:r w:rsidRPr="00217876">
        <w:rPr>
          <w:rStyle w:val="Italic"/>
        </w:rPr>
        <w:t>Az Európai Parlament</w:t>
      </w:r>
      <w:r w:rsidRPr="00217876">
        <w:t>,</w:t>
      </w:r>
    </w:p>
    <w:p w:rsidR="000A3FAB" w:rsidRPr="00217876" w:rsidRDefault="000A3FAB" w:rsidP="00BF1D81">
      <w:pPr>
        <w:pStyle w:val="NormalHanging12a"/>
      </w:pPr>
      <w:r w:rsidRPr="00217876">
        <w:t>–</w:t>
      </w:r>
      <w:r w:rsidRPr="00217876">
        <w:tab/>
        <w:t>tekintettel a bankunióról szóló 2023. évi éves jelentésről szóló, 2024. január 16-i állásfoglalására</w:t>
      </w:r>
      <w:r w:rsidRPr="00217876">
        <w:rPr>
          <w:rStyle w:val="FootnoteReference"/>
        </w:rPr>
        <w:footnoteReference w:id="1"/>
      </w:r>
      <w:r w:rsidRPr="00217876">
        <w:t>,</w:t>
      </w:r>
    </w:p>
    <w:p w:rsidR="000A3FAB" w:rsidRPr="00217876" w:rsidRDefault="000A3FAB" w:rsidP="00BF1D81">
      <w:pPr>
        <w:pStyle w:val="NormalHanging12a"/>
      </w:pPr>
      <w:r w:rsidRPr="00217876">
        <w:t>–</w:t>
      </w:r>
      <w:r w:rsidRPr="00217876">
        <w:tab/>
        <w:t>tekintettel a Parlament „Bankunió – 2023. évi éves jelentés” című, 2024. január 16-i állásfoglalásának a Bizottság általi nyomon követésére,</w:t>
      </w:r>
    </w:p>
    <w:p w:rsidR="000A3FAB" w:rsidRPr="00217876" w:rsidRDefault="000A3FAB" w:rsidP="00BF1D81">
      <w:pPr>
        <w:pStyle w:val="NormalHanging12a"/>
      </w:pPr>
      <w:r w:rsidRPr="00217876">
        <w:t>–</w:t>
      </w:r>
      <w:r w:rsidRPr="00217876">
        <w:tab/>
        <w:t xml:space="preserve">tekintettel az Európai Központi Bank (EKB) „Visszajelzés </w:t>
      </w:r>
      <w:proofErr w:type="gramStart"/>
      <w:r w:rsidRPr="00217876">
        <w:t>a »Bankunió</w:t>
      </w:r>
      <w:proofErr w:type="gramEnd"/>
      <w:r w:rsidRPr="00217876">
        <w:t xml:space="preserve"> – 2023« című európai parlamenti állásfoglalás részeként tett észrevételekről” című, 2024. március 25-én közzétett dokumentumára,</w:t>
      </w:r>
    </w:p>
    <w:p w:rsidR="000A3FAB" w:rsidRPr="00217876" w:rsidRDefault="000A3FAB" w:rsidP="00BF1D81">
      <w:pPr>
        <w:pStyle w:val="NormalHanging12a"/>
      </w:pPr>
      <w:r w:rsidRPr="00217876">
        <w:t>–</w:t>
      </w:r>
      <w:r w:rsidRPr="00217876">
        <w:tab/>
        <w:t>tekintettel az EKB 2023. évi felügyeleti tevékenységekről szóló, 2024. márciusban közzétett éves jelentésére,</w:t>
      </w:r>
    </w:p>
    <w:p w:rsidR="000A3FAB" w:rsidRPr="00217876" w:rsidRDefault="000A3FAB" w:rsidP="00BF1D81">
      <w:pPr>
        <w:pStyle w:val="NormalHanging12a"/>
      </w:pPr>
      <w:r w:rsidRPr="00217876">
        <w:t>–</w:t>
      </w:r>
      <w:r w:rsidRPr="00217876">
        <w:tab/>
        <w:t>tekintettel az Egységes Szanálási Testület 2024. június 28-án közzétett, 2023. évi éves jelentésére,</w:t>
      </w:r>
    </w:p>
    <w:p w:rsidR="000A3FAB" w:rsidRPr="00217876" w:rsidRDefault="000A3FAB" w:rsidP="00BF1D81">
      <w:pPr>
        <w:pStyle w:val="NormalHanging12a"/>
      </w:pPr>
      <w:r w:rsidRPr="00217876">
        <w:lastRenderedPageBreak/>
        <w:t>–</w:t>
      </w:r>
      <w:r w:rsidRPr="00217876">
        <w:tab/>
        <w:t>tekintettel a pénzmosási irányelv</w:t>
      </w:r>
      <w:r w:rsidRPr="00217876">
        <w:rPr>
          <w:rStyle w:val="FootnoteReference"/>
        </w:rPr>
        <w:footnoteReference w:id="2"/>
      </w:r>
      <w:r w:rsidRPr="00217876">
        <w:t xml:space="preserve"> és a pénzmosás elleni rendelet</w:t>
      </w:r>
      <w:r w:rsidRPr="00217876">
        <w:rPr>
          <w:rStyle w:val="FootnoteReference"/>
        </w:rPr>
        <w:footnoteReference w:id="3"/>
      </w:r>
      <w:r w:rsidRPr="00217876">
        <w:t xml:space="preserve"> elfogadására, valamint a Pénzmosás Elleni Hatóság (AMLA)</w:t>
      </w:r>
      <w:r w:rsidRPr="00217876">
        <w:rPr>
          <w:rStyle w:val="FootnoteReference"/>
        </w:rPr>
        <w:footnoteReference w:id="4"/>
      </w:r>
      <w:r w:rsidRPr="00217876">
        <w:t xml:space="preserve"> létrehozására,</w:t>
      </w:r>
    </w:p>
    <w:p w:rsidR="000A3FAB" w:rsidRPr="00217876" w:rsidRDefault="000A3FAB" w:rsidP="00BF1D81">
      <w:pPr>
        <w:pStyle w:val="NormalHanging12a"/>
      </w:pPr>
      <w:r w:rsidRPr="00217876">
        <w:t>–</w:t>
      </w:r>
      <w:r w:rsidRPr="00217876">
        <w:tab/>
        <w:t>tekintettel a Bázel III standardok végrehajtására, nevezetesen a tőkekövetelmény-irányelv</w:t>
      </w:r>
      <w:r w:rsidRPr="00217876">
        <w:rPr>
          <w:rStyle w:val="FootnoteReference"/>
        </w:rPr>
        <w:footnoteReference w:id="5"/>
      </w:r>
      <w:r w:rsidRPr="00217876">
        <w:t xml:space="preserve"> és a tőkekövetelmény-rendelet</w:t>
      </w:r>
      <w:r w:rsidRPr="00217876">
        <w:rPr>
          <w:rStyle w:val="FootnoteReference"/>
        </w:rPr>
        <w:footnoteReference w:id="6"/>
      </w:r>
      <w:r w:rsidRPr="00217876">
        <w:t xml:space="preserve"> módosításainak elfogadására,</w:t>
      </w:r>
    </w:p>
    <w:p w:rsidR="000A3FAB" w:rsidRPr="00217876" w:rsidRDefault="000A3FAB" w:rsidP="00BF1D81">
      <w:pPr>
        <w:pStyle w:val="NormalHanging12a"/>
      </w:pPr>
      <w:r w:rsidRPr="00217876">
        <w:t>–</w:t>
      </w:r>
      <w:r w:rsidRPr="00217876">
        <w:tab/>
        <w:t>tekintettel az 575/2013/EU európai parlamenti és tanácsi rendeletnek a piaci kockázatra vonatkozó szavatolótőke-követelmények alkalmazásának kezdőnapja tekintetében történő módosításáról szóló, 2024. július 24-i (EU) 2024/2795 felhatalmazáson alapuló bizottsági rendelet</w:t>
      </w:r>
      <w:r w:rsidRPr="00217876">
        <w:rPr>
          <w:rStyle w:val="FootnoteReference"/>
        </w:rPr>
        <w:footnoteReference w:id="7"/>
      </w:r>
      <w:r w:rsidRPr="00217876">
        <w:t xml:space="preserve"> elfogadására,</w:t>
      </w:r>
    </w:p>
    <w:p w:rsidR="000A3FAB" w:rsidRPr="00217876" w:rsidRDefault="000A3FAB" w:rsidP="00BF1D81">
      <w:pPr>
        <w:pStyle w:val="NormalHanging12a"/>
      </w:pPr>
      <w:r w:rsidRPr="00217876">
        <w:t>–</w:t>
      </w:r>
      <w:r w:rsidRPr="00217876">
        <w:tab/>
        <w:t xml:space="preserve">tekintettel a 806/2014/EU rendeletnek a korai beavatkozási intézkedések, a szanálási feltételek és a szanálási intézkedések </w:t>
      </w:r>
      <w:proofErr w:type="gramStart"/>
      <w:r w:rsidRPr="00217876">
        <w:t>finanszírozása</w:t>
      </w:r>
      <w:proofErr w:type="gramEnd"/>
      <w:r w:rsidRPr="00217876">
        <w:t xml:space="preserve"> tekintetében történő módosításáról szóló európai parlamenti és tanácsi rendeletre irányuló javaslatról szóló, 2024. április 24-i első olvasatbeli álláspontjára</w:t>
      </w:r>
      <w:r w:rsidRPr="00217876">
        <w:rPr>
          <w:rStyle w:val="FootnoteReference"/>
        </w:rPr>
        <w:footnoteReference w:id="8"/>
      </w:r>
      <w:r w:rsidRPr="00217876">
        <w:t>,</w:t>
      </w:r>
    </w:p>
    <w:p w:rsidR="000A3FAB" w:rsidRPr="00217876" w:rsidRDefault="000A3FAB" w:rsidP="00BF1D81">
      <w:pPr>
        <w:pStyle w:val="NormalHanging12a"/>
      </w:pPr>
      <w:r w:rsidRPr="00217876">
        <w:t>–</w:t>
      </w:r>
      <w:r w:rsidRPr="00217876">
        <w:tab/>
        <w:t xml:space="preserve">tekintettel a 2014/59/EU irányelvnek a korai beavatkozási intézkedések, a szanálási feltételek és a szanálási intézkedések </w:t>
      </w:r>
      <w:proofErr w:type="gramStart"/>
      <w:r w:rsidRPr="00217876">
        <w:t>finanszírozása</w:t>
      </w:r>
      <w:proofErr w:type="gramEnd"/>
      <w:r w:rsidRPr="00217876">
        <w:t xml:space="preserve"> tekintetében történő módosításáról szóló európai parlamenti és tanácsi irányelvre irányuló javaslatról szóló, 2024. április 24-i első olvasatbeli álláspontjára</w:t>
      </w:r>
      <w:r w:rsidRPr="00217876">
        <w:rPr>
          <w:rStyle w:val="FootnoteReference"/>
        </w:rPr>
        <w:footnoteReference w:id="9"/>
      </w:r>
      <w:r w:rsidRPr="00217876">
        <w:t>,</w:t>
      </w:r>
    </w:p>
    <w:p w:rsidR="000A3FAB" w:rsidRPr="00217876" w:rsidRDefault="000A3FAB" w:rsidP="00BF1D81">
      <w:pPr>
        <w:pStyle w:val="NormalHanging12a"/>
      </w:pPr>
      <w:r w:rsidRPr="00217876">
        <w:t>–</w:t>
      </w:r>
      <w:r w:rsidRPr="00217876">
        <w:tab/>
        <w:t xml:space="preserve">tekintettel a 2014/49/EU irányelvnek a betétvédelem hatóköre, a betétbiztosítási rendszerek pénzeszközeinek felhasználása, a határokon átnyúló együttműködés és az </w:t>
      </w:r>
      <w:r w:rsidRPr="00217876">
        <w:lastRenderedPageBreak/>
        <w:t>átláthatóság tekintetében történő módosításáról szóló európai parlamenti és tanácsi irányelvre irányuló javaslatról szóló, 2024. április 24-i első olvasatbeli álláspontjára</w:t>
      </w:r>
      <w:r w:rsidRPr="00217876">
        <w:rPr>
          <w:rStyle w:val="FootnoteReference"/>
        </w:rPr>
        <w:footnoteReference w:id="10"/>
      </w:r>
      <w:r w:rsidRPr="00217876">
        <w:t>,</w:t>
      </w:r>
    </w:p>
    <w:p w:rsidR="000A3FAB" w:rsidRPr="00217876" w:rsidRDefault="000A3FAB" w:rsidP="00BF1D81">
      <w:pPr>
        <w:pStyle w:val="NormalHanging12a"/>
      </w:pPr>
      <w:r w:rsidRPr="00217876">
        <w:t>–</w:t>
      </w:r>
      <w:r w:rsidRPr="00217876">
        <w:tab/>
        <w:t>tekintettel Gazdasági és Monetáris Bizottságának a 806/2014/EU rendeletnek az európai betétbiztosítási rendszer létrehozása érdekében történő módosításáról szóló európai parlamenti és tanácsi rendeletre irányuló javaslatról szóló, 2024. április 23-i állásfoglalására,</w:t>
      </w:r>
    </w:p>
    <w:p w:rsidR="000A3FAB" w:rsidRPr="00217876" w:rsidRDefault="000A3FAB" w:rsidP="00BF1D81">
      <w:pPr>
        <w:pStyle w:val="NormalHanging12a"/>
      </w:pPr>
      <w:r w:rsidRPr="00217876">
        <w:t>–</w:t>
      </w:r>
      <w:r w:rsidRPr="00217876">
        <w:tab/>
        <w:t>tekintettel a hitelgondozókról, a hitelfelvásárlókról és a biztosítékok érvényesítéséről szóló európai parlamenti és tanácsi irányelvre irányuló, 2018. március 14-i bizottsági javaslatra (</w:t>
      </w:r>
      <w:proofErr w:type="gramStart"/>
      <w:r w:rsidRPr="00217876">
        <w:t>COM(</w:t>
      </w:r>
      <w:proofErr w:type="gramEnd"/>
      <w:r w:rsidRPr="00217876">
        <w:t>2018)0135),</w:t>
      </w:r>
    </w:p>
    <w:p w:rsidR="000A3FAB" w:rsidRPr="00217876" w:rsidRDefault="000A3FAB" w:rsidP="00BF1D81">
      <w:pPr>
        <w:pStyle w:val="NormalHanging12a"/>
      </w:pPr>
      <w:r w:rsidRPr="00217876">
        <w:t>–</w:t>
      </w:r>
      <w:r w:rsidRPr="00217876">
        <w:tab/>
        <w:t xml:space="preserve">tekintettel az öt elnök „Az európai gazdasági és </w:t>
      </w:r>
      <w:proofErr w:type="gramStart"/>
      <w:r w:rsidRPr="00217876">
        <w:t>monetáris</w:t>
      </w:r>
      <w:proofErr w:type="gramEnd"/>
      <w:r w:rsidRPr="00217876">
        <w:t xml:space="preserve"> unió kiteljesítése” című, 2015. június 22-i jelentésére,</w:t>
      </w:r>
    </w:p>
    <w:p w:rsidR="000A3FAB" w:rsidRPr="00217876" w:rsidRDefault="000A3FAB" w:rsidP="00BF1D81">
      <w:pPr>
        <w:pStyle w:val="NormalHanging12a"/>
      </w:pPr>
      <w:r w:rsidRPr="00217876">
        <w:t>–</w:t>
      </w:r>
      <w:r w:rsidRPr="00217876">
        <w:tab/>
        <w:t xml:space="preserve">tekintettel Enrico Letta „Jóval </w:t>
      </w:r>
      <w:proofErr w:type="gramStart"/>
      <w:r w:rsidRPr="00217876">
        <w:t>több</w:t>
      </w:r>
      <w:proofErr w:type="gramEnd"/>
      <w:r w:rsidRPr="00217876">
        <w:t xml:space="preserve"> mint piac – Sebesség, biztonság, szolidaritás – Az egységes piac képessé tétele arra, hogy fenntartható jövőt és jólétet teremtsen valamennyi uniós polgár számára” (Much more more than a market – Speed, security, solidarity: empowering the Single Market for a sustainable future and prosperity for the EU citizens) című, 2024. április 10-i jelentésére,</w:t>
      </w:r>
    </w:p>
    <w:p w:rsidR="000A3FAB" w:rsidRPr="00217876" w:rsidRDefault="000A3FAB" w:rsidP="00BF1D81">
      <w:pPr>
        <w:pStyle w:val="NormalHanging12a"/>
      </w:pPr>
      <w:r w:rsidRPr="00217876">
        <w:t>–</w:t>
      </w:r>
      <w:r w:rsidRPr="00217876">
        <w:tab/>
        <w:t>tekintettel Mario Draghi „Az európai versenyképesség jövője” című, 2024. szeptember 9-i jelentésére,</w:t>
      </w:r>
    </w:p>
    <w:p w:rsidR="000A3FAB" w:rsidRPr="00217876" w:rsidRDefault="000A3FAB" w:rsidP="00BF1D81">
      <w:pPr>
        <w:pStyle w:val="NormalHanging12a"/>
      </w:pPr>
      <w:r w:rsidRPr="00217876">
        <w:t>–</w:t>
      </w:r>
      <w:r w:rsidRPr="00217876">
        <w:tab/>
        <w:t>tekintettel az eurócsoportnak a tőkepiaci unió jövőjéről szóló, 2024. március 11-i nyilatkozatára, valamint az eurócsoportnak a bankunió jövőjéről szóló, 2022. június 16-i nyilatkozatára, és annak az eurócsoport általi 2023. április 28-i nyomon követésére,</w:t>
      </w:r>
    </w:p>
    <w:p w:rsidR="000A3FAB" w:rsidRPr="00217876" w:rsidRDefault="000A3FAB" w:rsidP="00BF1D81">
      <w:pPr>
        <w:pStyle w:val="NormalHanging12a"/>
      </w:pPr>
      <w:r w:rsidRPr="00217876">
        <w:t>–</w:t>
      </w:r>
      <w:r w:rsidRPr="00217876">
        <w:tab/>
        <w:t>tekintettel a Bázeli Bankfelügyeleti Bizottságnak a bankok kriptoeszközökkel szembeni kitettségére vonatkozó közzétételi keretére, valamint a bankok kriptoeszközökkel szembeni kitettségére vonatkozó prudenciális előírásának célzott módosításaira, amelyeket 2024. július 17-én tettek közzé,</w:t>
      </w:r>
    </w:p>
    <w:p w:rsidR="000A3FAB" w:rsidRPr="00217876" w:rsidRDefault="000A3FAB" w:rsidP="00BF1D81">
      <w:pPr>
        <w:pStyle w:val="NormalHanging12a"/>
      </w:pPr>
      <w:r w:rsidRPr="00217876">
        <w:t>–</w:t>
      </w:r>
      <w:r w:rsidRPr="00217876">
        <w:tab/>
        <w:t>tekintettel a Bázeli Bankfelügyeleti Bizottság által a hatékony bankfelügyeletre vonatkozóan 2024. április 25-én közzétett alapelvekre,</w:t>
      </w:r>
    </w:p>
    <w:p w:rsidR="000A3FAB" w:rsidRPr="00217876" w:rsidRDefault="000A3FAB" w:rsidP="00BF1D81">
      <w:pPr>
        <w:pStyle w:val="NormalHanging12a"/>
      </w:pPr>
      <w:r w:rsidRPr="00217876">
        <w:t>–</w:t>
      </w:r>
      <w:r w:rsidRPr="00217876">
        <w:tab/>
        <w:t xml:space="preserve">tekintettel az EKB 2024. májusi pénzügyi </w:t>
      </w:r>
      <w:proofErr w:type="gramStart"/>
      <w:r w:rsidRPr="00217876">
        <w:t>stabilitási</w:t>
      </w:r>
      <w:proofErr w:type="gramEnd"/>
      <w:r w:rsidRPr="00217876">
        <w:t xml:space="preserve"> elemzésére,</w:t>
      </w:r>
    </w:p>
    <w:p w:rsidR="000A3FAB" w:rsidRPr="00217876" w:rsidRDefault="000A3FAB" w:rsidP="00BF1D81">
      <w:pPr>
        <w:pStyle w:val="NormalHanging12a"/>
      </w:pPr>
      <w:r w:rsidRPr="00217876">
        <w:t>–</w:t>
      </w:r>
      <w:r w:rsidRPr="00217876">
        <w:tab/>
      </w:r>
      <w:r w:rsidRPr="00217876">
        <w:rPr>
          <w:snapToGrid/>
        </w:rPr>
        <w:t>tekintettel az „Út Párizsba: a klímasemleges gazdaságra való átállás stressztesztelése” című, 2023. évi 328. számú időszakos EKB-kiadványra,</w:t>
      </w:r>
    </w:p>
    <w:p w:rsidR="000A3FAB" w:rsidRPr="00217876" w:rsidRDefault="000A3FAB" w:rsidP="00BF1D81">
      <w:pPr>
        <w:pStyle w:val="NormalHanging12a"/>
        <w:rPr>
          <w:snapToGrid/>
          <w:szCs w:val="24"/>
        </w:rPr>
      </w:pPr>
      <w:r w:rsidRPr="00217876">
        <w:t>–</w:t>
      </w:r>
      <w:r w:rsidRPr="00217876">
        <w:tab/>
      </w:r>
      <w:r w:rsidRPr="00217876">
        <w:rPr>
          <w:snapToGrid/>
        </w:rPr>
        <w:t xml:space="preserve">tekintettel a Pénzügyi Stabilitási Tanács 2015. november 9-i, „A </w:t>
      </w:r>
      <w:proofErr w:type="gramStart"/>
      <w:r w:rsidRPr="00217876">
        <w:rPr>
          <w:snapToGrid/>
        </w:rPr>
        <w:t>globálisan</w:t>
      </w:r>
      <w:proofErr w:type="gramEnd"/>
      <w:r w:rsidRPr="00217876">
        <w:rPr>
          <w:snapToGrid/>
        </w:rPr>
        <w:t xml:space="preserve"> rendszerszinten jelentős bankok veszteségviselő és feltőkésítési képességére vonatkozó elvek” című kiadványára,</w:t>
      </w:r>
    </w:p>
    <w:p w:rsidR="000A3FAB" w:rsidRPr="00217876" w:rsidRDefault="000A3FAB" w:rsidP="00BF1D81">
      <w:pPr>
        <w:pStyle w:val="NormalHanging12a"/>
      </w:pPr>
      <w:r w:rsidRPr="00217876">
        <w:t>–</w:t>
      </w:r>
      <w:r w:rsidRPr="00217876">
        <w:tab/>
      </w:r>
      <w:r w:rsidRPr="00217876">
        <w:rPr>
          <w:snapToGrid/>
        </w:rPr>
        <w:t>tekintettel a Pénzügyi Stabilitási Tanács 2023. október 10-i, „2023 Bank Failures: Preliminary lessons learnt for resolution” [2023. évi bankcsődök: A szanáláshoz szükséges előzetes tanulságok] című jelentésére,</w:t>
      </w:r>
    </w:p>
    <w:p w:rsidR="000A3FAB" w:rsidRPr="00217876" w:rsidRDefault="000A3FAB" w:rsidP="00BF1D81">
      <w:pPr>
        <w:pStyle w:val="NormalHanging12a"/>
      </w:pPr>
      <w:r w:rsidRPr="00217876">
        <w:t>–</w:t>
      </w:r>
      <w:r w:rsidRPr="00217876">
        <w:tab/>
        <w:t xml:space="preserve">tekintettel a Peterson Institute for International Economics (Peterson Nemzetközi Gazdaságtudományi Intézet) 2024. június 25-i 24-15. sz., „Európa bankuniója tíz év </w:t>
      </w:r>
      <w:r w:rsidRPr="00217876">
        <w:lastRenderedPageBreak/>
        <w:t>után: befejezetlen, de átalakulóban” (Europe’s banking union at ten: unfinished yet transformative) című munkadokumentumára</w:t>
      </w:r>
      <w:r w:rsidRPr="00217876">
        <w:rPr>
          <w:rStyle w:val="FootnoteReference"/>
        </w:rPr>
        <w:footnoteReference w:id="11"/>
      </w:r>
      <w:r w:rsidRPr="00217876">
        <w:t>,</w:t>
      </w:r>
    </w:p>
    <w:p w:rsidR="000A3FAB" w:rsidRPr="00217876" w:rsidRDefault="000A3FAB" w:rsidP="00BF1D81">
      <w:pPr>
        <w:pStyle w:val="NormalHanging12a"/>
      </w:pPr>
      <w:r w:rsidRPr="00217876">
        <w:t>–</w:t>
      </w:r>
      <w:r w:rsidRPr="00217876">
        <w:tab/>
        <w:t>tekintettel az egységes felügyeleti mechanizmus 2024–2026-os időszakra vonatkozó, 2023 decemberében közzétett felügyeleti prioritásaira,</w:t>
      </w:r>
    </w:p>
    <w:p w:rsidR="000A3FAB" w:rsidRPr="00217876" w:rsidRDefault="000A3FAB" w:rsidP="00BF1D81">
      <w:pPr>
        <w:pStyle w:val="NormalHanging12a"/>
      </w:pPr>
      <w:r w:rsidRPr="00217876">
        <w:t>–</w:t>
      </w:r>
      <w:r w:rsidRPr="00217876">
        <w:tab/>
        <w:t>tekintettel az ESZT-nek az eurócsoporthoz intézett, 2024. május 13-i féléves jelentésére,</w:t>
      </w:r>
    </w:p>
    <w:p w:rsidR="000A3FAB" w:rsidRPr="00217876" w:rsidRDefault="000A3FAB" w:rsidP="00BF1D81">
      <w:pPr>
        <w:pStyle w:val="NormalHanging12a"/>
      </w:pPr>
      <w:r w:rsidRPr="00217876">
        <w:t>–</w:t>
      </w:r>
      <w:r w:rsidRPr="00217876">
        <w:tab/>
        <w:t>tekintettel az Európai Bankhatóság 2023. július 28-án közzétett, 2023. évi uniós szintű átláthatósági vizsgálatának eredményére,</w:t>
      </w:r>
    </w:p>
    <w:p w:rsidR="000A3FAB" w:rsidRPr="00217876" w:rsidRDefault="000A3FAB" w:rsidP="00BF1D81">
      <w:pPr>
        <w:pStyle w:val="NormalHanging12a"/>
      </w:pPr>
      <w:r w:rsidRPr="00217876">
        <w:t>–</w:t>
      </w:r>
      <w:r w:rsidRPr="00217876">
        <w:tab/>
        <w:t>tekintettel az Európai Számvevőszék „</w:t>
      </w:r>
      <w:proofErr w:type="gramStart"/>
      <w:r w:rsidRPr="00217876">
        <w:t>A</w:t>
      </w:r>
      <w:proofErr w:type="gramEnd"/>
      <w:r w:rsidRPr="00217876">
        <w:t xml:space="preserve"> bankok hitelkockázatának uniós felügyelete – Az EKB erőteljesebben lépett fel, de a hitelkockázat megfelelő kezelésével és fedezetével kapcsolatos bizonyosság növeléséhez még többre van szükség” című, 2023. május 12-i 12/2023. sz. különjelentésére,</w:t>
      </w:r>
    </w:p>
    <w:p w:rsidR="000A3FAB" w:rsidRPr="00217876" w:rsidRDefault="000A3FAB" w:rsidP="00BF1D81">
      <w:pPr>
        <w:pStyle w:val="NormalHanging12a"/>
      </w:pPr>
      <w:r w:rsidRPr="00217876">
        <w:t>–</w:t>
      </w:r>
      <w:r w:rsidRPr="00217876">
        <w:tab/>
        <w:t>tekintettel az EKB felügyeleti testületének elnöke, Claudia Bach által a Parlament Gazdasági és Monetáris Bizottságában lefolytatott 2024. március 21-i és 2024. szeptember 2-i meghallgatásokon tett nyilatkozatokra,</w:t>
      </w:r>
    </w:p>
    <w:p w:rsidR="000A3FAB" w:rsidRPr="00217876" w:rsidRDefault="000A3FAB" w:rsidP="00BF1D81">
      <w:pPr>
        <w:pStyle w:val="NormalHanging12a"/>
      </w:pPr>
      <w:r w:rsidRPr="00217876">
        <w:t>–</w:t>
      </w:r>
      <w:r w:rsidRPr="00217876">
        <w:tab/>
        <w:t>tekintettel az ESZT elnöke, Dominique Laboureix által a Parlament Gazdasági és Monetáris Bizottságában lefolytatott 2024. március 21-i és 2024. szeptember 23-i meghallgatásokon tett nyilatkozatokra,</w:t>
      </w:r>
    </w:p>
    <w:p w:rsidR="000A3FAB" w:rsidRPr="00217876" w:rsidRDefault="000A3FAB" w:rsidP="00BF1D81">
      <w:pPr>
        <w:pStyle w:val="NormalHanging12a"/>
      </w:pPr>
      <w:r w:rsidRPr="00217876">
        <w:t>–</w:t>
      </w:r>
      <w:r w:rsidRPr="00217876">
        <w:tab/>
      </w:r>
      <w:r w:rsidRPr="00217876">
        <w:rPr>
          <w:snapToGrid/>
        </w:rPr>
        <w:t>tekintettel az Európai Bankhatóság 2024. júliusi és 2024. decemberi kockázatértékelési jelentéseire,</w:t>
      </w:r>
    </w:p>
    <w:p w:rsidR="000A3FAB" w:rsidRPr="00217876" w:rsidRDefault="000A3FAB" w:rsidP="00BF1D81">
      <w:pPr>
        <w:pStyle w:val="NormalHanging12a"/>
      </w:pPr>
      <w:r w:rsidRPr="00217876">
        <w:t>–</w:t>
      </w:r>
      <w:r w:rsidRPr="00217876">
        <w:tab/>
        <w:t xml:space="preserve">tekintettel az uniós gazdasági és </w:t>
      </w:r>
      <w:proofErr w:type="gramStart"/>
      <w:r w:rsidRPr="00217876">
        <w:t>monetáris</w:t>
      </w:r>
      <w:proofErr w:type="gramEnd"/>
      <w:r w:rsidRPr="00217876">
        <w:t xml:space="preserve"> ügyekkel kapcsolatos pozíciók jelöltjei közötti nemi egyensúlyról szóló, 2019. március 14-i állásfoglalására</w:t>
      </w:r>
      <w:r w:rsidRPr="00217876">
        <w:rPr>
          <w:rStyle w:val="FootnoteReference"/>
        </w:rPr>
        <w:footnoteReference w:id="12"/>
      </w:r>
      <w:r w:rsidRPr="00217876">
        <w:t>,</w:t>
      </w:r>
    </w:p>
    <w:p w:rsidR="000A3FAB" w:rsidRPr="00217876" w:rsidRDefault="000A3FAB" w:rsidP="00BF1D81">
      <w:pPr>
        <w:pStyle w:val="NormalHanging12a"/>
      </w:pPr>
      <w:r w:rsidRPr="00217876">
        <w:t>–</w:t>
      </w:r>
      <w:r w:rsidRPr="00217876">
        <w:tab/>
      </w:r>
      <w:r w:rsidRPr="00217876">
        <w:rPr>
          <w:snapToGrid/>
        </w:rPr>
        <w:t>tekintettel az eur</w:t>
      </w:r>
      <w:r w:rsidR="0023195B" w:rsidRPr="00217876">
        <w:rPr>
          <w:snapToGrid/>
        </w:rPr>
        <w:t>o</w:t>
      </w:r>
      <w:r w:rsidRPr="00217876">
        <w:rPr>
          <w:snapToGrid/>
        </w:rPr>
        <w:t xml:space="preserve"> nemzetközi szerepének megerősítéséről szóló, 2021. március 25-i állásfoglalására</w:t>
      </w:r>
      <w:r w:rsidRPr="00217876">
        <w:rPr>
          <w:rStyle w:val="FootnoteReference"/>
          <w:snapToGrid/>
          <w:szCs w:val="24"/>
          <w:lang w:eastAsia="en-GB"/>
        </w:rPr>
        <w:footnoteReference w:id="13"/>
      </w:r>
      <w:r w:rsidRPr="00217876">
        <w:rPr>
          <w:snapToGrid/>
        </w:rPr>
        <w:t>,</w:t>
      </w:r>
    </w:p>
    <w:p w:rsidR="000A3FAB" w:rsidRPr="00217876" w:rsidRDefault="000A3FAB" w:rsidP="00BF1D81">
      <w:pPr>
        <w:pStyle w:val="NormalHanging12a"/>
      </w:pPr>
      <w:r w:rsidRPr="00217876">
        <w:t>–</w:t>
      </w:r>
      <w:r w:rsidRPr="00217876">
        <w:tab/>
        <w:t>tekintettel eljárási szabályzata 55. cikkére,</w:t>
      </w:r>
    </w:p>
    <w:p w:rsidR="000A3FAB" w:rsidRPr="00217876" w:rsidRDefault="000A3FAB" w:rsidP="00BF1D81">
      <w:pPr>
        <w:pStyle w:val="NormalHanging12a"/>
      </w:pPr>
      <w:r w:rsidRPr="00217876">
        <w:t>–</w:t>
      </w:r>
      <w:r w:rsidRPr="00217876">
        <w:tab/>
        <w:t>tekintettel a Gazdasági és Monetáris Bizottság jelentésére (A10-0044/2025),</w:t>
      </w:r>
    </w:p>
    <w:p w:rsidR="000A3FAB" w:rsidRPr="00217876" w:rsidRDefault="000A3FAB" w:rsidP="00BF1D81">
      <w:pPr>
        <w:pStyle w:val="NormalHanging12a"/>
      </w:pPr>
      <w:r w:rsidRPr="00217876">
        <w:t>A.</w:t>
      </w:r>
      <w:r w:rsidRPr="00217876">
        <w:tab/>
      </w:r>
      <w:proofErr w:type="gramStart"/>
      <w:r w:rsidRPr="00217876">
        <w:t>mivel</w:t>
      </w:r>
      <w:proofErr w:type="gramEnd"/>
      <w:r w:rsidRPr="00217876">
        <w:t xml:space="preserve"> a bankunió magában foglalja az egységes felügyeleti mechanizmust, az egységes szanálási mechanizmust és egy továbbra is hiányzó európai betétbiztosítási rendszert;</w:t>
      </w:r>
    </w:p>
    <w:p w:rsidR="000A3FAB" w:rsidRPr="00217876" w:rsidRDefault="000A3FAB" w:rsidP="00BF1D81">
      <w:pPr>
        <w:pStyle w:val="NormalHanging12a"/>
      </w:pPr>
      <w:r w:rsidRPr="00217876">
        <w:t xml:space="preserve">B. </w:t>
      </w:r>
      <w:r w:rsidRPr="00217876">
        <w:tab/>
        <w:t xml:space="preserve">mivel a bankunió fő célja az európai bankszektor </w:t>
      </w:r>
      <w:proofErr w:type="gramStart"/>
      <w:r w:rsidRPr="00217876">
        <w:t>stabilitásának</w:t>
      </w:r>
      <w:proofErr w:type="gramEnd"/>
      <w:r w:rsidRPr="00217876">
        <w:t xml:space="preserve"> megőrzése és annak megelőzése, hogy az adófizetők pénzére legyen szükség a csőd kockázatának kitett bankok megmentéséhez;</w:t>
      </w:r>
    </w:p>
    <w:p w:rsidR="000A3FAB" w:rsidRPr="00217876" w:rsidRDefault="000A3FAB" w:rsidP="00BF1D81">
      <w:pPr>
        <w:pStyle w:val="NormalHanging12a"/>
      </w:pPr>
      <w:proofErr w:type="gramStart"/>
      <w:r w:rsidRPr="00217876">
        <w:t>C.</w:t>
      </w:r>
      <w:r w:rsidRPr="00217876">
        <w:tab/>
        <w:t xml:space="preserve">mivel egy kiteljesített bankunió pozitív fejlemény lenne a polgárok és az uniós gazdaság számára, mivel javítaná a bankszektor versenyképességét és stabilitását, csökkentené a rendszerszintű kockázatot, javítaná a kínálatot és a fogyasztók választási lehetőségeit, valamint az olyan, határokon átnyúló banki szolgáltatások lehetőségeinek bővülését </w:t>
      </w:r>
      <w:r w:rsidRPr="00217876">
        <w:lastRenderedPageBreak/>
        <w:t>kínálná, amelyek növelnék a háztartások és vállalkozások finanszírozáshoz való hozzáférését, csökkentve a banki ügyfelek költségeit, miközben biztosítja, hogy a bankszektor megmentésére nem használnak fel közpénzeket; mivel a „túl nagy a csődhöz” kockázatát</w:t>
      </w:r>
      <w:proofErr w:type="gramEnd"/>
      <w:r w:rsidRPr="00217876">
        <w:t xml:space="preserve"> </w:t>
      </w:r>
      <w:proofErr w:type="gramStart"/>
      <w:r w:rsidRPr="00217876">
        <w:t>még</w:t>
      </w:r>
      <w:proofErr w:type="gramEnd"/>
      <w:r w:rsidRPr="00217876">
        <w:t xml:space="preserve"> nem kezelték teljes mértékben;</w:t>
      </w:r>
    </w:p>
    <w:p w:rsidR="000A3FAB" w:rsidRPr="00217876" w:rsidRDefault="000A3FAB" w:rsidP="00BF1D81">
      <w:pPr>
        <w:pStyle w:val="NormalHanging12a"/>
      </w:pPr>
      <w:r w:rsidRPr="00217876">
        <w:t>D.</w:t>
      </w:r>
      <w:r w:rsidRPr="00217876">
        <w:tab/>
        <w:t xml:space="preserve">mivel a banki válságkezelési és a betétbiztosítási rendszer (EDIS) uniós keretrendszerei reformjának lezárása – amely különösen a kis- és közepes méretű bankokra összpontosít – alapvető fontosságú az európai bankszektor biztonságának, </w:t>
      </w:r>
      <w:proofErr w:type="gramStart"/>
      <w:r w:rsidRPr="00217876">
        <w:t>stabilitásának</w:t>
      </w:r>
      <w:proofErr w:type="gramEnd"/>
      <w:r w:rsidRPr="00217876">
        <w:t xml:space="preserve"> és ellenálló képességének biztosítása szempontjából; mivel egy valódi európai betétbiztosítási rendszert magában foglaló, teljes bankunió létrehozása alapvető feltétele annak, hogy a polgárok megbízzanak az európai bankokban;</w:t>
      </w:r>
    </w:p>
    <w:p w:rsidR="000A3FAB" w:rsidRPr="00217876" w:rsidRDefault="000A3FAB" w:rsidP="00BF1D81">
      <w:pPr>
        <w:pStyle w:val="NormalHanging12a"/>
      </w:pPr>
      <w:r w:rsidRPr="00217876">
        <w:t>E.</w:t>
      </w:r>
      <w:r w:rsidRPr="00217876">
        <w:tab/>
        <w:t xml:space="preserve">mivel az uniós bankszektor széttagoltsága és határokon átnyúló </w:t>
      </w:r>
      <w:proofErr w:type="gramStart"/>
      <w:r w:rsidRPr="00217876">
        <w:t>konszolidációjának</w:t>
      </w:r>
      <w:proofErr w:type="gramEnd"/>
      <w:r w:rsidRPr="00217876">
        <w:t xml:space="preserve"> hiánya hatással van globális versenyképességére; mivel az EU és az USA bankjainak nyereségessége közötti különbség növekedett;</w:t>
      </w:r>
    </w:p>
    <w:p w:rsidR="000A3FAB" w:rsidRPr="00217876" w:rsidRDefault="000A3FAB" w:rsidP="00BF1D81">
      <w:pPr>
        <w:pStyle w:val="NormalHanging12a"/>
      </w:pPr>
      <w:r w:rsidRPr="00217876">
        <w:t>F.</w:t>
      </w:r>
      <w:r w:rsidRPr="00217876">
        <w:tab/>
        <w:t xml:space="preserve">mivel az erős és diverzifikált bankszektor kulcsfontosságú a gazdasági növekedés megvalósításához, a lakástulajdonlási lehetőségek növeléséhez, a beruházások és a munkahelyteremtés ösztönzéséhez, a kis- és középvállalkozások (kkv-k) és az induló innovatív vállalkozások </w:t>
      </w:r>
      <w:proofErr w:type="gramStart"/>
      <w:r w:rsidRPr="00217876">
        <w:t>finanszírozásához</w:t>
      </w:r>
      <w:proofErr w:type="gramEnd"/>
      <w:r w:rsidRPr="00217876">
        <w:t>, valamint a zöld és digitális gazdaságra való átállás biztosításához;</w:t>
      </w:r>
    </w:p>
    <w:p w:rsidR="000A3FAB" w:rsidRPr="00217876" w:rsidRDefault="000A3FAB" w:rsidP="00BF1D81">
      <w:pPr>
        <w:pStyle w:val="NormalHanging12a"/>
      </w:pPr>
      <w:r w:rsidRPr="00217876">
        <w:t>G.</w:t>
      </w:r>
      <w:r w:rsidRPr="00217876">
        <w:tab/>
        <w:t>mivel az európai vállalatok külső finanszírozásának mintegy 80%-a bankoktól származik, míg 20%-</w:t>
      </w:r>
      <w:proofErr w:type="gramStart"/>
      <w:r w:rsidRPr="00217876">
        <w:t>a</w:t>
      </w:r>
      <w:proofErr w:type="gramEnd"/>
      <w:r w:rsidRPr="00217876">
        <w:t xml:space="preserve"> a tőkepiacokról; mivel az Egyesült Államokban a vállalati hiteleknek csak 30%-a származik bankoktól, míg 70%-át a tőkepiacokon, például vállalati kötvénykibocsátáson vagy részvényeken keresztül finanszírozzák;</w:t>
      </w:r>
    </w:p>
    <w:p w:rsidR="000A3FAB" w:rsidRPr="00217876" w:rsidRDefault="000A3FAB" w:rsidP="00BF1D81">
      <w:pPr>
        <w:pStyle w:val="NormalHanging12a"/>
      </w:pPr>
      <w:r w:rsidRPr="00217876">
        <w:t>H.</w:t>
      </w:r>
      <w:r w:rsidRPr="00217876">
        <w:tab/>
      </w:r>
      <w:proofErr w:type="gramStart"/>
      <w:r w:rsidRPr="00217876">
        <w:t>mivel</w:t>
      </w:r>
      <w:proofErr w:type="gramEnd"/>
      <w:r w:rsidRPr="00217876">
        <w:t xml:space="preserve"> a 2024-ben 110 felügyelt intézménynél rögzített 356,1 milliárd EUR nemteljesítő hitel a 2015 második negyedévében 102 felügyelt intézménynél regisztrált 988,9 milliárd EUR nemteljesítő hitelhez képest jelentős csökkenő pályát tükröz, így a teljes nemteljesítő hitelállomány a 2015-ös szint 36%-ára csökkent; mivel további erőfeszítésekre van szükség;</w:t>
      </w:r>
    </w:p>
    <w:p w:rsidR="000A3FAB" w:rsidRPr="00217876" w:rsidRDefault="000A3FAB" w:rsidP="00BF1D81">
      <w:pPr>
        <w:pStyle w:val="NormalHanging12a"/>
      </w:pPr>
      <w:r w:rsidRPr="00217876">
        <w:t>I.</w:t>
      </w:r>
      <w:r w:rsidRPr="00217876">
        <w:tab/>
        <w:t>mivel 2024 áprilisában elfogadta álláspontját a válságkezelési és betétbiztosítási keretrendszer felülvizsgálatáról;</w:t>
      </w:r>
    </w:p>
    <w:p w:rsidR="000A3FAB" w:rsidRPr="00217876" w:rsidRDefault="000A3FAB" w:rsidP="00BF1D81">
      <w:pPr>
        <w:pStyle w:val="NormalHanging12a"/>
      </w:pPr>
      <w:r w:rsidRPr="00217876">
        <w:t>J.</w:t>
      </w:r>
      <w:r w:rsidRPr="00217876">
        <w:tab/>
      </w:r>
      <w:proofErr w:type="gramStart"/>
      <w:r w:rsidRPr="00217876">
        <w:t>mivel</w:t>
      </w:r>
      <w:proofErr w:type="gramEnd"/>
      <w:r w:rsidRPr="00217876">
        <w:t xml:space="preserve"> 2024 áprilisában a Parlament Gazdasági és Monetáris Bizottsága jelentést fogadott el az európai betétbiztosítási rendszer létrehozására irányuló bizottsági javaslatról;</w:t>
      </w:r>
    </w:p>
    <w:p w:rsidR="000A3FAB" w:rsidRPr="00217876" w:rsidRDefault="000A3FAB" w:rsidP="00BF1D81">
      <w:pPr>
        <w:pStyle w:val="NormalHanging12a"/>
      </w:pPr>
      <w:r w:rsidRPr="00217876">
        <w:t>K.</w:t>
      </w:r>
      <w:r w:rsidRPr="00217876">
        <w:tab/>
      </w:r>
      <w:proofErr w:type="gramStart"/>
      <w:r w:rsidRPr="00217876">
        <w:t>mivel a pénzügyi intézmények egyre nagyobb mértékben támaszkodnak az információs és kommunikációs technológia (IKT) használatára; mivel a pénzügyek digitalizációja fontos lehetőségeket kínál a bankszektor számára, és jelentős technológiai fejlődést eredményezett az uniós bankszektorban a banki szolgáltatások nyújtásának fokozott hatékonysága és az innováció iránti nagyobb hajlandóság révén; mivel mindez kihívásokat is jelent, többek között az adatvédelem, a reputációs kockázat, a pénzmosás elleni küzdelem (AML) és a fogyasztóvédelmi aggályok tekintetében; mivel az uniós bankszektornak növelnie</w:t>
      </w:r>
      <w:proofErr w:type="gramEnd"/>
      <w:r w:rsidRPr="00217876">
        <w:t xml:space="preserve"> </w:t>
      </w:r>
      <w:proofErr w:type="gramStart"/>
      <w:r w:rsidRPr="00217876">
        <w:t>kell</w:t>
      </w:r>
      <w:proofErr w:type="gramEnd"/>
      <w:r w:rsidRPr="00217876">
        <w:t xml:space="preserve"> kiberrezilienciáját annak biztosítása érdekében, hogy az IKT-rendszerek ellenálljanak a különböző típusú kiberbiztonsági fenyegetéseknek; mivel az EKB jelenleg vizsgálja a digitális eur</w:t>
      </w:r>
      <w:r w:rsidR="0023195B" w:rsidRPr="00217876">
        <w:t>o</w:t>
      </w:r>
      <w:r w:rsidRPr="00217876">
        <w:t xml:space="preserve"> létrehozását;</w:t>
      </w:r>
    </w:p>
    <w:p w:rsidR="000A3FAB" w:rsidRPr="00217876" w:rsidRDefault="000A3FAB" w:rsidP="00BF1D81">
      <w:pPr>
        <w:pStyle w:val="NormalHanging12a"/>
      </w:pPr>
      <w:r w:rsidRPr="00217876">
        <w:lastRenderedPageBreak/>
        <w:t>L.</w:t>
      </w:r>
      <w:r w:rsidRPr="00217876">
        <w:tab/>
        <w:t xml:space="preserve">mivel az uniós bankoknak sikerült ellenállniuk az orosz </w:t>
      </w:r>
      <w:proofErr w:type="gramStart"/>
      <w:r w:rsidRPr="00217876">
        <w:t>agresszió</w:t>
      </w:r>
      <w:proofErr w:type="gramEnd"/>
      <w:r w:rsidRPr="00217876">
        <w:t xml:space="preserve"> hatásával szemben; mivel kulcsszerepet játszanak az EU által Oroszországgal szemben az invázióra válaszul kiszabott szankciók folyamatos végrehajtásának és betartásának biztosításában; mivel a szankciók kijátszásának elkerülése érdekében további koordinációra van szükség;</w:t>
      </w:r>
    </w:p>
    <w:p w:rsidR="000A3FAB" w:rsidRPr="00217876" w:rsidRDefault="00BF1D81" w:rsidP="00BF1D81">
      <w:pPr>
        <w:pStyle w:val="NormalHanging12a"/>
      </w:pPr>
      <w:r w:rsidRPr="00217876">
        <w:t>M.</w:t>
      </w:r>
      <w:r w:rsidR="000A3FAB" w:rsidRPr="00217876">
        <w:tab/>
        <w:t xml:space="preserve">mivel az éghajlatváltozás, a környezetkárosodás és az alacsony szén-dioxid-kibocsátású gazdaságra való átállás olyan tényezők, amelyeket figyelembe kell venni a bankok mérlegével kapcsolatos kockázatok </w:t>
      </w:r>
      <w:proofErr w:type="gramStart"/>
      <w:r w:rsidR="000A3FAB" w:rsidRPr="00217876">
        <w:t>értékelésekor</w:t>
      </w:r>
      <w:proofErr w:type="gramEnd"/>
      <w:r w:rsidR="000A3FAB" w:rsidRPr="00217876">
        <w:t xml:space="preserve"> mint az egyes régiókban és ágazatokban a beruházásokat potenciálisan befolyásoló kockázatot;</w:t>
      </w:r>
    </w:p>
    <w:p w:rsidR="000A3FAB" w:rsidRPr="00217876" w:rsidRDefault="000A3FAB" w:rsidP="00BF1D81">
      <w:pPr>
        <w:pStyle w:val="Normal12a24b"/>
        <w:widowControl/>
        <w:spacing w:before="0"/>
        <w:ind w:left="567" w:hanging="567"/>
        <w:jc w:val="both"/>
      </w:pPr>
      <w:r w:rsidRPr="00217876">
        <w:rPr>
          <w:rStyle w:val="BoldItalic"/>
        </w:rPr>
        <w:t>Általános szempontok</w:t>
      </w:r>
    </w:p>
    <w:p w:rsidR="000A3FAB" w:rsidRPr="00217876" w:rsidRDefault="000A3FAB" w:rsidP="00BF1D81">
      <w:pPr>
        <w:pStyle w:val="NormalHanging12a"/>
      </w:pPr>
      <w:r w:rsidRPr="00217876">
        <w:t>1.</w:t>
      </w:r>
      <w:r w:rsidRPr="00217876">
        <w:tab/>
        <w:t>elismeri az egységes felügyeleti mechanizmus (SSM) és az egységes szanálási mechanizmus (SRM) létrehozása révén az elmúlt 10 évben elért eredményeket; megjegyzi, hogy a bankunió nem fog kiteljesedni a harmadik pillér, az európai betétbiztosítási rendszer létrehozása nélkül;</w:t>
      </w:r>
    </w:p>
    <w:p w:rsidR="000A3FAB" w:rsidRPr="00217876" w:rsidRDefault="000A3FAB" w:rsidP="00BF1D81">
      <w:pPr>
        <w:pStyle w:val="NormalHanging12a"/>
      </w:pPr>
      <w:proofErr w:type="gramStart"/>
      <w:r w:rsidRPr="00217876">
        <w:t>2.</w:t>
      </w:r>
      <w:r w:rsidRPr="00217876">
        <w:tab/>
        <w:t>kéri a Bizottságot annak biztosítására, hogy a bankunió és a tőkepiaci unió megvalósítása továbbra is kulcsfontosságú prioritás maradjon; kiemeli, hogy ezek a projektek szélesebb körű finanszírozáshoz biztosítanak hozzáférést a háztartások és a kkv-k számára, csökkentik az erős függőséget a bankhitelektől, hogy ösztönözzék a beruházásokat és a munkahelyteremtést, növelik a pénzügyi stabilitást, csökkentik a gazdasági visszaesések hatását, támogatják a versenyképességet, további beruházási lehetőségeket biztosítanak, finanszírozzák a zöld és digitális gazdaságra való átállást és kiaknázzák a</w:t>
      </w:r>
      <w:proofErr w:type="gramEnd"/>
      <w:r w:rsidRPr="00217876">
        <w:t>z EU növekedési potenciálját; megjegyzi, hogy a Bizottságot fel kell kérni arra, hogy az egyenlő versenyfeltételek megőrzése mellett vegye figyelembe a különböző banki modellek sajátosságait;</w:t>
      </w:r>
    </w:p>
    <w:p w:rsidR="000A3FAB" w:rsidRPr="00217876" w:rsidRDefault="000A3FAB" w:rsidP="00BF1D81">
      <w:pPr>
        <w:pStyle w:val="NormalHanging12a"/>
      </w:pPr>
      <w:r w:rsidRPr="00217876">
        <w:t>3.</w:t>
      </w:r>
      <w:r w:rsidRPr="00217876">
        <w:tab/>
        <w:t xml:space="preserve">megjegyzi, hogy fel kell készülni a bankszektort érintő stresszhelyzetekre, amelyek az EU-n kívüli egyes országokban 2023 márciusában tapasztalt bankrohamokhoz vezethetnek, és hogy biztosítani kell a betétek </w:t>
      </w:r>
      <w:proofErr w:type="gramStart"/>
      <w:r w:rsidRPr="00217876">
        <w:t>stabilitását</w:t>
      </w:r>
      <w:proofErr w:type="gramEnd"/>
      <w:r w:rsidRPr="00217876">
        <w:t>;</w:t>
      </w:r>
    </w:p>
    <w:p w:rsidR="000A3FAB" w:rsidRPr="00217876" w:rsidRDefault="000A3FAB" w:rsidP="00BF1D81">
      <w:pPr>
        <w:pStyle w:val="NormalHanging12a"/>
      </w:pPr>
      <w:r w:rsidRPr="00217876">
        <w:t>4</w:t>
      </w:r>
      <w:r w:rsidRPr="00217876">
        <w:rPr>
          <w:b/>
          <w:i/>
        </w:rPr>
        <w:t>.</w:t>
      </w:r>
      <w:r w:rsidRPr="00217876">
        <w:rPr>
          <w:b/>
          <w:i/>
        </w:rPr>
        <w:tab/>
      </w:r>
      <w:r w:rsidRPr="00217876">
        <w:t xml:space="preserve">rámutat, hogy a kiberreziliencia az uniós bankszektor versenyképességének kulcsfontosságú eleme, különös tekintettel a geopolitikai helyzetre és a pénzügyi </w:t>
      </w:r>
      <w:proofErr w:type="gramStart"/>
      <w:r w:rsidRPr="00217876">
        <w:t>stabilitás</w:t>
      </w:r>
      <w:proofErr w:type="gramEnd"/>
      <w:r w:rsidRPr="00217876">
        <w:t xml:space="preserve"> megőrzésének szükségességére; </w:t>
      </w:r>
    </w:p>
    <w:p w:rsidR="000A3FAB" w:rsidRPr="00217876" w:rsidRDefault="000A3FAB" w:rsidP="00BF1D81">
      <w:pPr>
        <w:pStyle w:val="NormalHanging12a"/>
      </w:pPr>
      <w:proofErr w:type="gramStart"/>
      <w:r w:rsidRPr="00217876">
        <w:t>5.</w:t>
      </w:r>
      <w:r w:rsidRPr="00217876">
        <w:tab/>
        <w:t>megjegyzi, hogy egy integráltabb bankunió segítene ellenállóképesebbé tenni az uniós bankszektort, javítaná a hitelhez való hozzáférést és csökkentené a költségeket; megjegyzi, hogy a banki vállalkozások határokon átnyúló jobb integrációja növelné a magánszektorbeli kockázatmegosztás lehetőségét, és biztosítaná az uniós bankpiac sokféleségét; rámutat arra, hogy az integráltabb bankunió nem feltétlenül egyezik meg a konszolidáltabb bankpiaccal, és hogy a diverzifikált banki piac előnyökkel jár a verseny számára; hangsúlyozza, hogy egy teljes mértékben kialakított bankunió lehetővé teszi az európa</w:t>
      </w:r>
      <w:proofErr w:type="gramEnd"/>
      <w:r w:rsidRPr="00217876">
        <w:t xml:space="preserve">i </w:t>
      </w:r>
      <w:proofErr w:type="gramStart"/>
      <w:r w:rsidRPr="00217876">
        <w:t>bankok</w:t>
      </w:r>
      <w:proofErr w:type="gramEnd"/>
      <w:r w:rsidRPr="00217876">
        <w:t xml:space="preserve"> számára a növekedést és a nemzetközi versenyben való jobb helytállást;</w:t>
      </w:r>
    </w:p>
    <w:p w:rsidR="000A3FAB" w:rsidRPr="00217876" w:rsidRDefault="000A3FAB" w:rsidP="00BF1D81">
      <w:pPr>
        <w:pStyle w:val="NormalHanging12a"/>
      </w:pPr>
      <w:proofErr w:type="gramStart"/>
      <w:r w:rsidRPr="00217876">
        <w:t>6.</w:t>
      </w:r>
      <w:r w:rsidRPr="00217876">
        <w:tab/>
        <w:t xml:space="preserve">sajnálatát fejezi ki amiatt, hogy az uniós bankok jelentős beruházások finanszírozására való képességét korlátozza az alacsonyabb jövedelmezőség, ami nem elegendő versenyképességük biztosításához; megjegyzi, hogy a más országokhoz viszonyított jövedelmezőségi különbség strukturális és szabályozási okoknak egyaránt betudható, és a szabályozási keret egyszerűsítése érdekében felülvizsgálatra szólít fel; megjegyzi, hogy az uniós bankrendszer sajátos jellege, amely nagyszámú kisebb bankot foglal magában, olyan arányos megoldásokat tesz szükségessé, amelyek figyelembe veszik </w:t>
      </w:r>
      <w:r w:rsidRPr="00217876">
        <w:lastRenderedPageBreak/>
        <w:t>ezt, és igazodnak sajátosságaihoz,</w:t>
      </w:r>
      <w:proofErr w:type="gramEnd"/>
      <w:r w:rsidRPr="00217876">
        <w:t xml:space="preserve"> anélkül, hogy aláásnák a pénzügyi </w:t>
      </w:r>
      <w:proofErr w:type="gramStart"/>
      <w:r w:rsidRPr="00217876">
        <w:t>stabilitást</w:t>
      </w:r>
      <w:proofErr w:type="gramEnd"/>
      <w:r w:rsidRPr="00217876">
        <w:t>; továbbra is tudatában van a „túl nagy a csődhöz” kockázatának;</w:t>
      </w:r>
    </w:p>
    <w:p w:rsidR="000A3FAB" w:rsidRPr="00217876" w:rsidRDefault="000A3FAB" w:rsidP="00BF1D81">
      <w:pPr>
        <w:pStyle w:val="NormalHanging12a"/>
      </w:pPr>
      <w:r w:rsidRPr="00217876">
        <w:t>7.</w:t>
      </w:r>
      <w:r w:rsidRPr="00217876">
        <w:tab/>
        <w:t xml:space="preserve">felhívja a Bizottságot, hogy értékelje, hogy ki kell-e dolgozni célzott kereteket a bankunión belül a kkv-k és az induló innovatív vállalkozások </w:t>
      </w:r>
      <w:proofErr w:type="gramStart"/>
      <w:r w:rsidRPr="00217876">
        <w:t>finanszírozáshoz</w:t>
      </w:r>
      <w:proofErr w:type="gramEnd"/>
      <w:r w:rsidRPr="00217876">
        <w:t xml:space="preserve"> való hozzáférésének javítása érdekében, elismerve, hogy azok az uniós gazdaság gerincét képezik;</w:t>
      </w:r>
    </w:p>
    <w:p w:rsidR="000A3FAB" w:rsidRPr="00217876" w:rsidRDefault="000A3FAB" w:rsidP="00BF1D81">
      <w:pPr>
        <w:pStyle w:val="NormalHanging12a"/>
      </w:pPr>
      <w:r w:rsidRPr="00217876">
        <w:t>8.</w:t>
      </w:r>
      <w:r w:rsidRPr="00217876">
        <w:tab/>
        <w:t xml:space="preserve">sajnálja, hogy az uniós bankok határokon átnyúló tevékenysége még mindig meglehetősen korlátozott, </w:t>
      </w:r>
      <w:proofErr w:type="gramStart"/>
      <w:r w:rsidRPr="00217876">
        <w:t>különösen</w:t>
      </w:r>
      <w:proofErr w:type="gramEnd"/>
      <w:r w:rsidRPr="00217876">
        <w:t xml:space="preserve"> ami a hitelnyújtást illeti; ezért úgy véli, hogy a tőke szabad mozgásának a teljes mértékben integrált belső piacon való fenntartása érdekében fontos a bankunió kiteljesítése;</w:t>
      </w:r>
    </w:p>
    <w:p w:rsidR="000A3FAB" w:rsidRPr="00217876" w:rsidRDefault="000A3FAB" w:rsidP="00BF1D81">
      <w:pPr>
        <w:pStyle w:val="NormalHanging12a"/>
      </w:pPr>
      <w:r w:rsidRPr="00217876">
        <w:t>9.</w:t>
      </w:r>
      <w:r w:rsidRPr="00217876">
        <w:tab/>
        <w:t>kéri, hogy az Oroszországban még mindig működő uniós bankok a lehető leghamarabb vonuljanak ki az orosz piacról; felhívja a felügyeleti intézményeket, hogy biztosítsák e bankok orosz piacról való sürgős kivonulásának előmozdítását;</w:t>
      </w:r>
    </w:p>
    <w:p w:rsidR="000A3FAB" w:rsidRPr="00217876" w:rsidRDefault="000A3FAB" w:rsidP="00BF1D81">
      <w:pPr>
        <w:pStyle w:val="NormalHanging12a"/>
      </w:pPr>
      <w:r w:rsidRPr="00217876">
        <w:t>10.</w:t>
      </w:r>
      <w:r w:rsidRPr="00217876">
        <w:tab/>
        <w:t>felkéri a Bizottságot, hogy vizsgálja tovább, hogy a jelentős, határokon átnyúló műveleteket lebonyolító uniós bankokkal foglalkozó külön joghatóság létrehozása</w:t>
      </w:r>
      <w:r w:rsidRPr="00217876">
        <w:rPr>
          <w:rStyle w:val="FootnoteReference"/>
        </w:rPr>
        <w:footnoteReference w:id="14"/>
      </w:r>
      <w:r w:rsidRPr="00217876">
        <w:t xml:space="preserve"> segíthet-e a bankunió kiteljesítésében, vagy ez növelné-e a bankszektor széttöredezettségét;</w:t>
      </w:r>
    </w:p>
    <w:p w:rsidR="000A3FAB" w:rsidRPr="00217876" w:rsidRDefault="000A3FAB" w:rsidP="00BF1D81">
      <w:pPr>
        <w:pStyle w:val="NormalHanging12a"/>
      </w:pPr>
      <w:r w:rsidRPr="00217876">
        <w:t>11.</w:t>
      </w:r>
      <w:r w:rsidRPr="00217876">
        <w:tab/>
        <w:t xml:space="preserve">megjegyzi, hogy a pénzügyi stabilitási kockázatok kellő figyelembevételével meg lehetne vizsgálni az európai piacok megerősítésére szolgáló értékpapírosítási keret felülvizsgálatának, valamint a biztosítékkal fedezett európai befektetési </w:t>
      </w:r>
      <w:proofErr w:type="gramStart"/>
      <w:r w:rsidRPr="00217876">
        <w:t>jegyek</w:t>
      </w:r>
      <w:proofErr w:type="gramEnd"/>
      <w:r w:rsidRPr="00217876">
        <w:t xml:space="preserve"> mint a kkv-k hosszú távú finanszírozása kettős finanszírozási eszköze bevezetésének lehetőségét;</w:t>
      </w:r>
    </w:p>
    <w:p w:rsidR="000A3FAB" w:rsidRPr="00217876" w:rsidRDefault="000A3FAB" w:rsidP="00BF1D81">
      <w:pPr>
        <w:pStyle w:val="NormalHanging12a"/>
      </w:pPr>
      <w:r w:rsidRPr="00217876">
        <w:t>12.</w:t>
      </w:r>
      <w:r w:rsidRPr="00217876">
        <w:tab/>
        <w:t>hangsúlyozza, hogy a pénzügyi műveltség alapvető fontosságú a modern gazdaságokban, mivel hozzájárul a tagállamok bankrendszereinek rezilienciájához, és ösztönzi a határokon átnyúló pénzügyi tevékenységet;</w:t>
      </w:r>
    </w:p>
    <w:p w:rsidR="000A3FAB" w:rsidRPr="00217876" w:rsidRDefault="000A3FAB" w:rsidP="00BF1D81">
      <w:pPr>
        <w:pStyle w:val="NormalHanging12a"/>
        <w:rPr>
          <w:snapToGrid/>
        </w:rPr>
      </w:pPr>
      <w:r w:rsidRPr="00217876">
        <w:t>13.</w:t>
      </w:r>
      <w:r w:rsidRPr="00217876">
        <w:tab/>
        <w:t>hangsúlyozza, hogy a magas szintű fogyasztóvédelem ellenállóbbá teszi a bankuniót;</w:t>
      </w:r>
    </w:p>
    <w:p w:rsidR="000A3FAB" w:rsidRPr="00217876" w:rsidRDefault="000A3FAB" w:rsidP="00BF1D81">
      <w:pPr>
        <w:pStyle w:val="NormalHanging12a"/>
      </w:pPr>
      <w:r w:rsidRPr="00217876">
        <w:t>14.</w:t>
      </w:r>
      <w:r w:rsidRPr="00217876">
        <w:tab/>
        <w:t xml:space="preserve">úgy véli, hogy a Bizottságnak azokra a szempontokra kell összpontosítania, amelyek hozzájárulnak a digitalizáció, a modernizáció, az egyszerűsítés, az észszerűsítés és a fokozott versenyképesség céljainak eléréséhez; fenntartja, hogy a jogbiztonság, a biztonság, a kiszámíthatóság és a </w:t>
      </w:r>
      <w:proofErr w:type="gramStart"/>
      <w:r w:rsidRPr="00217876">
        <w:t>stabilitás</w:t>
      </w:r>
      <w:proofErr w:type="gramEnd"/>
      <w:r w:rsidRPr="00217876">
        <w:t xml:space="preserve"> elengedhetetlen ahhoz, hogy az uniós bankok kedvező feltételek mellett működhessenek;</w:t>
      </w:r>
    </w:p>
    <w:p w:rsidR="000A3FAB" w:rsidRPr="00217876" w:rsidRDefault="000A3FAB" w:rsidP="00BF1D81">
      <w:pPr>
        <w:pStyle w:val="NormalHanging12a"/>
      </w:pPr>
      <w:r w:rsidRPr="00217876">
        <w:t>15.</w:t>
      </w:r>
      <w:r w:rsidRPr="00217876">
        <w:tab/>
        <w:t xml:space="preserve">megjegyzi, hogy a hagyományos hitelek mellett a különböző </w:t>
      </w:r>
      <w:proofErr w:type="gramStart"/>
      <w:r w:rsidRPr="00217876">
        <w:t>finanszírozási</w:t>
      </w:r>
      <w:proofErr w:type="gramEnd"/>
      <w:r w:rsidRPr="00217876">
        <w:t xml:space="preserve"> források is előnyösek lehetnek az EU növekedése és versenyképessége szempontjából, és elismeri, hogy az eszközalapú finanszírozási megoldások alacsony kockázatúak;</w:t>
      </w:r>
    </w:p>
    <w:p w:rsidR="000A3FAB" w:rsidRPr="00217876" w:rsidRDefault="000A3FAB" w:rsidP="00BF1D81">
      <w:pPr>
        <w:pStyle w:val="NormalHanging12a"/>
        <w:rPr>
          <w:b/>
          <w:snapToGrid/>
        </w:rPr>
      </w:pPr>
      <w:proofErr w:type="gramStart"/>
      <w:r w:rsidRPr="00217876">
        <w:t>16.</w:t>
      </w:r>
      <w:r w:rsidRPr="00217876">
        <w:rPr>
          <w:b/>
          <w:i/>
        </w:rPr>
        <w:tab/>
      </w:r>
      <w:r w:rsidRPr="00217876">
        <w:t>tudomásul veszi az EKB által a digitális euróval kapcsolatban elért eredményeket és a témában az EKB-val folytatott parlamenti párbeszédet; megérti a meglévő fenntartásokat, például az offline funkcióját illetően, mivel az offline tranzakciók csökkentik a láthatóságot és akadályozzák a pénzügyi bűncselekmények megelőzését; emlékeztet arra, hogy a digitális eurónak ki kell egészítenie, nem pedig helyettesítenie kell a készpénzt; úgy véli, hogy a digitális eur</w:t>
      </w:r>
      <w:r w:rsidR="0023195B" w:rsidRPr="00217876">
        <w:t>o</w:t>
      </w:r>
      <w:r w:rsidRPr="00217876">
        <w:t xml:space="preserve"> bevezetésére vonatkozó döntés végső soron politikai döntés, amelyet az uniós jogalkotóknak kell meghozniuk, tekintettel arra, </w:t>
      </w:r>
      <w:r w:rsidRPr="00217876">
        <w:lastRenderedPageBreak/>
        <w:t>hogy e</w:t>
      </w:r>
      <w:proofErr w:type="gramEnd"/>
      <w:r w:rsidRPr="00217876">
        <w:t xml:space="preserve">z a döntés számos uniós szakpolitikai területre – többek között a magánélet védelmére, a fogyasztóvédelemre, a pénzügyi </w:t>
      </w:r>
      <w:proofErr w:type="gramStart"/>
      <w:r w:rsidRPr="00217876">
        <w:t>stabilitásra</w:t>
      </w:r>
      <w:proofErr w:type="gramEnd"/>
      <w:r w:rsidRPr="00217876">
        <w:t>, a pénzügyi politikára és más, a monetáris politika szigorú hatáskörén túlmutató területekre – jelentős hatást gyakorolhat;</w:t>
      </w:r>
    </w:p>
    <w:p w:rsidR="000A3FAB" w:rsidRPr="00217876" w:rsidRDefault="000A3FAB" w:rsidP="00BF1D81">
      <w:pPr>
        <w:pStyle w:val="NormalHanging12a"/>
      </w:pPr>
      <w:proofErr w:type="gramStart"/>
      <w:r w:rsidRPr="00217876">
        <w:t>17.</w:t>
      </w:r>
      <w:r w:rsidRPr="00217876">
        <w:tab/>
        <w:t>sajnálatát fejezi ki amiatt, hogy egyes pénzügyi intézmények nem biztosítják a nemek közötti egyensúlyt, különösen vezető testületeikben; hangsúlyozza, hogy a vezetőtestületekben és a személyzet körében érvényesülő, nemek közötti egyensúly társadalmi és gazdasági haszonnal jár; kéri a pénzintézeteket, hogy rendszeresen frissítsék a sokszínűségre és befogadásra vonatkozó politikáikat, és segítsék elő a befogadást előtérbe helyező egészséges munkakultúrák kialakítását; felhívja a magán- és közszervezeteket, hogy orvosolják a pénzügyi intézmények vezető testületei sokszínűségének és nemek közötti</w:t>
      </w:r>
      <w:proofErr w:type="gramEnd"/>
      <w:r w:rsidRPr="00217876">
        <w:t xml:space="preserve"> </w:t>
      </w:r>
      <w:proofErr w:type="gramStart"/>
      <w:r w:rsidRPr="00217876">
        <w:t>egyensúlyának</w:t>
      </w:r>
      <w:proofErr w:type="gramEnd"/>
      <w:r w:rsidRPr="00217876">
        <w:t xml:space="preserve"> hiányát;</w:t>
      </w:r>
    </w:p>
    <w:p w:rsidR="000A3FAB" w:rsidRPr="00217876" w:rsidRDefault="000A3FAB" w:rsidP="00BF1D81">
      <w:pPr>
        <w:pStyle w:val="Normal12a24b"/>
        <w:widowControl/>
        <w:spacing w:before="0"/>
        <w:ind w:left="567" w:hanging="567"/>
        <w:jc w:val="both"/>
      </w:pPr>
      <w:r w:rsidRPr="00217876">
        <w:rPr>
          <w:rStyle w:val="BoldItalic"/>
        </w:rPr>
        <w:t>Felügyelet</w:t>
      </w:r>
    </w:p>
    <w:p w:rsidR="000A3FAB" w:rsidRPr="00217876" w:rsidRDefault="000A3FAB" w:rsidP="00BF1D81">
      <w:pPr>
        <w:pStyle w:val="NormalHanging12a"/>
      </w:pPr>
      <w:proofErr w:type="gramStart"/>
      <w:r w:rsidRPr="00217876">
        <w:t>18.</w:t>
      </w:r>
      <w:r w:rsidRPr="00217876">
        <w:tab/>
        <w:t>üdvözli, hogy a társjogalkotók elfogadták a Bázel III standardok EU-n belüli végrehajtását szolgáló új banki csomagot; megjegyzi, hogy egyes más országokban jelenleg nem egyértelmű a Bázel III standardok végrehajtása, és hogy fennáll annak kockázata, hogy felmerülhetnek az egyenlő nemzetközi versenyfeltételekkel kapcsolatos kockázatok;</w:t>
      </w:r>
      <w:r w:rsidRPr="00217876">
        <w:rPr>
          <w:b/>
          <w:i/>
        </w:rPr>
        <w:t xml:space="preserve"> </w:t>
      </w:r>
      <w:r w:rsidRPr="00217876">
        <w:t>hangsúlyozza, hogy a Bizottságnak értékelnie kell, hogy a célzott változtatások hozzájárulhatnak-e az uniós bankok nemzetközi versenyképességének fenntartásához anélkül, hogy gyengítenék rezilienciájukat; emlékeztet arra, hogy a piaci kockázatra vonatkozó szavatolótőke-követelmények</w:t>
      </w:r>
      <w:proofErr w:type="gramEnd"/>
      <w:r w:rsidRPr="00217876">
        <w:t xml:space="preserve"> alkalmazásának kezdőnapjáról szóló, felhatalmazáson alapuló jogi </w:t>
      </w:r>
      <w:proofErr w:type="gramStart"/>
      <w:r w:rsidRPr="00217876">
        <w:t>aktus</w:t>
      </w:r>
      <w:proofErr w:type="gramEnd"/>
      <w:r w:rsidRPr="00217876">
        <w:t xml:space="preserve"> egy évvel, 2026. január 1-jére halasztotta az új piaci kockázati keret alkalmazásának kezdőnapját; felhívja a Bizottságot annak értékelésére, hogy az uniós pénzügyi ágazat pénzügyi stabilitásának megőrzése érdekében felül kell-e vizsgálni a Bázel III standardokat végre nem hajtó országokkal hozott egyenértékűségi határozatokat;</w:t>
      </w:r>
    </w:p>
    <w:p w:rsidR="00EF04D2" w:rsidRPr="000441EA" w:rsidRDefault="00EF04D2" w:rsidP="00BF1D81">
      <w:pPr>
        <w:pStyle w:val="NormalHanging12a"/>
      </w:pPr>
      <w:proofErr w:type="gramStart"/>
      <w:r w:rsidRPr="000441EA">
        <w:t>19.</w:t>
      </w:r>
      <w:r w:rsidRPr="00EF04D2">
        <w:tab/>
      </w:r>
      <w:r w:rsidRPr="000441EA">
        <w:t>elismeri, hogy egyre több bankfiókot zárnak be, ami bizonyos régiókban hozzájárul a „bankhalálok” kockázatához, ami különösen negatív hatást gyakorol a digitális hozzáféréssel nem rendelkező, kiszolgáltatott helyzetben lévő polgárokra; hangsúlyozza, hogy a kisebb bankok kritikus szerepet játszanak az alapvető banki szolgáltatásokhoz való hozzáférés biztosításában, különösen a vidéki és távoli területeken, ezáltal támogatva a háztartásokat, a kkv-kat és a helyi gazdaságokat; megjegyzi, hogy a magas felügyeleti költségek és szabályozási terhek súlyos kihívást jelenthetnek a kisebb bankok számára;</w:t>
      </w:r>
      <w:proofErr w:type="gramEnd"/>
      <w:r w:rsidRPr="000441EA">
        <w:t xml:space="preserve"> hangsúlyozza, hogy a bankfelügyeletben alkalmazni kell az arányosság elvét, biztosítva, hogy a szabályozás </w:t>
      </w:r>
      <w:proofErr w:type="gramStart"/>
      <w:r w:rsidRPr="000441EA">
        <w:t>intenzitása</w:t>
      </w:r>
      <w:proofErr w:type="gramEnd"/>
      <w:r w:rsidRPr="000441EA">
        <w:t xml:space="preserve"> az intézmények méretéhez, kockázati profiljához és üzleti modelljéhez igazodjon, figyelembe véve a kisebb bankok lényeges területi szerepét és sajátos jellemzőit.</w:t>
      </w:r>
    </w:p>
    <w:p w:rsidR="000A3FAB" w:rsidRPr="00217876" w:rsidRDefault="00EF04D2" w:rsidP="00BF1D81">
      <w:pPr>
        <w:pStyle w:val="NormalHanging12a"/>
      </w:pPr>
      <w:r>
        <w:t>20</w:t>
      </w:r>
      <w:r w:rsidR="000A3FAB" w:rsidRPr="00217876">
        <w:t>.</w:t>
      </w:r>
      <w:r w:rsidR="000A3FAB" w:rsidRPr="00217876">
        <w:tab/>
        <w:t>emlékeztet arra, hogy a banki csomag számos megbízatást tartalmaz az Európai Bankhatóság számára; felhívja az Európai Bankhatóságot, hogy tartsa tiszteletben ezeket a megbízatásokat;</w:t>
      </w:r>
    </w:p>
    <w:p w:rsidR="000A3FAB" w:rsidRPr="00217876" w:rsidRDefault="000A3FAB" w:rsidP="00BF1D81">
      <w:pPr>
        <w:pStyle w:val="NormalHanging12a"/>
      </w:pPr>
      <w:r w:rsidRPr="00217876">
        <w:t>2</w:t>
      </w:r>
      <w:r w:rsidR="00EF04D2">
        <w:t>1</w:t>
      </w:r>
      <w:r w:rsidRPr="00217876">
        <w:t>.</w:t>
      </w:r>
      <w:r w:rsidRPr="00217876">
        <w:tab/>
        <w:t>megjegyzi, hogy a bankszektor már a meglévő szabályozási kereten belül is bizonyította ellenálló képességét az elmúlt évek piaci eseményei során, valamint hogy az átlagos elsődleges alapvető tőkemegfelelési mutató magas szinten, 15,81%-on maradt;</w:t>
      </w:r>
    </w:p>
    <w:p w:rsidR="000A3FAB" w:rsidRPr="00217876" w:rsidRDefault="00EF04D2" w:rsidP="00BF1D81">
      <w:pPr>
        <w:pStyle w:val="NormalHanging12a"/>
      </w:pPr>
      <w:r>
        <w:t>22</w:t>
      </w:r>
      <w:r w:rsidR="000A3FAB" w:rsidRPr="00217876">
        <w:t>.</w:t>
      </w:r>
      <w:r w:rsidR="000A3FAB" w:rsidRPr="00217876">
        <w:tab/>
        <w:t xml:space="preserve">megjegyzi, hogy a nemteljesítő hitelek aránya </w:t>
      </w:r>
      <w:proofErr w:type="gramStart"/>
      <w:r w:rsidR="000A3FAB" w:rsidRPr="00217876">
        <w:t>stabilan</w:t>
      </w:r>
      <w:proofErr w:type="gramEnd"/>
      <w:r w:rsidR="000A3FAB" w:rsidRPr="00217876">
        <w:t xml:space="preserve"> 2,30%, a likviditásfedezeti ráta pedig 159,39% maradt;</w:t>
      </w:r>
    </w:p>
    <w:p w:rsidR="000A3FAB" w:rsidRPr="00217876" w:rsidRDefault="00EF04D2" w:rsidP="00BF1D81">
      <w:pPr>
        <w:pStyle w:val="NormalHanging12a"/>
      </w:pPr>
      <w:r>
        <w:lastRenderedPageBreak/>
        <w:t>23</w:t>
      </w:r>
      <w:r w:rsidR="000A3FAB" w:rsidRPr="00217876">
        <w:t>.</w:t>
      </w:r>
      <w:r w:rsidR="000A3FAB" w:rsidRPr="00217876">
        <w:tab/>
        <w:t>megjegyzi, hogy a nemteljesítő hiteleknek való kitettség szintje változó, és emlékeztet arra, hogy vannak olyan tagállamok, ahol a kitettségi szint 1% vagy annál is alacsonyabb, míg más tagállamok kitettségi szintje meghaladja a 4%-ot; úgy véli, hogy helyes kockázatkezelési gyakorlatként folytatni kell az európai bankok ilyen típusú hitelkitettségének csökkentésére irányuló erőfeszítéseket;</w:t>
      </w:r>
    </w:p>
    <w:p w:rsidR="000A3FAB" w:rsidRPr="00217876" w:rsidRDefault="00EF04D2" w:rsidP="00BF1D81">
      <w:pPr>
        <w:pStyle w:val="NormalHanging12a"/>
      </w:pPr>
      <w:r>
        <w:t>24</w:t>
      </w:r>
      <w:r w:rsidR="000A3FAB" w:rsidRPr="00217876">
        <w:t>.</w:t>
      </w:r>
      <w:r w:rsidR="000A3FAB" w:rsidRPr="00217876">
        <w:tab/>
        <w:t>kiemeli, hogy a kedvezőtlen makrogazdasági feltételek, a geopolitikai nehézségek és a halasztott fizetési szolgáltatások gyors fejlődése az eszközminőség romlásához vezethet, és a jövőben hatással lehet a nemteljesítő hitelek szintjére; kiemeli ezért a prudens kockázatkezelés és a megfelelő céltartalékképzés fontosságát;</w:t>
      </w:r>
    </w:p>
    <w:p w:rsidR="000A3FAB" w:rsidRPr="00217876" w:rsidRDefault="00EF04D2" w:rsidP="00BF1D81">
      <w:pPr>
        <w:pStyle w:val="NormalHanging12a"/>
      </w:pPr>
      <w:r>
        <w:t>25</w:t>
      </w:r>
      <w:r w:rsidR="000A3FAB" w:rsidRPr="00217876">
        <w:t>.</w:t>
      </w:r>
      <w:r w:rsidR="000A3FAB" w:rsidRPr="00217876">
        <w:tab/>
        <w:t>megjegyzi, hogy a bankszektor jövedelmezőségének jelenlegi szintje lehetőséget biztosíthat a makroprudenciális tartalékok növelésére és segítheti a bankszektor rezilienciájának megőrzését; felkéri a Bizottságot, hogy vizsgálja tovább ezt a lehetőséget, és gondosan értékelje, hogy hogyan kell felülvizsgálni a makroprudenciális keretet, figyelembe véve a tőkekövetelményekre gyakorolt lehetséges hatást és szem előtt tartva a más országokkal egyenlő versenyfeltételeket;</w:t>
      </w:r>
    </w:p>
    <w:p w:rsidR="000A3FAB" w:rsidRPr="00217876" w:rsidRDefault="00EF04D2" w:rsidP="00BF1D81">
      <w:pPr>
        <w:pStyle w:val="NormalHanging12a"/>
      </w:pPr>
      <w:r>
        <w:t>26</w:t>
      </w:r>
      <w:r w:rsidR="000A3FAB" w:rsidRPr="00217876">
        <w:t>.</w:t>
      </w:r>
      <w:r w:rsidR="000A3FAB" w:rsidRPr="00217876">
        <w:rPr>
          <w:b/>
          <w:i/>
        </w:rPr>
        <w:tab/>
      </w:r>
      <w:r w:rsidR="000A3FAB" w:rsidRPr="00217876">
        <w:t>megjegyzi, hogy a bankszektor szerepet játszik a digitalizált és szén-dioxid-semleges gazdaságra való átmenet támogatásában, a források megújuló energiaforrások irányába való terelésében, valamint az EU zöld megállapodása és az uniós éghajlat-szabályozás célkitűzései megvalósításának támogatásában;</w:t>
      </w:r>
    </w:p>
    <w:p w:rsidR="000A3FAB" w:rsidRPr="00217876" w:rsidRDefault="00EF04D2" w:rsidP="00BF1D81">
      <w:pPr>
        <w:pStyle w:val="NormalHanging12a"/>
      </w:pPr>
      <w:r>
        <w:t>27</w:t>
      </w:r>
      <w:r w:rsidR="000A3FAB" w:rsidRPr="00217876">
        <w:t>.</w:t>
      </w:r>
      <w:r w:rsidR="000A3FAB" w:rsidRPr="00217876">
        <w:tab/>
        <w:t>megállapítja, hogy az EKB felügyeleti gyakorlatában figyelembe veszi az éghajlattal és a természettel kapcsolatos pénzügyi kockázatokat, és szorosan nyomon követi a növekvő fizikai és átállási kockázatokat;</w:t>
      </w:r>
    </w:p>
    <w:p w:rsidR="000A3FAB" w:rsidRPr="00217876" w:rsidRDefault="00EF04D2" w:rsidP="00BF1D81">
      <w:pPr>
        <w:pStyle w:val="NormalHanging12a"/>
      </w:pPr>
      <w:proofErr w:type="gramStart"/>
      <w:r>
        <w:t>28</w:t>
      </w:r>
      <w:r w:rsidR="000A3FAB" w:rsidRPr="00217876">
        <w:t>.</w:t>
      </w:r>
      <w:r w:rsidR="000A3FAB" w:rsidRPr="00217876">
        <w:tab/>
        <w:t>üdvözli a kockázati tőke növelésének és a tőke felszabadításának ötletét a gyorsan növekvő uniós vállalkozások finanszírozása érdekében; tudomásul veszi Ursula von der Leyen, a Bizottság elnöke azon kötelezettségvállalását, hogy kedvező kockázatcsökkentő intézkedéseket terjeszt elő annak érdekében, hogy megkönnyítse a kereskedelmi bankok, a befektetők és a kockázati tőke számára a gyorsan növekvő vállalatok finanszírozását</w:t>
      </w:r>
      <w:r w:rsidR="000A3FAB" w:rsidRPr="00217876">
        <w:rPr>
          <w:rStyle w:val="FootnoteReference"/>
        </w:rPr>
        <w:footnoteReference w:id="15"/>
      </w:r>
      <w:r w:rsidR="000A3FAB" w:rsidRPr="00217876">
        <w:t>; megjegyzi, hogy ezt úgy kell megvalósítani, hogy az ne jelentsen rendszerszintű vagy erkölcsi kockázatot;</w:t>
      </w:r>
      <w:proofErr w:type="gramEnd"/>
    </w:p>
    <w:p w:rsidR="000A3FAB" w:rsidRPr="00217876" w:rsidRDefault="00EF04D2" w:rsidP="00BF1D81">
      <w:pPr>
        <w:pStyle w:val="NormalHanging12a"/>
      </w:pPr>
      <w:r>
        <w:t>29</w:t>
      </w:r>
      <w:r w:rsidR="000A3FAB" w:rsidRPr="00217876">
        <w:t>.</w:t>
      </w:r>
      <w:r w:rsidR="000A3FAB" w:rsidRPr="00217876">
        <w:tab/>
        <w:t>üdvözli a pénzmosás és a terrorizmus finanszírozása elleni küzdelemmel foglalkozó új hatóság létrehozását, amely lehetővé teszi a pénzmosás és a terrorizmus finanszírozása elleni hatékonyabb küzdelmet bizonyos pénzügyi szervezetek közvetlen felügyelete, valamint a nemzeti hatóságok közötti jobb együttműködés és jobb információáramlás és a tagállami szankciós hatóságok közötti koordináció javítása révén, a célzott szankciók végrehajtásában mutatkozó hiányosságok megszüntetésének előmozdítása érdekében;</w:t>
      </w:r>
    </w:p>
    <w:p w:rsidR="000A3FAB" w:rsidRPr="00217876" w:rsidRDefault="00EF04D2" w:rsidP="00BF1D81">
      <w:pPr>
        <w:pStyle w:val="NormalHanging12a"/>
      </w:pPr>
      <w:r>
        <w:t>30</w:t>
      </w:r>
      <w:r w:rsidR="000A3FAB" w:rsidRPr="00217876">
        <w:t>.</w:t>
      </w:r>
      <w:r w:rsidR="000A3FAB" w:rsidRPr="00217876">
        <w:tab/>
        <w:t>hangsúlyozza, hogy fokozni kell a nem banki pénzügyi közvetítők rezilienciáját, többek között konkrét szabályozási és felügyeleti eszközök kidolgozása révén; rámutat, hogy ezeknek az intézkedéseknek garantálniuk kell a pénzügyi rendszer biztonságát, és a fogyasztók mindenek felett álló érdekét kell szolgálniuk; üdvözli a nem banki pénzügyi közvetítőkre vonatkozó makroprudenciális politikákról folytatott bizottsági konzultációt; támogatja az eur</w:t>
      </w:r>
      <w:r w:rsidR="0023195B" w:rsidRPr="00217876">
        <w:t>o</w:t>
      </w:r>
      <w:r w:rsidR="000A3FAB" w:rsidRPr="00217876">
        <w:t xml:space="preserve">rendszer azon ajánlását, hogy vezessenek be </w:t>
      </w:r>
      <w:r w:rsidR="000A3FAB" w:rsidRPr="00217876">
        <w:lastRenderedPageBreak/>
        <w:t>rendszerszintű stresszteszteket az alapvető piacok ellenálló képességével kapcsolatos kockázatok azonosítására és számszerűsítésére; felkéri a Bizottságot, hogy vizsgálja meg, hogy vannak-e hiányosságok a felügyeleti eszköztárban, többek között a potenciális likviditáshiány és a rendszerkockázatra gyakorolt hatások tekintetében;</w:t>
      </w:r>
    </w:p>
    <w:p w:rsidR="000A3FAB" w:rsidRPr="00217876" w:rsidRDefault="00EF04D2" w:rsidP="00BF1D81">
      <w:pPr>
        <w:pStyle w:val="NormalHanging12a"/>
      </w:pPr>
      <w:r>
        <w:t>31</w:t>
      </w:r>
      <w:r w:rsidR="000A3FAB" w:rsidRPr="00217876">
        <w:t>.</w:t>
      </w:r>
      <w:r w:rsidR="000A3FAB" w:rsidRPr="00217876">
        <w:tab/>
        <w:t>megjegyzi, hogy a kriptoeszközök új kihívásokat és lehetőségeket teremtenek a pénzügyi rendszer számára, de kockázatokat is jelentenek, és hogy ez megköveteli a nemzeti felügyeletek, az egységes felügyeleti mechanizmus és az Európai Rendszerkockázati Testület figyelmét;</w:t>
      </w:r>
    </w:p>
    <w:p w:rsidR="000A3FAB" w:rsidRPr="00217876" w:rsidRDefault="000A3FAB" w:rsidP="00BF1D81">
      <w:pPr>
        <w:pStyle w:val="Normal12a24b"/>
        <w:widowControl/>
        <w:spacing w:before="0"/>
        <w:ind w:left="567" w:hanging="567"/>
        <w:jc w:val="both"/>
      </w:pPr>
      <w:r w:rsidRPr="00217876">
        <w:rPr>
          <w:rStyle w:val="BoldItalic"/>
        </w:rPr>
        <w:t>Szanálás</w:t>
      </w:r>
    </w:p>
    <w:p w:rsidR="000A3FAB" w:rsidRPr="00217876" w:rsidRDefault="00EF04D2" w:rsidP="00BF1D81">
      <w:pPr>
        <w:pStyle w:val="NormalHanging12a"/>
      </w:pPr>
      <w:r>
        <w:t>32</w:t>
      </w:r>
      <w:r w:rsidR="000A3FAB" w:rsidRPr="00217876">
        <w:t>.</w:t>
      </w:r>
      <w:r w:rsidR="000A3FAB" w:rsidRPr="00217876">
        <w:tab/>
        <w:t>emlékeztet arra, hogy a Parlament által 2024. áprilisban a válságkezelésről és a betétbiztosítási keretről fogadott állásfoglalás a pénzügyi stabilitás, az adófizetők védelme és a betétesek bizalmának fokozása érdekében valamennyi tagállamban következetesebb megközelítést biztosít a szanálási eszközök és a betétvédelem alkalmazása tekintetében; megjegyzi, hogy a kis bankoknak vannak olyan sajátosságaik, amelyek arányos megközelítést indokolhatnak; hangsúlyozza, hogy az európai és nemzeti illetékes hatóságoknak megfelelő és elégséges eszközökkel kell rendelkezniük ahhoz, hogy hatékonyan reagáljanak a bankcsődökre és megőrizzék a pénzügyi stabilitást, és hogy a bankoknak hatékony szabályozási környezetben kell működniük, amely elősegíti fejlődésüket;</w:t>
      </w:r>
    </w:p>
    <w:p w:rsidR="000A3FAB" w:rsidRPr="00217876" w:rsidRDefault="00EF04D2" w:rsidP="00BF1D81">
      <w:pPr>
        <w:pStyle w:val="NormalHanging12a"/>
      </w:pPr>
      <w:r>
        <w:t>33</w:t>
      </w:r>
      <w:r w:rsidR="000A3FAB" w:rsidRPr="00217876">
        <w:t>.</w:t>
      </w:r>
      <w:r w:rsidR="000A3FAB" w:rsidRPr="00217876">
        <w:tab/>
        <w:t>hangsúlyozza annak fontosságát, hogy megőrizzék a részvényesek és a hitelezők elsődleges felelősségét a veszteségek viseléséért egy bank csődje esetén; hangsúlyozza, hogy el kell kerülni az adófizetők pénzének igénybevételét, ami még mindig a globális pénzügyi válság egyik fő tanulsága; hangsúlyozza, hogy a szanálások finanszírozása fő forrásának továbbra is a részvényesek és hitelezők hitelezői feltőkésítésének kell maradnia, mielőtt az ágazat által finanszírozott forrásokhoz folyamodnának;</w:t>
      </w:r>
    </w:p>
    <w:p w:rsidR="000A3FAB" w:rsidRPr="00217876" w:rsidRDefault="00EF04D2" w:rsidP="00BF1D81">
      <w:pPr>
        <w:pStyle w:val="NormalHanging12a"/>
      </w:pPr>
      <w:r>
        <w:t>34</w:t>
      </w:r>
      <w:r w:rsidR="000A3FAB" w:rsidRPr="00217876">
        <w:t>.</w:t>
      </w:r>
      <w:r w:rsidR="000A3FAB" w:rsidRPr="00217876">
        <w:tab/>
        <w:t>emlékeztet arra, hogy a szavatolótőkére és a leírható, illetve átalakítható kötelezettségekre vonatkozó elegendő minimumkövetelmény (MREL) elengedhetetlen a hiteles szanálási kerethez és annak biztosításához, hogy a szanálási hatóságok kellő rugalmassággal rendelkezzenek az adott válsághelyzetben szükséges szanálási stratégiák hatékony alkalmazásához; hangsúlyozza, hogy ennek a minimumkövetelménynek elegendőnek kell lennie a bankok szanálási tervében foglalt szanálási stratégiák hatékony végrehajtásához; emlékeztet arra, hogy a szanálási keretnek el kell kerülnie az MREL kalibrálásának indokolatlan növekedését és az Egységes Szanálási Alaphoz való aránytalan hozzájárulásokat;</w:t>
      </w:r>
    </w:p>
    <w:p w:rsidR="000A3FAB" w:rsidRPr="00217876" w:rsidRDefault="00EF04D2" w:rsidP="00BF1D81">
      <w:pPr>
        <w:pStyle w:val="NormalHanging12a"/>
      </w:pPr>
      <w:r>
        <w:t>35</w:t>
      </w:r>
      <w:r w:rsidR="000A3FAB" w:rsidRPr="00217876">
        <w:t>.</w:t>
      </w:r>
      <w:r w:rsidR="000A3FAB" w:rsidRPr="00217876">
        <w:tab/>
        <w:t>hangsúlyozza, hogy amennyiben egy bank leírható, illetve átalakítható kötelezettségeit nem uniós befektetőknek bocsátják ki, e kötelezettségek leírásának vagy átalakításának teljes bizonyossággal végrehajthatónak kell lennie a szanálási eszközök hatékony alkalmazásának biztosítása érdekében;</w:t>
      </w:r>
    </w:p>
    <w:p w:rsidR="000A3FAB" w:rsidRPr="00217876" w:rsidRDefault="00EF04D2" w:rsidP="00BF1D81">
      <w:pPr>
        <w:pStyle w:val="NormalHanging12a"/>
      </w:pPr>
      <w:r>
        <w:t>36</w:t>
      </w:r>
      <w:r w:rsidR="000A3FAB" w:rsidRPr="00217876">
        <w:t>.</w:t>
      </w:r>
      <w:r w:rsidR="000A3FAB" w:rsidRPr="00217876">
        <w:tab/>
        <w:t>megjegyzi, hogy el kell kerülni, hogy a bankok szanálása, többek között a likviditási támogatás nyújtása során az adófizetők pénzére támaszkodjanak, a költségvetési és társadalmi felelősség és a piaci fegyelem elveinek tiszteletben tartása mellett;</w:t>
      </w:r>
    </w:p>
    <w:p w:rsidR="000A3FAB" w:rsidRPr="00217876" w:rsidRDefault="00EF04D2" w:rsidP="00BF1D81">
      <w:pPr>
        <w:pStyle w:val="NormalHanging12a"/>
      </w:pPr>
      <w:r>
        <w:t>37</w:t>
      </w:r>
      <w:r w:rsidR="000A3FAB" w:rsidRPr="00217876">
        <w:t>.</w:t>
      </w:r>
      <w:r w:rsidR="000A3FAB" w:rsidRPr="00217876">
        <w:tab/>
        <w:t>emlékeztet arra, hogy a bankoknak a szanálási határozat végrehajtását követően is teljesíteniük kell kötelezettségeiket és el kell látniuk kulcsfontosságú feladataikat;</w:t>
      </w:r>
    </w:p>
    <w:p w:rsidR="000A3FAB" w:rsidRPr="00217876" w:rsidRDefault="00EF04D2" w:rsidP="00BF1D81">
      <w:pPr>
        <w:pStyle w:val="NormalHanging12a"/>
      </w:pPr>
      <w:r>
        <w:lastRenderedPageBreak/>
        <w:t>38</w:t>
      </w:r>
      <w:r w:rsidR="000A3FAB" w:rsidRPr="00217876">
        <w:t>.</w:t>
      </w:r>
      <w:r w:rsidR="000A3FAB" w:rsidRPr="00217876">
        <w:tab/>
        <w:t>emlékeztet annak fontosságára, hogy tisztázzák az EKB mint likviditási szolgáltató szerepét a szanálás során, kellő figyelmet fordítva a megfelelő garanciákra és az EKB megbízatására;</w:t>
      </w:r>
    </w:p>
    <w:p w:rsidR="000A3FAB" w:rsidRPr="00217876" w:rsidRDefault="00EF04D2" w:rsidP="00BF1D81">
      <w:pPr>
        <w:pStyle w:val="NormalHanging12a"/>
      </w:pPr>
      <w:r>
        <w:t>39</w:t>
      </w:r>
      <w:r w:rsidR="000A3FAB" w:rsidRPr="00217876">
        <w:t>.</w:t>
      </w:r>
      <w:r w:rsidR="000A3FAB" w:rsidRPr="00217876">
        <w:tab/>
        <w:t>hangsúlyozza az ESZT azon bejelentését, hogy fokozni fogja a szanálhatóság jelentős akadályainak felszámolására irányuló végrehajtási intézkedések elindítására irányuló képességeit; kéri, hogy minden szanálástervezési ciklus végén tegyék közzé a szanálhatóság azonosított akadályainak anonimizált listáját és az azok kezelésére elfogadott intézkedéseket;</w:t>
      </w:r>
    </w:p>
    <w:p w:rsidR="000A3FAB" w:rsidRPr="00217876" w:rsidRDefault="00EF04D2" w:rsidP="00BF1D81">
      <w:pPr>
        <w:pStyle w:val="NormalHanging12a"/>
      </w:pPr>
      <w:r>
        <w:t>40</w:t>
      </w:r>
      <w:r w:rsidR="000A3FAB" w:rsidRPr="00217876">
        <w:t>.</w:t>
      </w:r>
      <w:r w:rsidR="000A3FAB" w:rsidRPr="00217876">
        <w:tab/>
        <w:t>üdvözli az „Egységes Szanálási Mechanizmus 2028-as jövőképe” elnevezésű stratégiai felülvizsgálatot, amelyet az ESZT a hosszú távú céljainak meghatározása, az új kihívások kezelése és a nemzeti szanálási hatóságokkal és más érdekelt felekkel való együttműködés további megerősítése érdekében kezdeményezett; tudomásul veszi különösen az ESZT azon szándékát, hogy meghatározza azokat a területeket, ahol a fenntarthatóság még jobban beágyazható napi működésébe és fő tevékenységébe; hangsúlyozza, hogy az új stratégia végrehajtása során biztosítani kell a hatékonyságot és a költséghatékonyságot;</w:t>
      </w:r>
    </w:p>
    <w:p w:rsidR="000A3FAB" w:rsidRPr="00217876" w:rsidRDefault="00EF04D2" w:rsidP="00BF1D81">
      <w:pPr>
        <w:pStyle w:val="NormalHanging12a"/>
      </w:pPr>
      <w:r>
        <w:t>41</w:t>
      </w:r>
      <w:r w:rsidR="000A3FAB" w:rsidRPr="00217876">
        <w:t>.</w:t>
      </w:r>
      <w:r w:rsidR="000A3FAB" w:rsidRPr="00217876">
        <w:tab/>
        <w:t>üdvözli az ESZT arra irányuló tervét, hogy észszerűsítse az éves szanálástervezési ciklust annak biztosítása érdekében, hogy az egyre hatékonyabb legyen, és nagyobb hangsúlyt fektessen a bankok szanálhatóságának tesztelésére és a szanálási stratégiák működőképessé tételére;</w:t>
      </w:r>
    </w:p>
    <w:p w:rsidR="000A3FAB" w:rsidRPr="00217876" w:rsidRDefault="00EF04D2" w:rsidP="00BF1D81">
      <w:pPr>
        <w:pStyle w:val="NormalHanging12a"/>
      </w:pPr>
      <w:r>
        <w:t>42</w:t>
      </w:r>
      <w:r w:rsidR="000A3FAB" w:rsidRPr="00217876">
        <w:t>.</w:t>
      </w:r>
      <w:r w:rsidR="000A3FAB" w:rsidRPr="00217876">
        <w:tab/>
        <w:t>üdvözli, hogy mostanára felépítették az Egységes Szanálási Alapot; felszólít az ESM-szerződés módosításáról szóló megállapodás valamennyi tagállam általi teljes körű megerősítésére, beleértve az Egységes Szanálási Alap közös védőhálójának létrehozását is;</w:t>
      </w:r>
    </w:p>
    <w:p w:rsidR="000A3FAB" w:rsidRPr="00217876" w:rsidRDefault="00EF04D2" w:rsidP="00BF1D81">
      <w:pPr>
        <w:pStyle w:val="NormalHanging12a"/>
      </w:pPr>
      <w:r>
        <w:t>43</w:t>
      </w:r>
      <w:r w:rsidR="000A3FAB" w:rsidRPr="00217876">
        <w:t>.</w:t>
      </w:r>
      <w:r w:rsidR="000A3FAB" w:rsidRPr="00217876">
        <w:tab/>
        <w:t>hangsúlyozza, hogy további erőfeszítésekre van szükség a szanálás hatálya alá tartozó valamennyi bank teljes szanálhatóságának biztosítása érdekében; emlékeztet arra, hogy a szanálhatóság elérése nem tekinthető „mozgó célnak”, és ezért felszólít a szanálhatósági értékelés szabványosításának és harmonizálásának fokozására; mindazonáltal emlékeztet arra, hogy a nemzeti szanálási hatóságok fontos szerepet játszanak a szanálhatóság értékelésében;</w:t>
      </w:r>
    </w:p>
    <w:p w:rsidR="000A3FAB" w:rsidRPr="00217876" w:rsidRDefault="000A3FAB" w:rsidP="00BF1D81">
      <w:pPr>
        <w:pStyle w:val="Normal12a24b"/>
        <w:widowControl/>
        <w:spacing w:before="0"/>
        <w:ind w:left="567" w:hanging="567"/>
        <w:jc w:val="both"/>
      </w:pPr>
      <w:r w:rsidRPr="00217876">
        <w:rPr>
          <w:rStyle w:val="BoldItalic"/>
        </w:rPr>
        <w:t>Betétbiztosítás</w:t>
      </w:r>
    </w:p>
    <w:p w:rsidR="000A3FAB" w:rsidRPr="00217876" w:rsidRDefault="00EF04D2" w:rsidP="00BF1D81">
      <w:pPr>
        <w:pStyle w:val="NormalHanging12a"/>
      </w:pPr>
      <w:r>
        <w:t>44</w:t>
      </w:r>
      <w:r w:rsidR="000A3FAB" w:rsidRPr="00217876">
        <w:t>.</w:t>
      </w:r>
      <w:r w:rsidR="000A3FAB" w:rsidRPr="00217876">
        <w:tab/>
        <w:t>hangsúlyozza, hogy az európai betétbiztosítási rendszer létrehozására irányuló bizottsági javaslatot 2015-ben tették közzé, és hogy a környezet azóta jelentősen megváltozott;</w:t>
      </w:r>
    </w:p>
    <w:p w:rsidR="000A3FAB" w:rsidRPr="00217876" w:rsidRDefault="00EF04D2" w:rsidP="00BF1D81">
      <w:pPr>
        <w:pStyle w:val="NormalHanging12a"/>
      </w:pPr>
      <w:r>
        <w:t>45</w:t>
      </w:r>
      <w:r w:rsidR="000A3FAB" w:rsidRPr="00217876">
        <w:t>.</w:t>
      </w:r>
      <w:r w:rsidR="000A3FAB" w:rsidRPr="00217876">
        <w:tab/>
        <w:t>emlékeztet arra, hogy a Parlament Gazdasági és Monetáris Bizottságának az európai betétbiztosítási rendszerrel kapcsolatos álláspontját 2024 áprilisában fogadták el; megjegyzi, hogy ez az álláspont eltér a Bizottság 2015. évi javaslatától, és új megközelítést alkalmaz; várja az európai betétbiztosítási rendszerről szóló tárgyalásokat, és arra ösztönzi a Tanácsot, hogy haladjon előre e tárgyalásokkal;</w:t>
      </w:r>
    </w:p>
    <w:p w:rsidR="000A3FAB" w:rsidRPr="00217876" w:rsidRDefault="00EF04D2" w:rsidP="00BF1D81">
      <w:pPr>
        <w:pStyle w:val="NormalHanging12a"/>
      </w:pPr>
      <w:r>
        <w:t>46</w:t>
      </w:r>
      <w:r w:rsidR="000A3FAB" w:rsidRPr="00217876">
        <w:t>.</w:t>
      </w:r>
      <w:r w:rsidR="000A3FAB" w:rsidRPr="00217876">
        <w:tab/>
        <w:t xml:space="preserve">megjegyzi, hogy a nemzeti betétbiztosítási rendszereket sikeresen vezették be, és azok számos esetben bizonyították működőképességüket; hangsúlyozza, hogy figyelembe kell venni a konkrét nemzeti jellemzőket, és meg kell őrizni a kisebb bankok számára kialakított, egyes tagállamokban már meglévő jól működő rendszereket, például </w:t>
      </w:r>
      <w:r w:rsidR="000A3FAB" w:rsidRPr="00217876">
        <w:lastRenderedPageBreak/>
        <w:t>intézményvédelmi rendszereket, oly módon, hogy az biztosítsa az egyenlő versenyfeltételeket a bankunióban;</w:t>
      </w:r>
    </w:p>
    <w:p w:rsidR="000A3FAB" w:rsidRPr="00217876" w:rsidRDefault="000A3FAB" w:rsidP="00BF1D81">
      <w:pPr>
        <w:pStyle w:val="NormalCenter12a"/>
        <w:widowControl/>
        <w:ind w:left="567" w:hanging="567"/>
      </w:pPr>
      <w:r w:rsidRPr="00217876">
        <w:t>°</w:t>
      </w:r>
    </w:p>
    <w:p w:rsidR="000A3FAB" w:rsidRPr="00217876" w:rsidRDefault="000A3FAB" w:rsidP="00BF1D81">
      <w:pPr>
        <w:pStyle w:val="NormalCenter12a"/>
        <w:widowControl/>
        <w:ind w:left="567" w:hanging="567"/>
      </w:pPr>
      <w:r w:rsidRPr="00217876">
        <w:t>°</w:t>
      </w:r>
      <w:r w:rsidRPr="00217876">
        <w:tab/>
        <w:t>°</w:t>
      </w:r>
    </w:p>
    <w:p w:rsidR="000A3FAB" w:rsidRPr="00871862" w:rsidRDefault="000A3FAB" w:rsidP="00BF1D81">
      <w:pPr>
        <w:pStyle w:val="NormalHanging12a"/>
      </w:pPr>
      <w:r w:rsidRPr="00217876">
        <w:t>4</w:t>
      </w:r>
      <w:r w:rsidR="00EF04D2">
        <w:t>7</w:t>
      </w:r>
      <w:r w:rsidRPr="00217876">
        <w:t>.</w:t>
      </w:r>
      <w:r w:rsidRPr="00217876">
        <w:tab/>
        <w:t>utasítja elnökét, hogy továbbítsa ezt az állásfoglalást a Tanácsnak, a Bizottságnak, az Európai Központi Banknak, az Egységes Szanálási Testületnek és az Európai Bankhatóságnak.</w:t>
      </w:r>
    </w:p>
    <w:sectPr w:rsidR="000A3FAB" w:rsidRPr="00871862" w:rsidSect="00871862"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51FA" w:rsidRPr="00871862" w:rsidRDefault="00A251FA">
      <w:r w:rsidRPr="00871862">
        <w:separator/>
      </w:r>
    </w:p>
  </w:endnote>
  <w:endnote w:type="continuationSeparator" w:id="0">
    <w:p w:rsidR="00A251FA" w:rsidRPr="00871862" w:rsidRDefault="00A251FA">
      <w:r w:rsidRPr="008718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51FA" w:rsidRPr="00871862" w:rsidRDefault="00A251FA">
      <w:r w:rsidRPr="00871862">
        <w:separator/>
      </w:r>
    </w:p>
  </w:footnote>
  <w:footnote w:type="continuationSeparator" w:id="0">
    <w:p w:rsidR="00A251FA" w:rsidRPr="00871862" w:rsidRDefault="00A251FA">
      <w:r w:rsidRPr="00871862">
        <w:continuationSeparator/>
      </w:r>
    </w:p>
  </w:footnote>
  <w:footnote w:id="1">
    <w:p w:rsidR="000A3FAB" w:rsidRPr="00871862" w:rsidRDefault="000A3FAB" w:rsidP="00871862">
      <w:pPr>
        <w:pStyle w:val="FootnoteText"/>
        <w:ind w:left="567" w:hanging="567"/>
        <w:rPr>
          <w:sz w:val="24"/>
          <w:lang w:val="hu-HU"/>
        </w:rPr>
      </w:pPr>
      <w:r w:rsidRPr="00871862">
        <w:rPr>
          <w:rStyle w:val="FootnoteReference"/>
          <w:sz w:val="24"/>
          <w:lang w:val="hu-HU"/>
        </w:rPr>
        <w:footnoteRef/>
      </w:r>
      <w:r w:rsidR="00871862" w:rsidRPr="00871862">
        <w:rPr>
          <w:sz w:val="24"/>
          <w:lang w:val="hu-HU"/>
        </w:rPr>
        <w:t xml:space="preserve"> </w:t>
      </w:r>
      <w:r w:rsidR="00871862" w:rsidRPr="00871862">
        <w:rPr>
          <w:sz w:val="24"/>
          <w:lang w:val="hu-HU"/>
        </w:rPr>
        <w:tab/>
      </w:r>
      <w:r w:rsidRPr="00871862">
        <w:rPr>
          <w:sz w:val="24"/>
          <w:lang w:val="hu-HU"/>
        </w:rPr>
        <w:t>HL C, C/2024/5706, 2024.10.17</w:t>
      </w:r>
      <w:proofErr w:type="gramStart"/>
      <w:r w:rsidRPr="00871862">
        <w:rPr>
          <w:sz w:val="24"/>
          <w:lang w:val="hu-HU"/>
        </w:rPr>
        <w:t>.,</w:t>
      </w:r>
      <w:proofErr w:type="gramEnd"/>
      <w:r w:rsidRPr="00871862">
        <w:rPr>
          <w:sz w:val="24"/>
          <w:lang w:val="hu-HU"/>
        </w:rPr>
        <w:t xml:space="preserve"> ELI: </w:t>
      </w:r>
      <w:hyperlink r:id="rId1" w:history="1">
        <w:r w:rsidRPr="00871862">
          <w:rPr>
            <w:rStyle w:val="Hyperlink"/>
            <w:sz w:val="24"/>
            <w:lang w:val="hu-HU"/>
          </w:rPr>
          <w:t>http://data.europa.eu/eli/C/2024/5706/oj</w:t>
        </w:r>
      </w:hyperlink>
      <w:r w:rsidRPr="00871862">
        <w:rPr>
          <w:sz w:val="24"/>
          <w:lang w:val="hu-HU"/>
        </w:rPr>
        <w:t>.</w:t>
      </w:r>
    </w:p>
  </w:footnote>
  <w:footnote w:id="2">
    <w:p w:rsidR="000A3FAB" w:rsidRPr="00871862" w:rsidRDefault="000A3FAB" w:rsidP="00871862">
      <w:pPr>
        <w:pStyle w:val="FootnoteText"/>
        <w:ind w:left="567" w:hanging="567"/>
        <w:rPr>
          <w:sz w:val="24"/>
          <w:lang w:val="hu-HU"/>
        </w:rPr>
      </w:pPr>
      <w:r w:rsidRPr="00871862">
        <w:rPr>
          <w:rStyle w:val="FootnoteReference"/>
          <w:color w:val="000000" w:themeColor="text1"/>
          <w:sz w:val="24"/>
          <w:lang w:val="hu-HU"/>
        </w:rPr>
        <w:footnoteRef/>
      </w:r>
      <w:r w:rsidR="00871862" w:rsidRPr="00871862">
        <w:rPr>
          <w:sz w:val="24"/>
          <w:lang w:val="hu-HU"/>
        </w:rPr>
        <w:t xml:space="preserve"> </w:t>
      </w:r>
      <w:r w:rsidR="00871862" w:rsidRPr="00871862">
        <w:rPr>
          <w:sz w:val="24"/>
          <w:lang w:val="hu-HU"/>
        </w:rPr>
        <w:tab/>
      </w:r>
      <w:proofErr w:type="gramStart"/>
      <w:r w:rsidRPr="00871862">
        <w:rPr>
          <w:sz w:val="24"/>
          <w:lang w:val="hu-HU"/>
        </w:rPr>
        <w:t xml:space="preserve">Az Európai Parlament és a Tanács (EU) 2024/1640 irányelve (2024. május 31.) a pénzügyi rendszer pénzmosás vagy terrorizmusfinanszírozás céljára való felhasználásának megelőzése érdekében a tagállamok által létrehozandó mechanizmusokról, az (EU) 2019/1937 irányelv módosításáról, és az (EU) 2015/849 irányelv módosításáról és hatályon kívül helyezéséről (HL L, 2024/1640, 2024.6.19., ELI: </w:t>
      </w:r>
      <w:hyperlink r:id="rId2" w:history="1">
        <w:r w:rsidRPr="00871862">
          <w:rPr>
            <w:rStyle w:val="Hyperlink"/>
            <w:sz w:val="24"/>
            <w:lang w:val="hu-HU"/>
          </w:rPr>
          <w:t>http://data.europa.eu/eli/dir/2024/1640/oj</w:t>
        </w:r>
      </w:hyperlink>
      <w:r w:rsidRPr="00871862">
        <w:rPr>
          <w:sz w:val="24"/>
          <w:lang w:val="hu-HU"/>
        </w:rPr>
        <w:t>).</w:t>
      </w:r>
      <w:proofErr w:type="gramEnd"/>
    </w:p>
  </w:footnote>
  <w:footnote w:id="3">
    <w:p w:rsidR="000A3FAB" w:rsidRPr="00871862" w:rsidRDefault="000A3FAB" w:rsidP="00871862">
      <w:pPr>
        <w:pStyle w:val="FootnoteText"/>
        <w:ind w:left="567" w:hanging="567"/>
        <w:rPr>
          <w:sz w:val="24"/>
          <w:lang w:val="hu-HU"/>
        </w:rPr>
      </w:pPr>
      <w:r w:rsidRPr="00871862">
        <w:rPr>
          <w:rStyle w:val="FootnoteReference"/>
          <w:sz w:val="24"/>
          <w:lang w:val="hu-HU"/>
        </w:rPr>
        <w:footnoteRef/>
      </w:r>
      <w:r w:rsidR="00871862" w:rsidRPr="00871862">
        <w:rPr>
          <w:sz w:val="24"/>
          <w:lang w:val="hu-HU"/>
        </w:rPr>
        <w:t xml:space="preserve"> </w:t>
      </w:r>
      <w:r w:rsidR="00871862" w:rsidRPr="00871862">
        <w:rPr>
          <w:sz w:val="24"/>
          <w:lang w:val="hu-HU"/>
        </w:rPr>
        <w:tab/>
      </w:r>
      <w:r w:rsidRPr="00871862">
        <w:rPr>
          <w:sz w:val="24"/>
          <w:lang w:val="hu-HU"/>
        </w:rPr>
        <w:t>Az Európai Parlament és a Tanács (EU) 2024/1624 rendelete (2024. május 31.) a pénzügyi rendszer pénzmosás vagy terrorizmusfinanszírozás céljára való felhasználásának megelőzéséről (HL L, 2024/1624, 2024.6.19</w:t>
      </w:r>
      <w:proofErr w:type="gramStart"/>
      <w:r w:rsidR="00BF1D81">
        <w:rPr>
          <w:sz w:val="24"/>
          <w:lang w:val="hu-HU"/>
        </w:rPr>
        <w:t>.</w:t>
      </w:r>
      <w:r w:rsidRPr="00871862">
        <w:rPr>
          <w:sz w:val="24"/>
          <w:lang w:val="hu-HU"/>
        </w:rPr>
        <w:t>,</w:t>
      </w:r>
      <w:proofErr w:type="gramEnd"/>
      <w:r w:rsidRPr="00871862">
        <w:rPr>
          <w:sz w:val="24"/>
          <w:lang w:val="hu-HU"/>
        </w:rPr>
        <w:t xml:space="preserve"> ELI: </w:t>
      </w:r>
      <w:hyperlink r:id="rId3" w:history="1">
        <w:r w:rsidRPr="00871862">
          <w:rPr>
            <w:rStyle w:val="Hyperlink"/>
            <w:sz w:val="24"/>
            <w:lang w:val="hu-HU"/>
          </w:rPr>
          <w:t>http://data.europa.eu/eli/reg/2024/1624/oj</w:t>
        </w:r>
      </w:hyperlink>
      <w:r w:rsidRPr="00871862">
        <w:rPr>
          <w:sz w:val="24"/>
          <w:lang w:val="hu-HU"/>
        </w:rPr>
        <w:t>).</w:t>
      </w:r>
    </w:p>
  </w:footnote>
  <w:footnote w:id="4">
    <w:p w:rsidR="000A3FAB" w:rsidRPr="00871862" w:rsidRDefault="000A3FAB" w:rsidP="00871862">
      <w:pPr>
        <w:pStyle w:val="FootnoteText"/>
        <w:ind w:left="567" w:hanging="567"/>
        <w:rPr>
          <w:sz w:val="24"/>
          <w:lang w:val="hu-HU"/>
        </w:rPr>
      </w:pPr>
      <w:r w:rsidRPr="00871862">
        <w:rPr>
          <w:rStyle w:val="FootnoteReference"/>
          <w:color w:val="000000" w:themeColor="text1"/>
          <w:sz w:val="24"/>
          <w:lang w:val="hu-HU"/>
        </w:rPr>
        <w:footnoteRef/>
      </w:r>
      <w:r w:rsidR="00871862" w:rsidRPr="00871862">
        <w:rPr>
          <w:sz w:val="24"/>
          <w:lang w:val="hu-HU"/>
        </w:rPr>
        <w:t xml:space="preserve"> </w:t>
      </w:r>
      <w:r w:rsidR="00871862" w:rsidRPr="00871862">
        <w:rPr>
          <w:sz w:val="24"/>
          <w:lang w:val="hu-HU"/>
        </w:rPr>
        <w:tab/>
      </w:r>
      <w:r w:rsidRPr="00871862">
        <w:rPr>
          <w:sz w:val="24"/>
          <w:lang w:val="hu-HU"/>
        </w:rPr>
        <w:t>Az Európai Parlament és a Tanács (EU) 2024/1620 rendelete (2024. május 31.) a Pénzmosás és Terrorizmusfinanszírozás Elleni Hatóság létrehozásáról, valamint az 1093/2010/EU, az 1094/2010/EU és az 1095/2010/EU rendelet módosításáról (HL L, 2024/1620, 2024.6.19</w:t>
      </w:r>
      <w:proofErr w:type="gramStart"/>
      <w:r w:rsidRPr="00871862">
        <w:rPr>
          <w:sz w:val="24"/>
          <w:lang w:val="hu-HU"/>
        </w:rPr>
        <w:t>.,</w:t>
      </w:r>
      <w:proofErr w:type="gramEnd"/>
      <w:r w:rsidRPr="00871862">
        <w:rPr>
          <w:sz w:val="24"/>
          <w:lang w:val="hu-HU"/>
        </w:rPr>
        <w:t xml:space="preserve"> ELI: </w:t>
      </w:r>
      <w:hyperlink r:id="rId4" w:history="1">
        <w:r w:rsidRPr="00871862">
          <w:rPr>
            <w:rStyle w:val="Hyperlink"/>
            <w:sz w:val="24"/>
            <w:lang w:val="hu-HU"/>
          </w:rPr>
          <w:t>http://data.europa.eu/eli/reg/2024/1620/oj</w:t>
        </w:r>
      </w:hyperlink>
      <w:r w:rsidRPr="00871862">
        <w:rPr>
          <w:sz w:val="24"/>
          <w:lang w:val="hu-HU"/>
        </w:rPr>
        <w:t>).</w:t>
      </w:r>
    </w:p>
  </w:footnote>
  <w:footnote w:id="5">
    <w:p w:rsidR="000A3FAB" w:rsidRPr="00871862" w:rsidRDefault="000A3FAB" w:rsidP="00871862">
      <w:pPr>
        <w:pStyle w:val="FootnoteText"/>
        <w:ind w:left="567" w:hanging="567"/>
        <w:rPr>
          <w:color w:val="000000" w:themeColor="text1"/>
          <w:sz w:val="24"/>
          <w:lang w:val="hu-HU"/>
        </w:rPr>
      </w:pPr>
      <w:r w:rsidRPr="00871862">
        <w:rPr>
          <w:rStyle w:val="FootnoteReference"/>
          <w:color w:val="000000" w:themeColor="text1"/>
          <w:sz w:val="24"/>
          <w:lang w:val="hu-HU"/>
        </w:rPr>
        <w:footnoteRef/>
      </w:r>
      <w:r w:rsidR="00871862" w:rsidRPr="00871862">
        <w:rPr>
          <w:sz w:val="24"/>
          <w:lang w:val="hu-HU"/>
        </w:rPr>
        <w:t xml:space="preserve"> </w:t>
      </w:r>
      <w:r w:rsidR="00871862" w:rsidRPr="00871862">
        <w:rPr>
          <w:sz w:val="24"/>
          <w:lang w:val="hu-HU"/>
        </w:rPr>
        <w:tab/>
      </w:r>
      <w:proofErr w:type="gramStart"/>
      <w:r w:rsidRPr="00871862">
        <w:rPr>
          <w:sz w:val="24"/>
          <w:lang w:val="hu-HU"/>
        </w:rPr>
        <w:t>Az Európai Parlament és a Tanács (EU) 2024/1619 irányelve (2024. május 31.) a 2013/36/EU irányelvnek a felügyeleti hatáskörök, a szankciók, a harmadik országbeli fióktelepek, valamint a környezeti, társadalmi és irányítási kockázatok tekintetében történő módosításáról (HL L, 2024/1619, 2024.6.19., ELI: </w:t>
      </w:r>
      <w:hyperlink r:id="rId5" w:history="1">
        <w:r w:rsidRPr="00871862">
          <w:rPr>
            <w:rStyle w:val="Hyperlink"/>
            <w:sz w:val="24"/>
            <w:lang w:val="hu-HU"/>
          </w:rPr>
          <w:t>http://data.europa.eu/eli/dir/2024/1619/oj</w:t>
        </w:r>
      </w:hyperlink>
      <w:r w:rsidRPr="00871862">
        <w:rPr>
          <w:sz w:val="24"/>
          <w:lang w:val="hu-HU"/>
        </w:rPr>
        <w:t>).</w:t>
      </w:r>
      <w:proofErr w:type="gramEnd"/>
    </w:p>
  </w:footnote>
  <w:footnote w:id="6">
    <w:p w:rsidR="000A3FAB" w:rsidRPr="00871862" w:rsidRDefault="000A3FAB" w:rsidP="00871862">
      <w:pPr>
        <w:pStyle w:val="FootnoteText"/>
        <w:ind w:left="567" w:hanging="567"/>
        <w:rPr>
          <w:sz w:val="24"/>
          <w:lang w:val="hu-HU"/>
        </w:rPr>
      </w:pPr>
      <w:r w:rsidRPr="00871862">
        <w:rPr>
          <w:rStyle w:val="FootnoteReference"/>
          <w:color w:val="000000" w:themeColor="text1"/>
          <w:sz w:val="24"/>
          <w:lang w:val="hu-HU"/>
        </w:rPr>
        <w:footnoteRef/>
      </w:r>
      <w:r w:rsidR="00871862" w:rsidRPr="00871862">
        <w:rPr>
          <w:sz w:val="24"/>
          <w:lang w:val="hu-HU"/>
        </w:rPr>
        <w:t xml:space="preserve"> </w:t>
      </w:r>
      <w:r w:rsidR="00871862" w:rsidRPr="00871862">
        <w:rPr>
          <w:sz w:val="24"/>
          <w:lang w:val="hu-HU"/>
        </w:rPr>
        <w:tab/>
      </w:r>
      <w:r w:rsidRPr="00871862">
        <w:rPr>
          <w:sz w:val="24"/>
          <w:lang w:val="hu-HU"/>
        </w:rPr>
        <w:t xml:space="preserve">Az Európai Parlament és a Tanács (EU) 2024/1623 rendelete (2024. május 31.) az 575/2013/EU rendeletnek a hitelkockázatra, a hitelértékelési </w:t>
      </w:r>
      <w:proofErr w:type="gramStart"/>
      <w:r w:rsidRPr="00871862">
        <w:rPr>
          <w:sz w:val="24"/>
          <w:lang w:val="hu-HU"/>
        </w:rPr>
        <w:t>korrekciós</w:t>
      </w:r>
      <w:proofErr w:type="gramEnd"/>
      <w:r w:rsidRPr="00871862">
        <w:rPr>
          <w:sz w:val="24"/>
          <w:lang w:val="hu-HU"/>
        </w:rPr>
        <w:t xml:space="preserve"> kockázatra, a működési kockázatra, a piaci kockázatra és a tőke-küszöbértékre vonatkozó követelmények tekintetében történő módosításáról (HL L</w:t>
      </w:r>
      <w:r w:rsidR="006F3378">
        <w:rPr>
          <w:sz w:val="24"/>
          <w:lang w:val="hu-HU"/>
        </w:rPr>
        <w:t>,</w:t>
      </w:r>
      <w:bookmarkStart w:id="7" w:name="_GoBack"/>
      <w:bookmarkEnd w:id="7"/>
      <w:r w:rsidRPr="00871862">
        <w:rPr>
          <w:sz w:val="24"/>
          <w:lang w:val="hu-HU"/>
        </w:rPr>
        <w:t xml:space="preserve"> 2024/1623, 2024.6.19., ELI: </w:t>
      </w:r>
      <w:hyperlink r:id="rId6" w:history="1">
        <w:r w:rsidRPr="00871862">
          <w:rPr>
            <w:rStyle w:val="Hyperlink"/>
            <w:sz w:val="24"/>
            <w:lang w:val="hu-HU"/>
          </w:rPr>
          <w:t>http://data.europa.eu/eli/reg/2024/1623/oj</w:t>
        </w:r>
      </w:hyperlink>
      <w:r w:rsidRPr="00871862">
        <w:rPr>
          <w:sz w:val="24"/>
          <w:lang w:val="hu-HU"/>
        </w:rPr>
        <w:t>).</w:t>
      </w:r>
    </w:p>
  </w:footnote>
  <w:footnote w:id="7">
    <w:p w:rsidR="000A3FAB" w:rsidRPr="00871862" w:rsidRDefault="000A3FAB" w:rsidP="00871862">
      <w:pPr>
        <w:pStyle w:val="FootnoteText"/>
        <w:ind w:left="567" w:hanging="567"/>
        <w:rPr>
          <w:sz w:val="24"/>
          <w:lang w:val="hu-HU"/>
        </w:rPr>
      </w:pPr>
      <w:r w:rsidRPr="00871862">
        <w:rPr>
          <w:rStyle w:val="FootnoteReference"/>
          <w:color w:val="000000" w:themeColor="text1"/>
          <w:sz w:val="24"/>
          <w:lang w:val="hu-HU"/>
        </w:rPr>
        <w:footnoteRef/>
      </w:r>
      <w:r w:rsidR="00871862" w:rsidRPr="00871862">
        <w:rPr>
          <w:sz w:val="24"/>
          <w:lang w:val="hu-HU"/>
        </w:rPr>
        <w:t xml:space="preserve"> </w:t>
      </w:r>
      <w:r w:rsidR="00871862" w:rsidRPr="00871862">
        <w:rPr>
          <w:sz w:val="24"/>
          <w:lang w:val="hu-HU"/>
        </w:rPr>
        <w:tab/>
      </w:r>
      <w:r w:rsidRPr="00871862">
        <w:rPr>
          <w:sz w:val="24"/>
          <w:lang w:val="hu-HU"/>
        </w:rPr>
        <w:t>HL L, 2024/2795, 2024.10.31</w:t>
      </w:r>
      <w:proofErr w:type="gramStart"/>
      <w:r w:rsidRPr="00871862">
        <w:rPr>
          <w:sz w:val="24"/>
          <w:lang w:val="hu-HU"/>
        </w:rPr>
        <w:t>.,</w:t>
      </w:r>
      <w:proofErr w:type="gramEnd"/>
      <w:r w:rsidRPr="00871862">
        <w:rPr>
          <w:sz w:val="24"/>
          <w:lang w:val="hu-HU"/>
        </w:rPr>
        <w:t xml:space="preserve"> ELI:</w:t>
      </w:r>
      <w:r w:rsidRPr="00871862">
        <w:rPr>
          <w:color w:val="000000" w:themeColor="text1"/>
          <w:sz w:val="24"/>
          <w:lang w:val="hu-HU"/>
        </w:rPr>
        <w:t xml:space="preserve"> </w:t>
      </w:r>
      <w:hyperlink r:id="rId7" w:history="1">
        <w:r w:rsidRPr="00871862">
          <w:rPr>
            <w:rStyle w:val="Hyperlink"/>
            <w:sz w:val="24"/>
            <w:lang w:val="hu-HU"/>
          </w:rPr>
          <w:t>http://data.europa.eu/eli/reg_del/2024/2795/oj</w:t>
        </w:r>
      </w:hyperlink>
      <w:r w:rsidRPr="00871862">
        <w:rPr>
          <w:color w:val="000000" w:themeColor="text1"/>
          <w:sz w:val="24"/>
          <w:lang w:val="hu-HU"/>
        </w:rPr>
        <w:t>.</w:t>
      </w:r>
    </w:p>
  </w:footnote>
  <w:footnote w:id="8">
    <w:p w:rsidR="000A3FAB" w:rsidRPr="00871862" w:rsidRDefault="000A3FAB" w:rsidP="00871862">
      <w:pPr>
        <w:pStyle w:val="FootnoteText"/>
        <w:ind w:left="567" w:hanging="567"/>
        <w:rPr>
          <w:sz w:val="24"/>
          <w:lang w:val="hu-HU"/>
        </w:rPr>
      </w:pPr>
      <w:r w:rsidRPr="00871862">
        <w:rPr>
          <w:rStyle w:val="FootnoteReference"/>
          <w:sz w:val="24"/>
          <w:lang w:val="hu-HU"/>
        </w:rPr>
        <w:footnoteRef/>
      </w:r>
      <w:r w:rsidR="00871862" w:rsidRPr="00871862">
        <w:rPr>
          <w:sz w:val="24"/>
          <w:lang w:val="hu-HU"/>
        </w:rPr>
        <w:t xml:space="preserve"> </w:t>
      </w:r>
      <w:r w:rsidR="00871862" w:rsidRPr="00871862">
        <w:rPr>
          <w:sz w:val="24"/>
          <w:lang w:val="hu-HU"/>
        </w:rPr>
        <w:tab/>
      </w:r>
      <w:r w:rsidRPr="00871862">
        <w:rPr>
          <w:sz w:val="24"/>
          <w:lang w:val="hu-HU"/>
        </w:rPr>
        <w:t>Elfogadott szövegek, P9_</w:t>
      </w:r>
      <w:proofErr w:type="gramStart"/>
      <w:r w:rsidRPr="00871862">
        <w:rPr>
          <w:sz w:val="24"/>
          <w:lang w:val="hu-HU"/>
        </w:rPr>
        <w:t>TA(</w:t>
      </w:r>
      <w:proofErr w:type="gramEnd"/>
      <w:r w:rsidRPr="00871862">
        <w:rPr>
          <w:sz w:val="24"/>
          <w:lang w:val="hu-HU"/>
        </w:rPr>
        <w:t>2024)0326.</w:t>
      </w:r>
    </w:p>
  </w:footnote>
  <w:footnote w:id="9">
    <w:p w:rsidR="000A3FAB" w:rsidRPr="00871862" w:rsidRDefault="000A3FAB" w:rsidP="00871862">
      <w:pPr>
        <w:pStyle w:val="FootnoteText"/>
        <w:ind w:left="567" w:hanging="567"/>
        <w:rPr>
          <w:sz w:val="24"/>
          <w:lang w:val="hu-HU"/>
        </w:rPr>
      </w:pPr>
      <w:r w:rsidRPr="00871862">
        <w:rPr>
          <w:rStyle w:val="FootnoteReference"/>
          <w:sz w:val="24"/>
          <w:lang w:val="hu-HU"/>
        </w:rPr>
        <w:footnoteRef/>
      </w:r>
      <w:r w:rsidR="00871862" w:rsidRPr="00871862">
        <w:rPr>
          <w:sz w:val="24"/>
          <w:lang w:val="hu-HU"/>
        </w:rPr>
        <w:t xml:space="preserve"> </w:t>
      </w:r>
      <w:r w:rsidR="00871862" w:rsidRPr="00871862">
        <w:rPr>
          <w:sz w:val="24"/>
          <w:lang w:val="hu-HU"/>
        </w:rPr>
        <w:tab/>
      </w:r>
      <w:r w:rsidRPr="00871862">
        <w:rPr>
          <w:sz w:val="24"/>
          <w:lang w:val="hu-HU"/>
        </w:rPr>
        <w:t>Elfogadott szövegek, P9_</w:t>
      </w:r>
      <w:proofErr w:type="gramStart"/>
      <w:r w:rsidRPr="00871862">
        <w:rPr>
          <w:sz w:val="24"/>
          <w:lang w:val="hu-HU"/>
        </w:rPr>
        <w:t>TA(</w:t>
      </w:r>
      <w:proofErr w:type="gramEnd"/>
      <w:r w:rsidRPr="00871862">
        <w:rPr>
          <w:sz w:val="24"/>
          <w:lang w:val="hu-HU"/>
        </w:rPr>
        <w:t>2024)0327.</w:t>
      </w:r>
    </w:p>
  </w:footnote>
  <w:footnote w:id="10">
    <w:p w:rsidR="000A3FAB" w:rsidRPr="00871862" w:rsidRDefault="000A3FAB" w:rsidP="00871862">
      <w:pPr>
        <w:pStyle w:val="FootnoteText"/>
        <w:ind w:left="567" w:hanging="567"/>
        <w:rPr>
          <w:sz w:val="24"/>
          <w:lang w:val="hu-HU"/>
        </w:rPr>
      </w:pPr>
      <w:r w:rsidRPr="00871862">
        <w:rPr>
          <w:rStyle w:val="FootnoteReference"/>
          <w:sz w:val="24"/>
          <w:lang w:val="hu-HU"/>
        </w:rPr>
        <w:footnoteRef/>
      </w:r>
      <w:r w:rsidR="00871862" w:rsidRPr="00871862">
        <w:rPr>
          <w:sz w:val="24"/>
          <w:lang w:val="hu-HU"/>
        </w:rPr>
        <w:t xml:space="preserve"> </w:t>
      </w:r>
      <w:r w:rsidR="00871862" w:rsidRPr="00871862">
        <w:rPr>
          <w:sz w:val="24"/>
          <w:lang w:val="hu-HU"/>
        </w:rPr>
        <w:tab/>
      </w:r>
      <w:r w:rsidRPr="00871862">
        <w:rPr>
          <w:sz w:val="24"/>
          <w:lang w:val="hu-HU"/>
        </w:rPr>
        <w:t>Elfogadott szövegek, P9_</w:t>
      </w:r>
      <w:proofErr w:type="gramStart"/>
      <w:r w:rsidRPr="00871862">
        <w:rPr>
          <w:sz w:val="24"/>
          <w:lang w:val="hu-HU"/>
        </w:rPr>
        <w:t>TA(</w:t>
      </w:r>
      <w:proofErr w:type="gramEnd"/>
      <w:r w:rsidRPr="00871862">
        <w:rPr>
          <w:sz w:val="24"/>
          <w:lang w:val="hu-HU"/>
        </w:rPr>
        <w:t>2024)0328.</w:t>
      </w:r>
    </w:p>
  </w:footnote>
  <w:footnote w:id="11">
    <w:p w:rsidR="000A3FAB" w:rsidRPr="00871862" w:rsidRDefault="000A3FAB" w:rsidP="00871862">
      <w:pPr>
        <w:pStyle w:val="FootnoteText"/>
        <w:ind w:left="567" w:hanging="567"/>
        <w:rPr>
          <w:sz w:val="24"/>
          <w:lang w:val="hu-HU"/>
        </w:rPr>
      </w:pPr>
      <w:r w:rsidRPr="00871862">
        <w:rPr>
          <w:rStyle w:val="FootnoteReference"/>
          <w:sz w:val="24"/>
          <w:lang w:val="hu-HU"/>
        </w:rPr>
        <w:footnoteRef/>
      </w:r>
      <w:r w:rsidR="00871862" w:rsidRPr="00871862">
        <w:rPr>
          <w:sz w:val="24"/>
          <w:lang w:val="hu-HU"/>
        </w:rPr>
        <w:t xml:space="preserve"> </w:t>
      </w:r>
      <w:r w:rsidR="00871862" w:rsidRPr="00871862">
        <w:rPr>
          <w:sz w:val="24"/>
          <w:lang w:val="hu-HU"/>
        </w:rPr>
        <w:tab/>
      </w:r>
      <w:r w:rsidRPr="00871862">
        <w:rPr>
          <w:sz w:val="24"/>
          <w:lang w:val="hu-HU"/>
        </w:rPr>
        <w:t>Véron, N</w:t>
      </w:r>
      <w:proofErr w:type="gramStart"/>
      <w:r w:rsidRPr="00871862">
        <w:rPr>
          <w:sz w:val="24"/>
          <w:lang w:val="hu-HU"/>
        </w:rPr>
        <w:t>.,</w:t>
      </w:r>
      <w:proofErr w:type="gramEnd"/>
      <w:r w:rsidRPr="00871862">
        <w:rPr>
          <w:sz w:val="24"/>
          <w:lang w:val="hu-HU"/>
        </w:rPr>
        <w:t xml:space="preserve"> „Europe’s banking union at 10: unfinished yet transformative”, Peterson Institute for International Economics, 24–15. sz. munkadokumentum, 2024. június.</w:t>
      </w:r>
    </w:p>
  </w:footnote>
  <w:footnote w:id="12">
    <w:p w:rsidR="000A3FAB" w:rsidRPr="00871862" w:rsidRDefault="000A3FAB" w:rsidP="00871862">
      <w:pPr>
        <w:pStyle w:val="FootnoteText"/>
        <w:ind w:left="567" w:hanging="567"/>
        <w:rPr>
          <w:color w:val="000000" w:themeColor="text1"/>
          <w:sz w:val="24"/>
          <w:lang w:val="hu-HU"/>
        </w:rPr>
      </w:pPr>
      <w:r w:rsidRPr="00871862">
        <w:rPr>
          <w:rStyle w:val="FootnoteReference"/>
          <w:color w:val="000000" w:themeColor="text1"/>
          <w:sz w:val="24"/>
          <w:lang w:val="hu-HU"/>
        </w:rPr>
        <w:footnoteRef/>
      </w:r>
      <w:r w:rsidR="00871862" w:rsidRPr="00871862">
        <w:rPr>
          <w:sz w:val="24"/>
          <w:lang w:val="hu-HU"/>
        </w:rPr>
        <w:t xml:space="preserve"> </w:t>
      </w:r>
      <w:r w:rsidR="00871862" w:rsidRPr="00871862">
        <w:rPr>
          <w:sz w:val="24"/>
          <w:lang w:val="hu-HU"/>
        </w:rPr>
        <w:tab/>
      </w:r>
      <w:r w:rsidRPr="00871862">
        <w:rPr>
          <w:sz w:val="24"/>
          <w:lang w:val="hu-HU"/>
        </w:rPr>
        <w:t>HL C 23</w:t>
      </w:r>
      <w:proofErr w:type="gramStart"/>
      <w:r w:rsidRPr="00871862">
        <w:rPr>
          <w:sz w:val="24"/>
          <w:lang w:val="hu-HU"/>
        </w:rPr>
        <w:t>.,</w:t>
      </w:r>
      <w:proofErr w:type="gramEnd"/>
      <w:r w:rsidRPr="00871862">
        <w:rPr>
          <w:sz w:val="24"/>
          <w:lang w:val="hu-HU"/>
        </w:rPr>
        <w:t xml:space="preserve"> 2021.1.21., 105. o.</w:t>
      </w:r>
    </w:p>
  </w:footnote>
  <w:footnote w:id="13">
    <w:p w:rsidR="000A3FAB" w:rsidRPr="00871862" w:rsidRDefault="000A3FAB" w:rsidP="00871862">
      <w:pPr>
        <w:pStyle w:val="FootnoteText"/>
        <w:ind w:left="567" w:hanging="567"/>
        <w:rPr>
          <w:sz w:val="24"/>
          <w:lang w:val="hu-HU"/>
        </w:rPr>
      </w:pPr>
      <w:r w:rsidRPr="00871862">
        <w:rPr>
          <w:rStyle w:val="FootnoteReference"/>
          <w:sz w:val="24"/>
          <w:lang w:val="hu-HU"/>
        </w:rPr>
        <w:footnoteRef/>
      </w:r>
      <w:r w:rsidR="00871862" w:rsidRPr="00871862">
        <w:rPr>
          <w:sz w:val="24"/>
          <w:lang w:val="hu-HU"/>
        </w:rPr>
        <w:t xml:space="preserve"> </w:t>
      </w:r>
      <w:r w:rsidR="00871862" w:rsidRPr="00871862">
        <w:rPr>
          <w:sz w:val="24"/>
          <w:lang w:val="hu-HU"/>
        </w:rPr>
        <w:tab/>
      </w:r>
      <w:r w:rsidRPr="00871862">
        <w:rPr>
          <w:sz w:val="24"/>
          <w:lang w:val="hu-HU"/>
        </w:rPr>
        <w:t>HL C 494., 2021.12.8</w:t>
      </w:r>
      <w:proofErr w:type="gramStart"/>
      <w:r w:rsidRPr="00871862">
        <w:rPr>
          <w:sz w:val="24"/>
          <w:lang w:val="hu-HU"/>
        </w:rPr>
        <w:t>.,</w:t>
      </w:r>
      <w:proofErr w:type="gramEnd"/>
      <w:r w:rsidRPr="00871862">
        <w:rPr>
          <w:sz w:val="24"/>
          <w:lang w:val="hu-HU"/>
        </w:rPr>
        <w:t xml:space="preserve"> 118. o.</w:t>
      </w:r>
    </w:p>
  </w:footnote>
  <w:footnote w:id="14">
    <w:p w:rsidR="000A3FAB" w:rsidRPr="00871862" w:rsidRDefault="000A3FAB" w:rsidP="00871862">
      <w:pPr>
        <w:pStyle w:val="FootnoteText"/>
        <w:ind w:left="567" w:hanging="567"/>
        <w:rPr>
          <w:sz w:val="24"/>
          <w:lang w:val="hu-HU"/>
        </w:rPr>
      </w:pPr>
      <w:r w:rsidRPr="00871862">
        <w:rPr>
          <w:rStyle w:val="FootnoteReference"/>
          <w:sz w:val="24"/>
          <w:lang w:val="hu-HU"/>
        </w:rPr>
        <w:footnoteRef/>
      </w:r>
      <w:r w:rsidR="00871862" w:rsidRPr="00871862">
        <w:rPr>
          <w:sz w:val="24"/>
          <w:lang w:val="hu-HU"/>
        </w:rPr>
        <w:t xml:space="preserve"> </w:t>
      </w:r>
      <w:r w:rsidR="00871862" w:rsidRPr="00871862">
        <w:rPr>
          <w:sz w:val="24"/>
          <w:lang w:val="hu-HU"/>
        </w:rPr>
        <w:tab/>
      </w:r>
      <w:r w:rsidRPr="00871862">
        <w:rPr>
          <w:sz w:val="24"/>
          <w:lang w:val="hu-HU"/>
        </w:rPr>
        <w:t>Draghi-jelentés, 61. o.</w:t>
      </w:r>
    </w:p>
  </w:footnote>
  <w:footnote w:id="15">
    <w:p w:rsidR="000A3FAB" w:rsidRPr="00871862" w:rsidRDefault="000A3FAB" w:rsidP="00871862">
      <w:pPr>
        <w:pStyle w:val="FootnoteText"/>
        <w:ind w:left="567" w:hanging="567"/>
        <w:rPr>
          <w:sz w:val="24"/>
          <w:lang w:val="hu-HU"/>
        </w:rPr>
      </w:pPr>
      <w:r w:rsidRPr="00871862">
        <w:rPr>
          <w:rStyle w:val="FootnoteReference"/>
          <w:sz w:val="24"/>
          <w:lang w:val="hu-HU"/>
        </w:rPr>
        <w:footnoteRef/>
      </w:r>
      <w:r w:rsidR="00871862" w:rsidRPr="00871862">
        <w:rPr>
          <w:sz w:val="24"/>
          <w:lang w:val="hu-HU"/>
        </w:rPr>
        <w:t xml:space="preserve"> </w:t>
      </w:r>
      <w:r w:rsidR="00871862" w:rsidRPr="00871862">
        <w:rPr>
          <w:sz w:val="24"/>
          <w:lang w:val="hu-HU"/>
        </w:rPr>
        <w:tab/>
      </w:r>
      <w:r w:rsidRPr="00871862">
        <w:rPr>
          <w:sz w:val="24"/>
          <w:lang w:val="hu-HU"/>
        </w:rPr>
        <w:t xml:space="preserve">Von der Leyen, Ursula, </w:t>
      </w:r>
      <w:r w:rsidRPr="00871862">
        <w:rPr>
          <w:i/>
          <w:sz w:val="24"/>
          <w:lang w:val="hu-HU"/>
        </w:rPr>
        <w:t xml:space="preserve">Europe’s Choice: </w:t>
      </w:r>
      <w:r w:rsidRPr="00871862">
        <w:rPr>
          <w:i/>
          <w:iCs/>
          <w:sz w:val="24"/>
          <w:lang w:val="hu-HU"/>
        </w:rPr>
        <w:t>Political Guidelines for the next European Commission 2024-2029</w:t>
      </w:r>
      <w:r w:rsidRPr="00871862">
        <w:rPr>
          <w:sz w:val="24"/>
          <w:lang w:val="hu-HU"/>
        </w:rPr>
        <w:t xml:space="preserve"> (Európa választása – Politikai iránymutatás a hivatalba lépő következő Európai Bizottság számára (2024–2029), 11. 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44/2025"/>
    <w:docVar w:name="dvlangue" w:val="HU"/>
    <w:docVar w:name="dvnumam" w:val="0"/>
    <w:docVar w:name="dvpe" w:val="765.133"/>
    <w:docVar w:name="dvrapporteur" w:val="Előadó: "/>
    <w:docVar w:name="dvtitre" w:val="Az Európai Parlament 2025.  ...-i állásfoglalása a bankunióról – 2024. évi éves jelentés(2024/2055(INI))"/>
  </w:docVars>
  <w:rsids>
    <w:rsidRoot w:val="00A251FA"/>
    <w:rsid w:val="00002272"/>
    <w:rsid w:val="000441EA"/>
    <w:rsid w:val="00064002"/>
    <w:rsid w:val="000677B9"/>
    <w:rsid w:val="000831BA"/>
    <w:rsid w:val="000A3FAB"/>
    <w:rsid w:val="000A42CC"/>
    <w:rsid w:val="000E7DD9"/>
    <w:rsid w:val="0010095E"/>
    <w:rsid w:val="00125B37"/>
    <w:rsid w:val="00187494"/>
    <w:rsid w:val="001F32AE"/>
    <w:rsid w:val="00217876"/>
    <w:rsid w:val="0023195B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337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1862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51FA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5D2B"/>
    <w:rsid w:val="00BD48FE"/>
    <w:rsid w:val="00BD7BD8"/>
    <w:rsid w:val="00BE6ADC"/>
    <w:rsid w:val="00BF1D81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21BB"/>
    <w:rsid w:val="00E365E1"/>
    <w:rsid w:val="00E820A4"/>
    <w:rsid w:val="00EB006A"/>
    <w:rsid w:val="00EB4772"/>
    <w:rsid w:val="00ED169E"/>
    <w:rsid w:val="00ED4235"/>
    <w:rsid w:val="00EF04D2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6BDC8B"/>
  <w15:chartTrackingRefBased/>
  <w15:docId w15:val="{4E87A5C6-AD98-452B-B40C-C44DF8366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A3FAB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0A3FAB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0A3FAB"/>
    <w:pPr>
      <w:spacing w:after="240"/>
      <w:jc w:val="center"/>
    </w:pPr>
  </w:style>
  <w:style w:type="character" w:customStyle="1" w:styleId="BoldItalic">
    <w:name w:val="BoldItalic"/>
    <w:uiPriority w:val="1"/>
    <w:rsid w:val="000A3FAB"/>
    <w:rPr>
      <w:b/>
      <w:i/>
      <w:u w:val="none"/>
    </w:rPr>
  </w:style>
  <w:style w:type="character" w:customStyle="1" w:styleId="Italic">
    <w:name w:val="Italic"/>
    <w:uiPriority w:val="1"/>
    <w:rsid w:val="000A3FAB"/>
    <w:rPr>
      <w:i/>
    </w:rPr>
  </w:style>
  <w:style w:type="paragraph" w:customStyle="1" w:styleId="Normal12a24b">
    <w:name w:val="Normal12a24b"/>
    <w:basedOn w:val="Normal"/>
    <w:rsid w:val="000A3FAB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0A3FAB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BB5D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B5D2B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1624/oj" TargetMode="External"/><Relationship Id="rId7" Type="http://schemas.openxmlformats.org/officeDocument/2006/relationships/hyperlink" Target="http://data.europa.eu/eli/reg_del/2024/2795/oj" TargetMode="External"/><Relationship Id="rId2" Type="http://schemas.openxmlformats.org/officeDocument/2006/relationships/hyperlink" Target="http://data.europa.eu/eli/dir/2024/1640/oj" TargetMode="External"/><Relationship Id="rId1" Type="http://schemas.openxmlformats.org/officeDocument/2006/relationships/hyperlink" Target="http://data.europa.eu/eli/C/2024/5706/oj" TargetMode="External"/><Relationship Id="rId6" Type="http://schemas.openxmlformats.org/officeDocument/2006/relationships/hyperlink" Target="http://data.europa.eu/eli/reg/2024/1623/oj" TargetMode="External"/><Relationship Id="rId5" Type="http://schemas.openxmlformats.org/officeDocument/2006/relationships/hyperlink" Target="http://data.europa.eu/eli/dir/2024/1619/oj" TargetMode="External"/><Relationship Id="rId4" Type="http://schemas.openxmlformats.org/officeDocument/2006/relationships/hyperlink" Target="http://data.europa.eu/eli/reg/2024/162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6DF580-CD15-4B26-993D-0251C60B6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3650</Words>
  <Characters>26752</Characters>
  <Application>Microsoft Office Word</Application>
  <DocSecurity>0</DocSecurity>
  <Lines>445</Lines>
  <Paragraphs>137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KOVACS-BOKOR Karoly</cp:lastModifiedBy>
  <cp:revision>2</cp:revision>
  <cp:lastPrinted>2004-11-19T15:42:00Z</cp:lastPrinted>
  <dcterms:created xsi:type="dcterms:W3CDTF">2025-06-03T13:10:00Z</dcterms:created>
  <dcterms:modified xsi:type="dcterms:W3CDTF">2025-06-03T13:10:00Z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A10-0044/2025</vt:lpwstr>
  </property>
  <property fmtid="{D5CDD505-2E9C-101B-9397-08002B2CF9AE}" pid="4" name="&lt;Type&gt;">
    <vt:lpwstr>RR</vt:lpwstr>
  </property>
</Properties>
</file>