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5CF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5CFB" w:rsidRDefault="00890191" w:rsidP="0010095E">
            <w:pPr>
              <w:pStyle w:val="EPName"/>
            </w:pPr>
            <w:r w:rsidRPr="00BA5CFB">
              <w:t>Európsky parlament</w:t>
            </w:r>
          </w:p>
          <w:p w:rsidR="00751A4A" w:rsidRPr="00BA5C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5CFB">
              <w:t>2024</w:t>
            </w:r>
            <w:r w:rsidR="00817416" w:rsidRPr="00BA5CFB">
              <w:t>-202</w:t>
            </w:r>
            <w:r w:rsidRPr="00BA5CF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A5CFB" w:rsidRDefault="00187494" w:rsidP="0010095E">
            <w:pPr>
              <w:pStyle w:val="EPLogo"/>
            </w:pPr>
            <w:r w:rsidRPr="00BA5CF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A5CFB" w:rsidRDefault="00D058B8" w:rsidP="004C5D52">
      <w:pPr>
        <w:pStyle w:val="LineTop"/>
      </w:pPr>
    </w:p>
    <w:p w:rsidR="00680577" w:rsidRPr="00BA5CFB" w:rsidRDefault="00890191" w:rsidP="00680577">
      <w:pPr>
        <w:pStyle w:val="EPBodyTA1"/>
      </w:pPr>
      <w:r w:rsidRPr="00BA5CFB">
        <w:t>PRIJATÉ TEXTY</w:t>
      </w:r>
    </w:p>
    <w:p w:rsidR="00D058B8" w:rsidRPr="00BA5CFB" w:rsidRDefault="00D058B8" w:rsidP="00D058B8">
      <w:pPr>
        <w:pStyle w:val="LineBottom"/>
      </w:pPr>
    </w:p>
    <w:p w:rsidR="00890191" w:rsidRPr="00BA5CFB" w:rsidRDefault="00890191" w:rsidP="00890191">
      <w:pPr>
        <w:pStyle w:val="ATHeading1"/>
      </w:pPr>
      <w:bookmarkStart w:id="0" w:name="TANumber"/>
      <w:r w:rsidRPr="00BA5CFB">
        <w:t>P10_TA(2025)0</w:t>
      </w:r>
      <w:r w:rsidR="0074667B" w:rsidRPr="00BA5CFB">
        <w:t>105</w:t>
      </w:r>
      <w:bookmarkEnd w:id="0"/>
    </w:p>
    <w:p w:rsidR="00890191" w:rsidRPr="00BA5CFB" w:rsidRDefault="00890191" w:rsidP="00890191">
      <w:pPr>
        <w:pStyle w:val="ATHeading2"/>
      </w:pPr>
      <w:bookmarkStart w:id="1" w:name="title"/>
      <w:r w:rsidRPr="00BA5CFB">
        <w:t>Banková únia – výročná správa za rok 2024</w:t>
      </w:r>
      <w:bookmarkEnd w:id="1"/>
    </w:p>
    <w:p w:rsidR="00890191" w:rsidRPr="00BA5CFB" w:rsidRDefault="00890191" w:rsidP="00890191">
      <w:pPr>
        <w:rPr>
          <w:i/>
          <w:vanish/>
        </w:rPr>
      </w:pPr>
      <w:r w:rsidRPr="00BA5CFB">
        <w:rPr>
          <w:i/>
        </w:rPr>
        <w:fldChar w:fldCharType="begin"/>
      </w:r>
      <w:r w:rsidRPr="00BA5CFB">
        <w:rPr>
          <w:i/>
        </w:rPr>
        <w:instrText xml:space="preserve"> TC"(</w:instrText>
      </w:r>
      <w:bookmarkStart w:id="2" w:name="DocNumber"/>
      <w:r w:rsidRPr="00BA5CFB">
        <w:rPr>
          <w:i/>
        </w:rPr>
        <w:instrText>A10-0044/2025</w:instrText>
      </w:r>
      <w:bookmarkEnd w:id="2"/>
      <w:r w:rsidRPr="00BA5CFB">
        <w:rPr>
          <w:i/>
        </w:rPr>
        <w:instrText xml:space="preserve"> - Spravodajca: Ralf Seekatz)"\l3 \n&gt; \* MERGEFORMAT </w:instrText>
      </w:r>
      <w:r w:rsidRPr="00BA5CFB">
        <w:rPr>
          <w:i/>
        </w:rPr>
        <w:fldChar w:fldCharType="end"/>
      </w:r>
    </w:p>
    <w:p w:rsidR="00890191" w:rsidRPr="00BA5CFB" w:rsidRDefault="00890191" w:rsidP="00890191">
      <w:pPr>
        <w:rPr>
          <w:vanish/>
        </w:rPr>
      </w:pPr>
      <w:bookmarkStart w:id="3" w:name="Commission"/>
      <w:r w:rsidRPr="00BA5CFB">
        <w:rPr>
          <w:vanish/>
        </w:rPr>
        <w:t>Výbor pre hospodárske a menové veci</w:t>
      </w:r>
      <w:bookmarkEnd w:id="3"/>
    </w:p>
    <w:p w:rsidR="00890191" w:rsidRPr="00BA5CFB" w:rsidRDefault="00890191" w:rsidP="00890191">
      <w:pPr>
        <w:rPr>
          <w:vanish/>
        </w:rPr>
      </w:pPr>
      <w:bookmarkStart w:id="4" w:name="PE"/>
      <w:r w:rsidRPr="00BA5CFB">
        <w:rPr>
          <w:vanish/>
        </w:rPr>
        <w:t>PE765.133</w:t>
      </w:r>
      <w:bookmarkEnd w:id="4"/>
    </w:p>
    <w:p w:rsidR="00890191" w:rsidRPr="00BA5CFB" w:rsidRDefault="00890191" w:rsidP="00890191">
      <w:pPr>
        <w:pStyle w:val="ATHeading3"/>
      </w:pPr>
      <w:bookmarkStart w:id="5" w:name="Sujet"/>
      <w:r w:rsidRPr="00BA5CFB">
        <w:t>Uznesenie Európskeho parlamentu z</w:t>
      </w:r>
      <w:r w:rsidR="0074667B" w:rsidRPr="00BA5CFB">
        <w:t> 8</w:t>
      </w:r>
      <w:r w:rsidRPr="00BA5CFB">
        <w:t>. mája 2025 o bankovej únii – výročná správa za rok 2024</w:t>
      </w:r>
      <w:bookmarkEnd w:id="5"/>
      <w:r w:rsidRPr="00BA5CFB">
        <w:t xml:space="preserve"> </w:t>
      </w:r>
      <w:bookmarkStart w:id="6" w:name="References"/>
      <w:r w:rsidRPr="00BA5CFB">
        <w:t>(2024/2055(INI))</w:t>
      </w:r>
      <w:bookmarkEnd w:id="6"/>
    </w:p>
    <w:p w:rsidR="004F0778" w:rsidRPr="00BA5CFB" w:rsidRDefault="004F0778" w:rsidP="004F0778">
      <w:pPr>
        <w:pStyle w:val="EPComma"/>
      </w:pPr>
      <w:r w:rsidRPr="00BA5CFB">
        <w:rPr>
          <w:rStyle w:val="Italic"/>
        </w:rPr>
        <w:t>Európsky parlamen</w:t>
      </w:r>
      <w:r w:rsidRPr="00BA5CFB">
        <w:t>t,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svoje uznesenie zo 16. januára 2024 o bankovej únii – výročná správa za rok 2023</w:t>
      </w:r>
      <w:r w:rsidRPr="00BA5CFB">
        <w:rPr>
          <w:rStyle w:val="FootnoteReference"/>
        </w:rPr>
        <w:footnoteReference w:id="1"/>
      </w:r>
      <w:r w:rsidRPr="00BA5CFB">
        <w:t>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opatrenia Komisie prijaté v nadväznosti na uznesenie Európskeho parlamentu zo 16. januára 2024 o bankovej únii – výročná správa za rok 2023,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 xml:space="preserve">so zreteľom na dokument Európskej centrálnej banky (ďalej len „ECB“) z 25. marca 2024 s názvom Feedback on </w:t>
      </w:r>
      <w:proofErr w:type="spellStart"/>
      <w:r w:rsidRPr="00BA5CFB">
        <w:t>the</w:t>
      </w:r>
      <w:proofErr w:type="spellEnd"/>
      <w:r w:rsidRPr="00BA5CFB">
        <w:t xml:space="preserve"> </w:t>
      </w:r>
      <w:proofErr w:type="spellStart"/>
      <w:r w:rsidRPr="00BA5CFB">
        <w:t>input</w:t>
      </w:r>
      <w:proofErr w:type="spellEnd"/>
      <w:r w:rsidRPr="00BA5CFB">
        <w:t xml:space="preserve"> </w:t>
      </w:r>
      <w:proofErr w:type="spellStart"/>
      <w:r w:rsidRPr="00BA5CFB">
        <w:t>provided</w:t>
      </w:r>
      <w:proofErr w:type="spellEnd"/>
      <w:r w:rsidRPr="00BA5CFB">
        <w:t xml:space="preserve"> by </w:t>
      </w:r>
      <w:proofErr w:type="spellStart"/>
      <w:r w:rsidRPr="00BA5CFB">
        <w:t>the</w:t>
      </w:r>
      <w:proofErr w:type="spellEnd"/>
      <w:r w:rsidRPr="00BA5CFB">
        <w:t xml:space="preserve"> European Parliament as part of </w:t>
      </w:r>
      <w:proofErr w:type="spellStart"/>
      <w:r w:rsidRPr="00BA5CFB">
        <w:t>its</w:t>
      </w:r>
      <w:proofErr w:type="spellEnd"/>
      <w:r w:rsidRPr="00BA5CFB">
        <w:t xml:space="preserve"> „</w:t>
      </w:r>
      <w:proofErr w:type="spellStart"/>
      <w:r w:rsidRPr="00BA5CFB">
        <w:t>Resolution</w:t>
      </w:r>
      <w:proofErr w:type="spellEnd"/>
      <w:r w:rsidRPr="00BA5CFB">
        <w:t xml:space="preserve"> on Banking </w:t>
      </w:r>
      <w:proofErr w:type="spellStart"/>
      <w:r w:rsidRPr="00BA5CFB">
        <w:t>Union</w:t>
      </w:r>
      <w:proofErr w:type="spellEnd"/>
      <w:r w:rsidRPr="00BA5CFB">
        <w:t> – </w:t>
      </w:r>
      <w:proofErr w:type="spellStart"/>
      <w:r w:rsidRPr="00BA5CFB">
        <w:t>Annual</w:t>
      </w:r>
      <w:proofErr w:type="spellEnd"/>
      <w:r w:rsidRPr="00BA5CFB">
        <w:t xml:space="preserve"> Report 2023“ (Spätná väzba k príspevku, ktorý poskytol Európsky parlament vo svojom uznesení o bankovej únii – výročná správa za rok 2023),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výročnú správu ECB o činnostiach dohľadu za rok 2023, ktorá bola uverejnená v marci 2024,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výročnú správu Jednotnej rady pre riešenie krízových situácií (ďalej len „SRB“) za rok 2023 z 28. júna 2024,</w:t>
      </w:r>
    </w:p>
    <w:p w:rsidR="004F0778" w:rsidRPr="00BA5CFB" w:rsidRDefault="004F0778" w:rsidP="004F0778">
      <w:pPr>
        <w:pStyle w:val="NormalHanging12a"/>
      </w:pPr>
      <w:r w:rsidRPr="00BA5CFB">
        <w:lastRenderedPageBreak/>
        <w:t>–</w:t>
      </w:r>
      <w:r w:rsidRPr="00BA5CFB">
        <w:tab/>
        <w:t>so zreteľom na prijatie smernice o boji proti praniu špinavých peňazí (AMLD)</w:t>
      </w:r>
      <w:r w:rsidRPr="00BA5CFB">
        <w:rPr>
          <w:rStyle w:val="FootnoteReference"/>
        </w:rPr>
        <w:footnoteReference w:id="2"/>
      </w:r>
      <w:r w:rsidRPr="00BA5CFB">
        <w:t xml:space="preserve"> a nariadenia o boji proti praniu špinavých peňazí (AMLR)</w:t>
      </w:r>
      <w:r w:rsidRPr="00BA5CFB">
        <w:rPr>
          <w:rStyle w:val="FootnoteReference"/>
        </w:rPr>
        <w:footnoteReference w:id="3"/>
      </w:r>
      <w:r w:rsidRPr="00BA5CFB">
        <w:t xml:space="preserve"> a na zriadenie Úradu pre boj proti praniu špinavých peňazí (AMLA)</w:t>
      </w:r>
      <w:r w:rsidRPr="00BA5CFB">
        <w:rPr>
          <w:rStyle w:val="FootnoteReference"/>
        </w:rPr>
        <w:footnoteReference w:id="4"/>
      </w:r>
      <w:r w:rsidRPr="00BA5CFB">
        <w:t>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vykonávanie noriem Bazilej III, konkrétne na prijatie zmien smernice o kapitálových požiadavkách</w:t>
      </w:r>
      <w:r w:rsidRPr="00BA5CFB">
        <w:rPr>
          <w:rStyle w:val="FootnoteReference"/>
        </w:rPr>
        <w:footnoteReference w:id="5"/>
      </w:r>
      <w:r w:rsidRPr="00BA5CFB">
        <w:t xml:space="preserve"> a nariadenia o kapitálových požiadavkách</w:t>
      </w:r>
      <w:r w:rsidRPr="00BA5CFB">
        <w:rPr>
          <w:rStyle w:val="FootnoteReference"/>
        </w:rPr>
        <w:footnoteReference w:id="6"/>
      </w:r>
      <w:r w:rsidRPr="00BA5CFB">
        <w:t>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prijatie delegovaného nariadenia Komisie (EÚ) 2024/2795 z 24. júla 2024, ktorým sa mení nariadenie Európskeho parlamentu a Rady (EÚ) č. 575/2013, pokiaľ ide o dátum uplatňovania požiadaviek na vlastné zdroje pre trhové riziko</w:t>
      </w:r>
      <w:r w:rsidRPr="00BA5CFB">
        <w:rPr>
          <w:rStyle w:val="FootnoteReference"/>
        </w:rPr>
        <w:footnoteReference w:id="7"/>
      </w:r>
      <w:r w:rsidRPr="00BA5CFB">
        <w:t>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svoju pozíciu v prvom čítaní z 24. apríla 2024 k návrhu nariadenia Európskeho parlamentu a Rady, ktorým sa mení nariadenie (EÚ) č. 806/2014, pokiaľ ide o opatrenia včasnej intervencie, podmienky pre riešenie krízových situácií a financovanie opatrení na riešenie krízových situácií</w:t>
      </w:r>
      <w:r w:rsidRPr="00BA5CFB">
        <w:rPr>
          <w:rStyle w:val="FootnoteReference"/>
        </w:rPr>
        <w:footnoteReference w:id="8"/>
      </w:r>
      <w:r w:rsidRPr="00BA5CFB">
        <w:t>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svoju pozíciu v prvom čítaní z 24. apríla 2024 k návrhu smernice Európskeho parlamentu a Rady, ktorou sa mení smernica 2014/59/EÚ, pokiaľ ide o opatrenia včasnej intervencie, podmienky riešenia krízových situácií a financovanie opatrení na riešenie krízových situácií</w:t>
      </w:r>
      <w:r w:rsidRPr="00BA5CFB">
        <w:rPr>
          <w:rStyle w:val="FootnoteReference"/>
        </w:rPr>
        <w:footnoteReference w:id="9"/>
      </w:r>
      <w:r w:rsidRPr="00BA5CFB">
        <w:t>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 xml:space="preserve">so zreteľom na svoju pozíciu v prvom čítaní z 24. apríla 2024 k návrhu smernice Európskeho parlamentu a Rady, ktorou sa mení smernica 2014/49/EÚ, pokiaľ ide o </w:t>
      </w:r>
      <w:r w:rsidRPr="00BA5CFB">
        <w:lastRenderedPageBreak/>
        <w:t>rozsah ochrany vkladov, využívanie fondov systémov ochrany vkladov, cezhraničnú spoluprácu a transparentnosť</w:t>
      </w:r>
      <w:r w:rsidRPr="00BA5CFB">
        <w:rPr>
          <w:rStyle w:val="FootnoteReference"/>
        </w:rPr>
        <w:footnoteReference w:id="10"/>
      </w:r>
      <w:r w:rsidRPr="00BA5CFB">
        <w:t>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správu svojho Výboru pre hospodárske a menové veci z 23. apríla 2024 k návrhu nariadenia Európskeho parlamentu a Rady, ktorým sa mení nariadenie (EÚ) č. 806/2014 s cieľom vytvoriť európsky systém ochrany vkladov,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 xml:space="preserve">so zreteľom na návrh Komisie zo 14. marca 2018 na smernicu Európskeho parlamentu a Rady o správcoch úverov, nákupcoch úverov a vymáhaní </w:t>
      </w:r>
      <w:proofErr w:type="spellStart"/>
      <w:r w:rsidRPr="00BA5CFB">
        <w:t>kolaterálu</w:t>
      </w:r>
      <w:proofErr w:type="spellEnd"/>
      <w:r w:rsidRPr="00BA5CFB">
        <w:t xml:space="preserve"> (COM(2018)</w:t>
      </w:r>
      <w:r w:rsidR="00F421F0" w:rsidRPr="00BA5CFB">
        <w:t>0</w:t>
      </w:r>
      <w:r w:rsidRPr="00BA5CFB">
        <w:t>135),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správu piatich predsedov z 22. júna 2015 s názvom Dobudovanie hospodárskej a menovej únie v Európe,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 xml:space="preserve">so zreteľom na správu </w:t>
      </w:r>
      <w:proofErr w:type="spellStart"/>
      <w:r w:rsidRPr="00BA5CFB">
        <w:t>Enrica</w:t>
      </w:r>
      <w:proofErr w:type="spellEnd"/>
      <w:r w:rsidRPr="00BA5CFB">
        <w:t xml:space="preserve"> </w:t>
      </w:r>
      <w:proofErr w:type="spellStart"/>
      <w:r w:rsidRPr="00BA5CFB">
        <w:t>Lettu</w:t>
      </w:r>
      <w:proofErr w:type="spellEnd"/>
      <w:r w:rsidRPr="00BA5CFB">
        <w:t xml:space="preserve"> z 10. apríla 2024 s názvom Oveľa viac než len trh – rýchlosť, bezpečnosť, solidarita: posilnenie jednotného trhu s cieľom zabezpečiť udržateľnú budúcnosť a prosperitu pre všetkých občanov EÚ,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 xml:space="preserve">so zreteľom na správu Maria </w:t>
      </w:r>
      <w:proofErr w:type="spellStart"/>
      <w:r w:rsidRPr="00BA5CFB">
        <w:t>Draghiho</w:t>
      </w:r>
      <w:proofErr w:type="spellEnd"/>
      <w:r w:rsidRPr="00BA5CFB">
        <w:t xml:space="preserve"> z 9. septembra 2024 o budúcnosti európskej konkurencieschopnosti,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 xml:space="preserve">so zreteľom na vyhlásenie </w:t>
      </w:r>
      <w:proofErr w:type="spellStart"/>
      <w:r w:rsidRPr="00BA5CFB">
        <w:t>Euroskupiny</w:t>
      </w:r>
      <w:proofErr w:type="spellEnd"/>
      <w:r w:rsidRPr="00BA5CFB">
        <w:t xml:space="preserve"> z 11. marca 2024 o budúcnosti únie kapitálových trhov a na vyhlásenie </w:t>
      </w:r>
      <w:proofErr w:type="spellStart"/>
      <w:r w:rsidRPr="00BA5CFB">
        <w:t>Euroskupiny</w:t>
      </w:r>
      <w:proofErr w:type="spellEnd"/>
      <w:r w:rsidRPr="00BA5CFB">
        <w:t xml:space="preserve"> zo 16. júna 2022 o budúcnosti bankovej únie a následné opatrenia </w:t>
      </w:r>
      <w:proofErr w:type="spellStart"/>
      <w:r w:rsidRPr="00BA5CFB">
        <w:t>Euroskupiny</w:t>
      </w:r>
      <w:proofErr w:type="spellEnd"/>
      <w:r w:rsidRPr="00BA5CFB">
        <w:t xml:space="preserve"> z 28. apríla 2023,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 xml:space="preserve">so zreteľom na rámec Bazilejského výboru pre bankový dohľad pre zverejňovanie informácií o expozíciách bánk voči </w:t>
      </w:r>
      <w:proofErr w:type="spellStart"/>
      <w:r w:rsidRPr="00BA5CFB">
        <w:t>kryptoaktívam</w:t>
      </w:r>
      <w:proofErr w:type="spellEnd"/>
      <w:r w:rsidRPr="00BA5CFB">
        <w:t xml:space="preserve"> a na cielené zmeny jeho </w:t>
      </w:r>
      <w:proofErr w:type="spellStart"/>
      <w:r w:rsidRPr="00BA5CFB">
        <w:t>prudenciálnej</w:t>
      </w:r>
      <w:proofErr w:type="spellEnd"/>
      <w:r w:rsidRPr="00BA5CFB">
        <w:t xml:space="preserve"> normy pre expozície bánk voči </w:t>
      </w:r>
      <w:proofErr w:type="spellStart"/>
      <w:r w:rsidRPr="00BA5CFB">
        <w:t>kryptoaktívam</w:t>
      </w:r>
      <w:proofErr w:type="spellEnd"/>
      <w:r w:rsidRPr="00BA5CFB">
        <w:t>, ktoré boli uverejnené 17. júla 2024,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základné zásady účinného bankového dohľadu Bazilejského výboru pre bankový dohľad uverejnené 25. apríla 2024,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správu ECB o finančnej stabilite z mája 2024,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</w:r>
      <w:r w:rsidRPr="00BA5CFB">
        <w:rPr>
          <w:snapToGrid/>
        </w:rPr>
        <w:t>so zreteľom na príležitostnú správu ECB č. 328 z roku 2023 s názvom Cesta do Paríža: záťažové testovanie prechodu na emisne neutrálne hospodárstvo,</w:t>
      </w:r>
    </w:p>
    <w:p w:rsidR="004F0778" w:rsidRPr="00BA5CFB" w:rsidRDefault="004F0778" w:rsidP="004F0778">
      <w:pPr>
        <w:pStyle w:val="NormalHanging12a"/>
        <w:rPr>
          <w:snapToGrid/>
          <w:szCs w:val="24"/>
        </w:rPr>
      </w:pPr>
      <w:r w:rsidRPr="00BA5CFB">
        <w:t>–</w:t>
      </w:r>
      <w:r w:rsidRPr="00BA5CFB">
        <w:tab/>
      </w:r>
      <w:r w:rsidRPr="00BA5CFB">
        <w:rPr>
          <w:snapToGrid/>
        </w:rPr>
        <w:t xml:space="preserve">so zreteľom na publikáciu Rady pre finančnú stabilitu z 9. novembra 2015 s názvom Zásady týkajúce sa kapacity bánk G-SIB na absorpciu strát a </w:t>
      </w:r>
      <w:proofErr w:type="spellStart"/>
      <w:r w:rsidRPr="00BA5CFB">
        <w:rPr>
          <w:snapToGrid/>
        </w:rPr>
        <w:t>rekapitalizáciu</w:t>
      </w:r>
      <w:proofErr w:type="spellEnd"/>
      <w:r w:rsidRPr="00BA5CFB">
        <w:rPr>
          <w:snapToGrid/>
        </w:rPr>
        <w:t xml:space="preserve"> pri riešení krízových situácií,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</w:r>
      <w:r w:rsidRPr="00BA5CFB">
        <w:rPr>
          <w:snapToGrid/>
        </w:rPr>
        <w:t>so zreteľom na správu Rady pre finančnú stabilitu z 10. októbra 2023 s názvom Zlyhania bánk 2023 – predbežné poznatky získané na riešenie krízových situácií,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 xml:space="preserve">so zreteľom na pracovný dokument </w:t>
      </w:r>
      <w:proofErr w:type="spellStart"/>
      <w:r w:rsidRPr="00BA5CFB">
        <w:t>Petersonovho</w:t>
      </w:r>
      <w:proofErr w:type="spellEnd"/>
      <w:r w:rsidRPr="00BA5CFB">
        <w:t xml:space="preserve"> inštitútu pre medzinárodnú ekonomiku č. 24 – 15 z 25. júna 2024 s názvom </w:t>
      </w:r>
      <w:proofErr w:type="spellStart"/>
      <w:r w:rsidRPr="00BA5CFB">
        <w:t>Europe’s</w:t>
      </w:r>
      <w:proofErr w:type="spellEnd"/>
      <w:r w:rsidRPr="00BA5CFB">
        <w:t xml:space="preserve"> banking </w:t>
      </w:r>
      <w:proofErr w:type="spellStart"/>
      <w:r w:rsidRPr="00BA5CFB">
        <w:t>union</w:t>
      </w:r>
      <w:proofErr w:type="spellEnd"/>
      <w:r w:rsidRPr="00BA5CFB">
        <w:t xml:space="preserve"> at ten: </w:t>
      </w:r>
      <w:proofErr w:type="spellStart"/>
      <w:r w:rsidRPr="00BA5CFB">
        <w:lastRenderedPageBreak/>
        <w:t>unfinished</w:t>
      </w:r>
      <w:proofErr w:type="spellEnd"/>
      <w:r w:rsidRPr="00BA5CFB">
        <w:t xml:space="preserve"> </w:t>
      </w:r>
      <w:proofErr w:type="spellStart"/>
      <w:r w:rsidRPr="00BA5CFB">
        <w:t>yet</w:t>
      </w:r>
      <w:proofErr w:type="spellEnd"/>
      <w:r w:rsidRPr="00BA5CFB">
        <w:t xml:space="preserve"> </w:t>
      </w:r>
      <w:proofErr w:type="spellStart"/>
      <w:r w:rsidRPr="00BA5CFB">
        <w:t>transformative</w:t>
      </w:r>
      <w:proofErr w:type="spellEnd"/>
      <w:r w:rsidRPr="00BA5CFB">
        <w:t xml:space="preserve"> (Európska banková únia po desiatich rokoch:  nedokončená, ale transformačná)</w:t>
      </w:r>
      <w:r w:rsidRPr="00BA5CFB">
        <w:rPr>
          <w:rStyle w:val="FootnoteReference"/>
        </w:rPr>
        <w:footnoteReference w:id="11"/>
      </w:r>
      <w:r w:rsidRPr="00BA5CFB">
        <w:t>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priority dohľadu jednotného mechanizmu dohľadu na roky 2024 – 2026 uverejnené v decembri 2023,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 xml:space="preserve">so zreteľom na polročnú správu SRB pre </w:t>
      </w:r>
      <w:proofErr w:type="spellStart"/>
      <w:r w:rsidRPr="00BA5CFB">
        <w:t>Euroskupinu</w:t>
      </w:r>
      <w:proofErr w:type="spellEnd"/>
      <w:r w:rsidRPr="00BA5CFB">
        <w:t xml:space="preserve"> z 13. mája 2024,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výsledok celoeurópskeho hodnotenia transparentnosti Európskeho orgánu pre bankovníctvo za rok 2023, ktoré bolo zverejnené 28. júla 2023,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 xml:space="preserve">so zreteľom na osobitnú správu Európskeho </w:t>
      </w:r>
      <w:r w:rsidR="00975665">
        <w:t xml:space="preserve">dvora audítorov </w:t>
      </w:r>
      <w:r w:rsidRPr="00BA5CFB">
        <w:t>12/2023</w:t>
      </w:r>
      <w:r w:rsidR="00975665">
        <w:t xml:space="preserve"> z 12. mája 2023</w:t>
      </w:r>
      <w:bookmarkStart w:id="7" w:name="_GoBack"/>
      <w:bookmarkEnd w:id="7"/>
      <w:r w:rsidRPr="00BA5CFB">
        <w:t>: Dohľad EÚ nad úverovým rizikom bánk – ECB zintenzívnila svoje úsilie, ale na zvýšenie istoty, že úverové riziko je riadne riadené a kryté, treba viac,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 xml:space="preserve">so zreteľom na vyhlásenia </w:t>
      </w:r>
      <w:proofErr w:type="spellStart"/>
      <w:r w:rsidRPr="00BA5CFB">
        <w:t>Claudie</w:t>
      </w:r>
      <w:proofErr w:type="spellEnd"/>
      <w:r w:rsidRPr="00BA5CFB">
        <w:t xml:space="preserve"> </w:t>
      </w:r>
      <w:proofErr w:type="spellStart"/>
      <w:r w:rsidRPr="00BA5CFB">
        <w:t>Buchovej</w:t>
      </w:r>
      <w:proofErr w:type="spellEnd"/>
      <w:r w:rsidRPr="00BA5CFB">
        <w:t>, predsedníčky Rady pre dohľad ECB, na vypočutiach vo Výbore pre hospodárske a menové veci Európskeho parlamentu 21. marca 2024 a 2. septembra 2024,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 xml:space="preserve">so zreteľom na vyhlásenia </w:t>
      </w:r>
      <w:proofErr w:type="spellStart"/>
      <w:r w:rsidRPr="00BA5CFB">
        <w:t>Dominiqua</w:t>
      </w:r>
      <w:proofErr w:type="spellEnd"/>
      <w:r w:rsidRPr="00BA5CFB">
        <w:t xml:space="preserve"> </w:t>
      </w:r>
      <w:proofErr w:type="spellStart"/>
      <w:r w:rsidRPr="00BA5CFB">
        <w:t>Laboureixa</w:t>
      </w:r>
      <w:proofErr w:type="spellEnd"/>
      <w:r w:rsidRPr="00BA5CFB">
        <w:t>, predsedu SRB, na vypočutiach vo Výbore pre hospodárske a menové veci Európskeho parlamentu 21. marca 2024 a 23. septembra 2024,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</w:r>
      <w:r w:rsidRPr="00BA5CFB">
        <w:rPr>
          <w:snapToGrid/>
        </w:rPr>
        <w:t>so zreteľom na správy Európskeho orgánu pre bankovníctvo o posúdení rizík z júla 2024 a decembra 2024,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 svoje uznesenie zo 14. marca 2019 o rodovej rovnováhe pri navrhovaní kandidátov v oblasti hospodárskych a menových záležitostí EÚ</w:t>
      </w:r>
      <w:r w:rsidRPr="00BA5CFB">
        <w:rPr>
          <w:rStyle w:val="FootnoteReference"/>
        </w:rPr>
        <w:footnoteReference w:id="12"/>
      </w:r>
      <w:r w:rsidRPr="00BA5CFB">
        <w:t>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</w:r>
      <w:r w:rsidRPr="00BA5CFB">
        <w:rPr>
          <w:snapToGrid/>
        </w:rPr>
        <w:t>so zreteľom na svoje uznesenie z 25. marca 2021 o posilnení medzinárodnej úlohy eura</w:t>
      </w:r>
      <w:r w:rsidRPr="00BA5CFB">
        <w:rPr>
          <w:rStyle w:val="FootnoteReference"/>
          <w:snapToGrid/>
          <w:szCs w:val="24"/>
          <w:lang w:eastAsia="en-GB"/>
        </w:rPr>
        <w:footnoteReference w:id="13"/>
      </w:r>
      <w:r w:rsidRPr="00BA5CFB">
        <w:rPr>
          <w:snapToGrid/>
        </w:rPr>
        <w:t>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článok 55 rokovacieho poriadku,</w:t>
      </w:r>
    </w:p>
    <w:p w:rsidR="004F0778" w:rsidRPr="00BA5CFB" w:rsidRDefault="004F0778" w:rsidP="004F0778">
      <w:pPr>
        <w:pStyle w:val="NormalHanging12a"/>
      </w:pPr>
      <w:r w:rsidRPr="00BA5CFB">
        <w:t>–</w:t>
      </w:r>
      <w:r w:rsidRPr="00BA5CFB">
        <w:tab/>
        <w:t>so zreteľom na správu Výboru pre hospodárske a menové veci (A10-0044/2025),</w:t>
      </w:r>
    </w:p>
    <w:p w:rsidR="004F0778" w:rsidRPr="00BA5CFB" w:rsidRDefault="004F0778" w:rsidP="004F0778">
      <w:pPr>
        <w:pStyle w:val="NormalHanging12a"/>
      </w:pPr>
      <w:r w:rsidRPr="00BA5CFB">
        <w:t>A.</w:t>
      </w:r>
      <w:r w:rsidRPr="00BA5CFB">
        <w:tab/>
        <w:t>keďže banková únia zahŕňa jednotný mechanizmus dohľadu, jednotný mechanizmus riešenia krízových situácií a európsky systém ochrany vkladov, ktorý ešte stále chýba;</w:t>
      </w:r>
    </w:p>
    <w:p w:rsidR="004F0778" w:rsidRPr="00BA5CFB" w:rsidRDefault="004F0778" w:rsidP="004F0778">
      <w:pPr>
        <w:pStyle w:val="NormalHanging12a"/>
      </w:pPr>
      <w:r w:rsidRPr="00BA5CFB">
        <w:t xml:space="preserve">B. </w:t>
      </w:r>
      <w:r w:rsidRPr="00BA5CFB">
        <w:tab/>
        <w:t>keďže hlavným cieľom bankovej únie je zabezpečiť stabilitu bankového sektora v Európe a zabrániť potrebe zachraňovať banky, ktorým hrozí zlyhanie, z peňazí daňových poplatníkov;</w:t>
      </w:r>
    </w:p>
    <w:p w:rsidR="004F0778" w:rsidRPr="00BA5CFB" w:rsidRDefault="004F0778" w:rsidP="004F0778">
      <w:pPr>
        <w:pStyle w:val="NormalHanging12a"/>
      </w:pPr>
      <w:r w:rsidRPr="00BA5CFB">
        <w:t>C.</w:t>
      </w:r>
      <w:r w:rsidRPr="00BA5CFB">
        <w:tab/>
        <w:t xml:space="preserve">keďže dobudovaná banková únia by predstavovala pozitívny vývoj pre občanov a hospodárstvo EÚ, pretože by zlepšila konkurencieschopnosť a stabilitu bankového systému, znížila systémové riziko, rozšírila ponuku a výber pre spotrebiteľov a ponúkla </w:t>
      </w:r>
      <w:r w:rsidRPr="00BA5CFB">
        <w:lastRenderedPageBreak/>
        <w:t>viac príležitostí pre cezhraničné bankovníctvo, čo by zlepšilo prístup domácností a podnikov k financovaniu, a teda znížilo náklady pre klientov bánk a zároveň zabezpečilo, aby sa verejné prostriedky nevyužívali na záchranu bankového sektora; keďže riziko súvisiace s bankami, ktoré sú „príliš veľké na vyhlásenie úpadku“, ešte nebolo v plnej miere zohľadnené;</w:t>
      </w:r>
    </w:p>
    <w:p w:rsidR="004F0778" w:rsidRPr="00BA5CFB" w:rsidRDefault="004F0778" w:rsidP="004F0778">
      <w:pPr>
        <w:pStyle w:val="NormalHanging12a"/>
      </w:pPr>
      <w:r w:rsidRPr="00BA5CFB">
        <w:t xml:space="preserve">D. </w:t>
      </w:r>
      <w:r w:rsidRPr="00BA5CFB">
        <w:tab/>
        <w:t>keďže dokončenie reformy rámcov EÚ pre krízové riadenie bánk a ochranu vkladov so zameraním najmä na malé a stredné banky má zásadný význam pre zaistenie bezpečnosti, stability a odolnosti európskeho bankového sektora; keďže dobudovaná banková únia so skutočným európskym systémom ochrany vkladov je základnou podmienkou na zabezpečenie dôvery občanov v európske banky;</w:t>
      </w:r>
    </w:p>
    <w:p w:rsidR="004F0778" w:rsidRPr="00BA5CFB" w:rsidRDefault="004F0778" w:rsidP="004F0778">
      <w:pPr>
        <w:pStyle w:val="NormalHanging12a"/>
      </w:pPr>
      <w:r w:rsidRPr="00BA5CFB">
        <w:t>E.</w:t>
      </w:r>
      <w:r w:rsidRPr="00BA5CFB">
        <w:tab/>
        <w:t>keďže rozdrobenosť a nedostatočná cezhraničná konsolidácia bankového sektora EÚ ovplyvňuje jeho svetovú konkurencieschopnosť; keďže rozdiel v ziskovosti bánk EÚ a USA sa prehlbuje;</w:t>
      </w:r>
    </w:p>
    <w:p w:rsidR="004F0778" w:rsidRPr="00BA5CFB" w:rsidRDefault="004F0778" w:rsidP="004F0778">
      <w:pPr>
        <w:pStyle w:val="NormalHanging12a"/>
      </w:pPr>
      <w:r w:rsidRPr="00BA5CFB">
        <w:t>F.</w:t>
      </w:r>
      <w:r w:rsidRPr="00BA5CFB">
        <w:tab/>
        <w:t xml:space="preserve">keďže silné a diverzifikované bankovníctvo je kľúčom k dosiahnutiu hospodárskeho rastu, zvýšeniu možnosti vlastniť nehnuteľnosť, podpore investícií a tvorby pracovných miest, financovaniu malých a stredných podnikov (MSP) a </w:t>
      </w:r>
      <w:proofErr w:type="spellStart"/>
      <w:r w:rsidRPr="00BA5CFB">
        <w:t>startupov</w:t>
      </w:r>
      <w:proofErr w:type="spellEnd"/>
      <w:r w:rsidRPr="00BA5CFB">
        <w:t xml:space="preserve"> a k zabezpečeniu prechodu na zelené a digitálne hospodárstvo;</w:t>
      </w:r>
    </w:p>
    <w:p w:rsidR="004F0778" w:rsidRPr="00BA5CFB" w:rsidRDefault="004F0778" w:rsidP="004F0778">
      <w:pPr>
        <w:pStyle w:val="NormalHanging12a"/>
      </w:pPr>
      <w:r w:rsidRPr="00BA5CFB">
        <w:t>G.</w:t>
      </w:r>
      <w:r w:rsidRPr="00BA5CFB">
        <w:tab/>
        <w:t>keďže približne 80 % vonkajšieho financovania spoločností EÚ pochádza z bánk, zatiaľ čo len 20 % z kapitálových trhov; keďže len 30 % úverov amerických firiem poskytli banky, zatiaľ čo 70 % je financovaných kapitálovými trhmi vrátane držby podnikových dlhopisov a akcií;</w:t>
      </w:r>
    </w:p>
    <w:p w:rsidR="004F0778" w:rsidRPr="00BA5CFB" w:rsidRDefault="004F0778" w:rsidP="004F0778">
      <w:pPr>
        <w:pStyle w:val="NormalHanging12a"/>
      </w:pPr>
      <w:r w:rsidRPr="00BA5CFB">
        <w:t>H.</w:t>
      </w:r>
      <w:r w:rsidRPr="00BA5CFB">
        <w:tab/>
        <w:t>keďže nesplácané úvery vo výške 356,1 miliardy EUR vykázané v 110 inštitúciách pod dohľadom v roku 2024 v porovnaní s nesplácanými úvermi vo výške 988,9 miliardy EUR vykázanými v 102 inštitúciách pod dohľadom v druhom štvrťroku 2015 odrážajú výrazný klesajúci trend, pričom celkový objem nesplácaných úverov zostáva na úrovni 36 % roku 2015; keďže je potrebné ďalšie úsilie;</w:t>
      </w:r>
    </w:p>
    <w:p w:rsidR="004F0778" w:rsidRPr="00BA5CFB" w:rsidRDefault="004F0778" w:rsidP="004F0778">
      <w:pPr>
        <w:pStyle w:val="NormalHanging12a"/>
      </w:pPr>
      <w:r w:rsidRPr="00BA5CFB">
        <w:t>I.</w:t>
      </w:r>
      <w:r w:rsidRPr="00BA5CFB">
        <w:tab/>
        <w:t xml:space="preserve">keďže v apríli 2024 </w:t>
      </w:r>
      <w:r w:rsidR="00B90AD5" w:rsidRPr="00BA5CFB">
        <w:t>Európsky p</w:t>
      </w:r>
      <w:r w:rsidRPr="00BA5CFB">
        <w:t>arlament prijal pozíciu k preskúmaniu rámca pre krízové riadenie bánk a ochranu vkladov;</w:t>
      </w:r>
    </w:p>
    <w:p w:rsidR="004F0778" w:rsidRPr="00BA5CFB" w:rsidRDefault="004F0778" w:rsidP="004F0778">
      <w:pPr>
        <w:pStyle w:val="NormalHanging12a"/>
      </w:pPr>
      <w:r w:rsidRPr="00BA5CFB">
        <w:t>J.</w:t>
      </w:r>
      <w:r w:rsidRPr="00BA5CFB">
        <w:tab/>
        <w:t>keďže Výbor pre hospodárske a menové veci prijal v apríli 2024 správu o návrhu Komisie na zriadenie európskeho systému ochrany vkladov;</w:t>
      </w:r>
    </w:p>
    <w:p w:rsidR="004F0778" w:rsidRPr="00BA5CFB" w:rsidRDefault="004F0778" w:rsidP="004F0778">
      <w:pPr>
        <w:pStyle w:val="NormalHanging12a"/>
      </w:pPr>
      <w:r w:rsidRPr="00BA5CFB">
        <w:t>K.</w:t>
      </w:r>
      <w:r w:rsidRPr="00BA5CFB">
        <w:tab/>
        <w:t>keďže finančné inštitúcie sa čoraz viac spoliehajú na využívanie informačných a komunikačných technológií (ďalej len „IKT“); keďže digitalizácia financií poskytuje bankovému sektoru kľúčové príležitosti a priniesla významný technologický pokrok v bankovom sektore EÚ prostredníctvom vyššej efektívnosti pri poskytovaní bankových služieb a väčšieho záujmu o inovácie; keďže predstavuje aj výzvy, a to aj pokiaľ ide o ochranu údajov, riziká poškodenia dobrej povesti, boj proti praniu špinavých peňazí a obavy o ochranu spotrebiteľa; keďže bankový sektor EÚ musí zvýšiť svoju kybernetickú odolnosť s cieľom zabezpečiť, aby systémy IKT dokázali odolávať rôznym druhom hrozieb v oblasti kybernetickej bezpečnosti; keďže ECB v súčasnosti skúma zavedenie digitálneho eura;</w:t>
      </w:r>
    </w:p>
    <w:p w:rsidR="004F0778" w:rsidRPr="00BA5CFB" w:rsidRDefault="004F0778" w:rsidP="004F0778">
      <w:pPr>
        <w:pStyle w:val="NormalHanging12a"/>
      </w:pPr>
      <w:r w:rsidRPr="00BA5CFB">
        <w:t>L.</w:t>
      </w:r>
      <w:r w:rsidRPr="00BA5CFB">
        <w:tab/>
        <w:t xml:space="preserve">keďže banky EÚ odolávajú vplyvu ruskej agresie; keďže zohrávajú kľúčovú úlohu pri zabezpečovaní pokračujúceho vykonávania a dodržiavania sankcií, ktoré uvalila EÚ </w:t>
      </w:r>
      <w:r w:rsidRPr="00BA5CFB">
        <w:lastRenderedPageBreak/>
        <w:t>voči Rusku v reakcii na inváziu; keďže na zamedzenie obchádzania sankcií je potrebná ďalšia koordinácia;</w:t>
      </w:r>
    </w:p>
    <w:p w:rsidR="004F0778" w:rsidRPr="00BA5CFB" w:rsidRDefault="004F0778" w:rsidP="004F0778">
      <w:pPr>
        <w:pStyle w:val="NormalHanging12a"/>
      </w:pPr>
      <w:r w:rsidRPr="00BA5CFB">
        <w:t xml:space="preserve">M. </w:t>
      </w:r>
      <w:r w:rsidRPr="00BA5CFB">
        <w:tab/>
        <w:t xml:space="preserve">keďže zmena klímy, zhoršovanie životného prostredia a prechod na </w:t>
      </w:r>
      <w:proofErr w:type="spellStart"/>
      <w:r w:rsidRPr="00BA5CFB">
        <w:t>nízkouhlíkové</w:t>
      </w:r>
      <w:proofErr w:type="spellEnd"/>
      <w:r w:rsidRPr="00BA5CFB">
        <w:t xml:space="preserve"> hospodárstvo sú faktory, ktoré treba zohľadniť pri hodnotení rizík v súvahách bánk ako zdroj rizika s potenciálnym dosahom na investície vo všetkých regiónoch a sektoroch;</w:t>
      </w:r>
    </w:p>
    <w:p w:rsidR="004F0778" w:rsidRPr="00BA5CFB" w:rsidRDefault="004F0778" w:rsidP="004F0778">
      <w:pPr>
        <w:pStyle w:val="Normal12a24b"/>
        <w:jc w:val="both"/>
      </w:pPr>
      <w:r w:rsidRPr="00BA5CFB">
        <w:rPr>
          <w:rStyle w:val="BoldItalic"/>
        </w:rPr>
        <w:t>Všeobecné aspekty</w:t>
      </w:r>
    </w:p>
    <w:p w:rsidR="004F0778" w:rsidRPr="00BA5CFB" w:rsidRDefault="004F0778" w:rsidP="004F0778">
      <w:pPr>
        <w:pStyle w:val="NormalHanging12a"/>
      </w:pPr>
      <w:r w:rsidRPr="00BA5CFB">
        <w:t>1.</w:t>
      </w:r>
      <w:r w:rsidRPr="00BA5CFB">
        <w:tab/>
        <w:t>uznáva pokrok, ktorý sa dosiahol za posledných 10 rokov vytvorením jednotného mechanizmu dohľadu a jednotného mechanizmu riešenia krízových situácií; konštatuje, že banková únia nebude dokončená bez vytvorenia jej tretieho piliera – európskeho systému ochrany vkladov;</w:t>
      </w:r>
    </w:p>
    <w:p w:rsidR="004F0778" w:rsidRPr="00BA5CFB" w:rsidRDefault="004F0778" w:rsidP="004F0778">
      <w:pPr>
        <w:pStyle w:val="NormalHanging12a"/>
      </w:pPr>
      <w:r w:rsidRPr="00BA5CFB">
        <w:t>2.</w:t>
      </w:r>
      <w:r w:rsidRPr="00BA5CFB">
        <w:tab/>
        <w:t>žiada Komisiu, aby zabezpečila, aby dokončenie bankovej únie a únie kapitálových trhov zostalo kľúčovou prioritou; zdôrazňuje, že tieto projekty poskytujú domácnostiam a MSP prístup k širším možnostiam financovania, znižujú závislosť na bankových úveroch pri podpore investícií a tvorbe pracovných miest, zvyšujú finančnú stabilitu, znižujú vplyv hospodárskych poklesov, podporujú konkurencieschopnosť, poskytujú dodatočné investičné príležitosti, financujú transformáciu na zelené a digitálne hospodárstvo a uvoľňujú rastový potenciál EÚ; konštatuje, že od Komisie sa požaduje, aby zohľadnila osobitosti rôznych bankových modelov a zároveň zachovala rovnaké podmienky;</w:t>
      </w:r>
    </w:p>
    <w:p w:rsidR="004F0778" w:rsidRPr="00BA5CFB" w:rsidRDefault="004F0778" w:rsidP="004F0778">
      <w:pPr>
        <w:pStyle w:val="NormalHanging12a"/>
      </w:pPr>
      <w:r w:rsidRPr="00BA5CFB">
        <w:t>3.</w:t>
      </w:r>
      <w:r w:rsidRPr="00BA5CFB">
        <w:tab/>
        <w:t>konštatuje, že sa treba pripraviť na záťažové situácie bánk, ktoré by mohli potenciálne viesť k masovému výberu vkladov, ako bolo zaznamenané v niektorých jurisdikciách mimo EÚ v marci 2023, a že je potrebné zabezpečiť stabilitu vkladov;</w:t>
      </w:r>
    </w:p>
    <w:p w:rsidR="004F0778" w:rsidRPr="00BA5CFB" w:rsidRDefault="004F0778" w:rsidP="004F0778">
      <w:pPr>
        <w:pStyle w:val="NormalHanging12a"/>
      </w:pPr>
      <w:r w:rsidRPr="00BA5CFB">
        <w:t>4.</w:t>
      </w:r>
      <w:r w:rsidRPr="00BA5CFB">
        <w:rPr>
          <w:b/>
          <w:i/>
        </w:rPr>
        <w:tab/>
      </w:r>
      <w:r w:rsidRPr="00BA5CFB">
        <w:t xml:space="preserve">poukazuje na to, že kybernetická odolnosť je kľúčovým prvkom konkurencieschopnosti bankového sektora EÚ, najmä vzhľadom na geopolitickú situáciu a potrebu zachovať finančnú stabilitu; </w:t>
      </w:r>
    </w:p>
    <w:p w:rsidR="004F0778" w:rsidRPr="00BA5CFB" w:rsidRDefault="004F0778" w:rsidP="004F0778">
      <w:pPr>
        <w:pStyle w:val="NormalHanging12a"/>
      </w:pPr>
      <w:r w:rsidRPr="00BA5CFB">
        <w:t>5.</w:t>
      </w:r>
      <w:r w:rsidRPr="00BA5CFB">
        <w:tab/>
        <w:t>konštatuje, že integrovanejšia banková únia by pomohla zvýšiť odolnosť bankového sektora EÚ, zlepšiť prístup k úverom a znížiť náklady; konštatuje, že lepšia cezhraničná integrácia bankovníctva by zvýšila potenciál rozloženia súkromného rizika a zabezpečila diverzifikáciu na bankovom trhu EÚ; poukazuje na to, že integrovanejšia banková únia nie je nevyhnutne to isté ako konsolidovanejší bankový trh a že diverzifikovaný bankový trh má z hľadiska hospodárskej súťaže výhody; zdôrazňuje, že plne rozvinutá banková únia by bankám EÚ umožnila rásť a lepšie konkurovať na medzinárodnej úrovni;</w:t>
      </w:r>
    </w:p>
    <w:p w:rsidR="004F0778" w:rsidRPr="00BA5CFB" w:rsidRDefault="004F0778" w:rsidP="004F0778">
      <w:pPr>
        <w:pStyle w:val="NormalHanging12a"/>
      </w:pPr>
      <w:r w:rsidRPr="00BA5CFB">
        <w:t>6.</w:t>
      </w:r>
      <w:r w:rsidRPr="00BA5CFB">
        <w:tab/>
        <w:t>vyjadruje poľutovanie nad tým, že schopnosť bánk EÚ financovať veľké investície obmedzuje nižšia ziskovosť, ktorá nie je dostatočná na to, aby zabezpečila ich konkurencieschopnosť; konštatuje, že rozdiel v ziskovosti v porovnaní s inými jurisdikciami je spôsobený štrukturálnymi a regulačnými faktormi, a vyzýva na preskúmanie s cieľom zefektívniť regulačný rámec; konštatuje, že osobitný charakter bankového systému EÚ s veľkým počtom menších bánk si vyžaduje primerané riešenia, ktoré to zohľadňujú a sú prispôsobené jeho vlastnostiam bez toho, aby sa narušila finančná stabilita; naďalej si uvedomuje riziko súvisiace s bankami, ktoré sú „príliš veľké na to, aby zlyhali“;</w:t>
      </w:r>
    </w:p>
    <w:p w:rsidR="004F0778" w:rsidRPr="00BA5CFB" w:rsidRDefault="004F0778" w:rsidP="004F0778">
      <w:pPr>
        <w:pStyle w:val="NormalHanging12a"/>
      </w:pPr>
      <w:r w:rsidRPr="00BA5CFB">
        <w:lastRenderedPageBreak/>
        <w:t>7.</w:t>
      </w:r>
      <w:r w:rsidRPr="00BA5CFB">
        <w:tab/>
        <w:t xml:space="preserve">vyzýva Komisiu, aby posúdila potrebu vypracovať cielené rámce v bankovej únii s cieľom zlepšiť prístup MSP a </w:t>
      </w:r>
      <w:proofErr w:type="spellStart"/>
      <w:r w:rsidRPr="00BA5CFB">
        <w:t>startupov</w:t>
      </w:r>
      <w:proofErr w:type="spellEnd"/>
      <w:r w:rsidRPr="00BA5CFB">
        <w:t xml:space="preserve"> k financovaniu, pričom by uznala ich úlohu ako základ hospodárstva EÚ;</w:t>
      </w:r>
    </w:p>
    <w:p w:rsidR="004F0778" w:rsidRPr="00BA5CFB" w:rsidRDefault="004F0778" w:rsidP="004F0778">
      <w:pPr>
        <w:pStyle w:val="NormalHanging12a"/>
      </w:pPr>
      <w:r w:rsidRPr="00BA5CFB">
        <w:t>8.</w:t>
      </w:r>
      <w:r w:rsidRPr="00BA5CFB">
        <w:tab/>
        <w:t>vyjadruje poľutovanie nad tým, že cezhraničná činnosť bánk EÚ je stále pomerne obmedzená, najmä pokiaľ ide o poskytovanie úverov; domnieva sa preto, že je dôležité dokončiť bankovú úniu, aby sa zachoval voľný pohyb kapitálu na plne integrovanom vnútornom trhu;</w:t>
      </w:r>
    </w:p>
    <w:p w:rsidR="004F0778" w:rsidRPr="00BA5CFB" w:rsidRDefault="004F0778" w:rsidP="004F0778">
      <w:pPr>
        <w:pStyle w:val="NormalHanging12a"/>
      </w:pPr>
      <w:r w:rsidRPr="00BA5CFB">
        <w:t>9.</w:t>
      </w:r>
      <w:r w:rsidRPr="00BA5CFB">
        <w:tab/>
        <w:t>vyzýva banky EÚ, ktoré naďalej pôsobia v Rusku, aby čo najskôr opustili ruský trh; vyzýva inštitúcie dohľadu, aby zabezpečili pokrok týchto bánk, pokiaľ ide o ich urýchlený odchod z ruského trhu;</w:t>
      </w:r>
    </w:p>
    <w:p w:rsidR="004F0778" w:rsidRPr="00BA5CFB" w:rsidRDefault="004F0778" w:rsidP="004F0778">
      <w:pPr>
        <w:pStyle w:val="NormalHanging12a"/>
      </w:pPr>
      <w:r w:rsidRPr="00BA5CFB">
        <w:t>10.</w:t>
      </w:r>
      <w:r w:rsidRPr="00BA5CFB">
        <w:tab/>
        <w:t>vyzýva Komisiu, aby ďalej preskúmala, či by vytvorenie samostatnej jurisdikcie pre banky EÚ s významnými cezhraničnými operáciami</w:t>
      </w:r>
      <w:r w:rsidRPr="00BA5CFB">
        <w:rPr>
          <w:rStyle w:val="FootnoteReference"/>
        </w:rPr>
        <w:footnoteReference w:id="14"/>
      </w:r>
      <w:r w:rsidRPr="00BA5CFB">
        <w:t xml:space="preserve"> mohlo pomôcť dobudovať bankovú úniu alebo či by sa tým zvýšila fragmentácia bankového sektora;</w:t>
      </w:r>
    </w:p>
    <w:p w:rsidR="004F0778" w:rsidRPr="00BA5CFB" w:rsidRDefault="004F0778" w:rsidP="004F0778">
      <w:pPr>
        <w:pStyle w:val="NormalHanging12a"/>
      </w:pPr>
      <w:r w:rsidRPr="00BA5CFB">
        <w:t>11.</w:t>
      </w:r>
      <w:r w:rsidRPr="00BA5CFB">
        <w:tab/>
        <w:t xml:space="preserve">konštatuje, že by sa mohlo uvažovať o preskúmaní </w:t>
      </w:r>
      <w:proofErr w:type="spellStart"/>
      <w:r w:rsidRPr="00BA5CFB">
        <w:t>sekuritizačného</w:t>
      </w:r>
      <w:proofErr w:type="spellEnd"/>
      <w:r w:rsidRPr="00BA5CFB">
        <w:t xml:space="preserve"> rámca na posilnenie európskych trhov a zavedenie európskych zabezpečených dlhových cenných papierov ako nástroja financovania s dvojitou ochranou pre MSP na dlhodobé financovanie, pričom by sa náležite zohľadnili riziká pre finančnú stabilitu;</w:t>
      </w:r>
    </w:p>
    <w:p w:rsidR="004F0778" w:rsidRPr="00BA5CFB" w:rsidRDefault="004F0778" w:rsidP="004F0778">
      <w:pPr>
        <w:pStyle w:val="NormalHanging12a"/>
      </w:pPr>
      <w:r w:rsidRPr="00BA5CFB">
        <w:t>12.</w:t>
      </w:r>
      <w:r w:rsidRPr="00BA5CFB">
        <w:tab/>
        <w:t>zdôrazňuje, že finančná gramotnosť je v moderných ekonomikách nevyhnutná, prispieva k odolnosti bankových systémov vo všetkých členských štátoch a podporuje cezhraničnú finančnú činnosť;</w:t>
      </w:r>
    </w:p>
    <w:p w:rsidR="004F0778" w:rsidRPr="00BA5CFB" w:rsidRDefault="004F0778" w:rsidP="004F0778">
      <w:pPr>
        <w:pStyle w:val="NormalHanging12a"/>
        <w:rPr>
          <w:snapToGrid/>
        </w:rPr>
      </w:pPr>
      <w:r w:rsidRPr="00BA5CFB">
        <w:t>13.</w:t>
      </w:r>
      <w:r w:rsidRPr="00BA5CFB">
        <w:tab/>
        <w:t>zdôrazňuje, že vysoká úroveň ochrany spotrebiteľa zvýši odolnosť bankovej únie;</w:t>
      </w:r>
    </w:p>
    <w:p w:rsidR="004F0778" w:rsidRPr="00BA5CFB" w:rsidRDefault="004F0778" w:rsidP="004F0778">
      <w:pPr>
        <w:pStyle w:val="NormalHanging12a"/>
      </w:pPr>
      <w:r w:rsidRPr="00BA5CFB">
        <w:t>14.</w:t>
      </w:r>
      <w:r w:rsidRPr="00BA5CFB">
        <w:tab/>
        <w:t>zastáva názor, že Komisia by sa mala zamerať na aspekty, ktoré prispievajú k dosiahnutiu cieľov v oblasti digitalizácie, modernizácie, zjednodušenia, zefektívnenia a zvýšenej konkurencieschopnosti; trvá na tom, že právna istota, bezpečnosť, predvídateľnosť a stabilita sú nevyhnutné na to, aby banky EÚ mohli vykonávať činnosť za priaznivých podmienok;</w:t>
      </w:r>
    </w:p>
    <w:p w:rsidR="004F0778" w:rsidRPr="00BA5CFB" w:rsidRDefault="004F0778" w:rsidP="004F0778">
      <w:pPr>
        <w:pStyle w:val="NormalHanging12a"/>
      </w:pPr>
      <w:r w:rsidRPr="00BA5CFB">
        <w:t>15.</w:t>
      </w:r>
      <w:r w:rsidRPr="00BA5CFB">
        <w:tab/>
        <w:t>konštatuje, že okrem tradičných úverov môžu byť rôzne zdroje financovania prospešné pre rast a konkurencieschopnosť EÚ, a uznáva nízku rizikovosť riešení financovania zaisteného aktívami;</w:t>
      </w:r>
    </w:p>
    <w:p w:rsidR="004F0778" w:rsidRPr="00BA5CFB" w:rsidRDefault="004F0778" w:rsidP="004F0778">
      <w:pPr>
        <w:pStyle w:val="NormalHanging12a"/>
        <w:rPr>
          <w:b/>
          <w:snapToGrid/>
        </w:rPr>
      </w:pPr>
      <w:r w:rsidRPr="00BA5CFB">
        <w:t>16.</w:t>
      </w:r>
      <w:r w:rsidRPr="00BA5CFB">
        <w:rPr>
          <w:b/>
          <w:i/>
        </w:rPr>
        <w:tab/>
      </w:r>
      <w:r w:rsidRPr="00BA5CFB">
        <w:t xml:space="preserve">berie na vedomie pokrok ECB v oblasti digitálneho eura a parlamentný dialóg s ECB na túto tému; chápe existujúce výhrady, napríklad pokiaľ ide o jeho funkčnosť </w:t>
      </w:r>
      <w:proofErr w:type="spellStart"/>
      <w:r w:rsidRPr="00BA5CFB">
        <w:t>offline</w:t>
      </w:r>
      <w:proofErr w:type="spellEnd"/>
      <w:r w:rsidRPr="00BA5CFB">
        <w:t xml:space="preserve">, keďže </w:t>
      </w:r>
      <w:proofErr w:type="spellStart"/>
      <w:r w:rsidRPr="00BA5CFB">
        <w:t>offline</w:t>
      </w:r>
      <w:proofErr w:type="spellEnd"/>
      <w:r w:rsidRPr="00BA5CFB">
        <w:t xml:space="preserve"> transakcie znižujú viditeľnosť a ovplyvňujú schopnosť predchádzať finančnej trestnej činnosti; pripomína, že digitálne euro by malo dopĺňať, nie nahrádzať hotovosť; domnieva sa, že rozhodnutie o zavedení alebo nezavedení digitálneho eura je v konečnom dôsledku politickým rozhodnutím, ktoré musia prijať </w:t>
      </w:r>
      <w:proofErr w:type="spellStart"/>
      <w:r w:rsidRPr="00BA5CFB">
        <w:t>spoluzákonodarcovia</w:t>
      </w:r>
      <w:proofErr w:type="spellEnd"/>
      <w:r w:rsidRPr="00BA5CFB">
        <w:t xml:space="preserve"> EÚ, a to vzhľadom na veľký potenciálny vplyv tohto rozhodnutia na širokú škálu oblastí EÚ vrátane súkromia, ochrany spotrebiteľa, finančnej stability, finančnej politiky a iných oblastí, ktoré presahujú prísny rozsah menovej politiky;</w:t>
      </w:r>
    </w:p>
    <w:p w:rsidR="004F0778" w:rsidRPr="00BA5CFB" w:rsidRDefault="004F0778" w:rsidP="004F0778">
      <w:pPr>
        <w:pStyle w:val="NormalHanging12a"/>
      </w:pPr>
      <w:r w:rsidRPr="00BA5CFB">
        <w:t>17.</w:t>
      </w:r>
      <w:r w:rsidRPr="00BA5CFB">
        <w:tab/>
        <w:t xml:space="preserve">vyjadruje poľutovanie nad tým, že niektoré finančné inštitúcie nezabezpečujú rodovú vyváženosť, najmä vo svojich riadiacich orgánoch; zdôrazňuje, že vyvážené zastúpenie </w:t>
      </w:r>
      <w:r w:rsidRPr="00BA5CFB">
        <w:lastRenderedPageBreak/>
        <w:t xml:space="preserve">mužov a žien vo vrcholových orgánoch a v pracovnej sile má spoločenské aj hospodárske prínosy; vyzýva finančné inštitúcie, aby pravidelne aktualizovali svoje politiky rozmanitosti a začlenenia a pomáhali podporovať zdravú pracovnú kultúru, ktorá uprednostňuje </w:t>
      </w:r>
      <w:proofErr w:type="spellStart"/>
      <w:r w:rsidRPr="00BA5CFB">
        <w:t>inkluzívnosť</w:t>
      </w:r>
      <w:proofErr w:type="spellEnd"/>
      <w:r w:rsidRPr="00BA5CFB">
        <w:t>; vyzýva súkromné a verejné subjekty, aby riešili nedostatočnú rozmanitosť a rodovú vyváženosť v riadiacich orgánoch finančných inštitúcií;</w:t>
      </w:r>
    </w:p>
    <w:p w:rsidR="004F0778" w:rsidRPr="00BA5CFB" w:rsidRDefault="004F0778" w:rsidP="004F0778">
      <w:pPr>
        <w:pStyle w:val="Normal12a24b"/>
        <w:jc w:val="both"/>
      </w:pPr>
      <w:r w:rsidRPr="00BA5CFB">
        <w:rPr>
          <w:rStyle w:val="BoldItalic"/>
        </w:rPr>
        <w:t>Dohľad</w:t>
      </w:r>
    </w:p>
    <w:p w:rsidR="004F0778" w:rsidRPr="00BA5CFB" w:rsidRDefault="004F0778" w:rsidP="004F0778">
      <w:pPr>
        <w:pStyle w:val="NormalHanging12a"/>
      </w:pPr>
      <w:r w:rsidRPr="00BA5CFB">
        <w:t>18.</w:t>
      </w:r>
      <w:r w:rsidRPr="00BA5CFB">
        <w:tab/>
        <w:t xml:space="preserve">víta skutočnosť, že </w:t>
      </w:r>
      <w:proofErr w:type="spellStart"/>
      <w:r w:rsidRPr="00BA5CFB">
        <w:t>spoluzákonodarcovia</w:t>
      </w:r>
      <w:proofErr w:type="spellEnd"/>
      <w:r w:rsidRPr="00BA5CFB">
        <w:t xml:space="preserve"> prijali nový bankový balík na vykonávanie noriem Bazilej III v EÚ; berie na vedomie súčasnú nedostatočnú jasnosť, pokiaľ ide o vykonávanie noriem Bazilej III v niektorých iných jurisdikciách, a potenciálne riziko pre rovnaké podmienky na medzinárodnej úrovni;</w:t>
      </w:r>
      <w:r w:rsidRPr="00BA5CFB">
        <w:rPr>
          <w:b/>
          <w:i/>
        </w:rPr>
        <w:t xml:space="preserve"> </w:t>
      </w:r>
      <w:r w:rsidRPr="00BA5CFB">
        <w:t>zdôrazňuje, že Komisia by mala posúdiť, či by cielené zmeny mohli pomôcť zachovať medzinárodnú konkurencieschopnosť bánk EÚ bez toho, aby sa oslabila ich odolnosť; pripomína, že delegovaným aktom o dátume začatia uplatňovania požiadaviek na vlastné zdroje pre trhové riziko sa dátum začatia uplatňovania nového rámca trhového rizika odložil o jeden rok na 1. január 2026; vyzýva Komisiu, aby posúdila, či treba preskúmať rozhodnutia o rovnocennosti prijaté jurisdikciami, ktoré neuplatňujú normy Bazilej III, aby sa zachovala finančná stabilita finančného sektora EÚ;</w:t>
      </w:r>
    </w:p>
    <w:p w:rsidR="0092730C" w:rsidRPr="00BA5CFB" w:rsidRDefault="0092730C" w:rsidP="004F0778">
      <w:pPr>
        <w:pStyle w:val="NormalHanging12a"/>
      </w:pPr>
      <w:r w:rsidRPr="00BA5CFB">
        <w:t>19.</w:t>
      </w:r>
      <w:r w:rsidRPr="00BA5CFB">
        <w:tab/>
        <w:t>berie na vedomie čoraz častejší jav zatvárania bankových pobočiek, ktorý prispieva k riziku „vymretia bánk“ v určitých regiónoch, čo má obzvlášť negatívny vplyv na zraniteľných občanov bez digitálneho prístupu; zdôrazňuje kľúčovú úlohu, ktorú zohrávajú menšie banky pri zabezpečovaní prístupu k základným bankovým službám, najmä vo vidieckych a odľahlých oblastiach, čím sa podporujú domácnosti, MSP a miestne hospodárstva; konštatuje, že vysoké náklady na dohľad a regulačné zaťaženie môžu pre menšie banky predstavovať značné výzvy; zdôrazňuje, že pri bankovom dohľade je potrebné uplatňovať zásadu proporcionality, aby sa zabezpečilo, že intenzita regulácie bude prispôsobená veľkosti, rizikovému profilu a obchodnému modelu inštitúcií, pričom sa zohľadní zásadná územná úloha menších bánk a ich osobitné charakteristiky;</w:t>
      </w:r>
    </w:p>
    <w:p w:rsidR="004F0778" w:rsidRPr="00BA5CFB" w:rsidRDefault="0092730C" w:rsidP="004F0778">
      <w:pPr>
        <w:pStyle w:val="NormalHanging12a"/>
      </w:pPr>
      <w:r w:rsidRPr="00BA5CFB">
        <w:t>20</w:t>
      </w:r>
      <w:r w:rsidR="004F0778" w:rsidRPr="00BA5CFB">
        <w:t>.</w:t>
      </w:r>
      <w:r w:rsidR="004F0778" w:rsidRPr="00BA5CFB">
        <w:tab/>
        <w:t>pripomína, že balík opatrení v oblasti bankovníctva obsahuje vysoký počet mandátov pre Európsky orgán pre bankovníctvo; vyzýva Európsky orgán pre bankovníctvo, aby tieto mandáty rešpektoval;</w:t>
      </w:r>
    </w:p>
    <w:p w:rsidR="004F0778" w:rsidRPr="00BA5CFB" w:rsidRDefault="0092730C" w:rsidP="004F0778">
      <w:pPr>
        <w:pStyle w:val="NormalHanging12a"/>
      </w:pPr>
      <w:r w:rsidRPr="00BA5CFB">
        <w:t>21</w:t>
      </w:r>
      <w:r w:rsidR="004F0778" w:rsidRPr="00BA5CFB">
        <w:t>.</w:t>
      </w:r>
      <w:r w:rsidR="004F0778" w:rsidRPr="00BA5CFB">
        <w:tab/>
        <w:t xml:space="preserve">konštatuje, že aj v existujúcom regulačnom rámci bankový sektor preukázal odolnosť počas udalostí na trhu v posledných rokoch a že priemerný podiel vlastného kapitálu </w:t>
      </w:r>
      <w:proofErr w:type="spellStart"/>
      <w:r w:rsidR="004F0778" w:rsidRPr="00BA5CFB">
        <w:t>Tier</w:t>
      </w:r>
      <w:proofErr w:type="spellEnd"/>
      <w:r w:rsidR="004F0778" w:rsidRPr="00BA5CFB">
        <w:t xml:space="preserve"> 1 zostal na vysokej úrovni, a to na úrovni 15,81 %;</w:t>
      </w:r>
    </w:p>
    <w:p w:rsidR="004F0778" w:rsidRPr="00BA5CFB" w:rsidRDefault="0092730C" w:rsidP="004F0778">
      <w:pPr>
        <w:pStyle w:val="NormalHanging12a"/>
      </w:pPr>
      <w:r w:rsidRPr="00BA5CFB">
        <w:t>22</w:t>
      </w:r>
      <w:r w:rsidR="004F0778" w:rsidRPr="00BA5CFB">
        <w:t>.</w:t>
      </w:r>
      <w:r w:rsidR="004F0778" w:rsidRPr="00BA5CFB">
        <w:tab/>
        <w:t>konštatuje, že podiel nesplácaných úverov zostal stabilný na úrovni 2,30 % a ukazovateľ krytia likvidity na úrovni 159,39 %;</w:t>
      </w:r>
    </w:p>
    <w:p w:rsidR="004F0778" w:rsidRPr="00BA5CFB" w:rsidRDefault="0092730C" w:rsidP="004F0778">
      <w:pPr>
        <w:pStyle w:val="NormalHanging12a"/>
      </w:pPr>
      <w:r w:rsidRPr="00BA5CFB">
        <w:t>23</w:t>
      </w:r>
      <w:r w:rsidR="004F0778" w:rsidRPr="00BA5CFB">
        <w:t>.</w:t>
      </w:r>
      <w:r w:rsidR="004F0778" w:rsidRPr="00BA5CFB">
        <w:tab/>
        <w:t>berie na vedomie rôzne úrovne vystavenia nesplácaným úverom a pripomína, že existujú členské štáty, ktoré majú úrovne expozície okolo 1 % alebo dokonca nižšie, zatiaľ čo iné členské štáty majú úrovne expozície presahujúce 4 %; domnieva sa, že úsilie o zníženie vystavenia európskych bánk tomuto typu úverov by malo pokračovať ako osvedčený postup riadenia rizík;</w:t>
      </w:r>
    </w:p>
    <w:p w:rsidR="004F0778" w:rsidRPr="00BA5CFB" w:rsidRDefault="0092730C" w:rsidP="004F0778">
      <w:pPr>
        <w:pStyle w:val="NormalHanging12a"/>
      </w:pPr>
      <w:r w:rsidRPr="00BA5CFB">
        <w:lastRenderedPageBreak/>
        <w:t>24</w:t>
      </w:r>
      <w:r w:rsidR="004F0778" w:rsidRPr="00BA5CFB">
        <w:t>.</w:t>
      </w:r>
      <w:r w:rsidR="004F0778" w:rsidRPr="00BA5CFB">
        <w:tab/>
        <w:t>zdôrazňuje skutočnosť, že nepriaznivé makroekonomické podmienky, geopolitické prekážky a rýchly rozvoj služieb odkladu platieb môžu viesť k zhoršeniu kvality aktív a ovplyvniť úroveň nesplácaných úverov v budúcnosti; zdôrazňuje preto význam obozretného riadenia rizík a primeranej tvorby rezerv;</w:t>
      </w:r>
    </w:p>
    <w:p w:rsidR="004F0778" w:rsidRPr="00BA5CFB" w:rsidRDefault="0092730C" w:rsidP="004F0778">
      <w:pPr>
        <w:pStyle w:val="NormalHanging12a"/>
      </w:pPr>
      <w:r w:rsidRPr="00BA5CFB">
        <w:t>25</w:t>
      </w:r>
      <w:r w:rsidR="004F0778" w:rsidRPr="00BA5CFB">
        <w:t>.</w:t>
      </w:r>
      <w:r w:rsidR="004F0778" w:rsidRPr="00BA5CFB">
        <w:tab/>
        <w:t xml:space="preserve">konštatuje, že súčasná úroveň ziskovosti bankového sektora môže poskytnúť príležitosť na zvýšenie </w:t>
      </w:r>
      <w:proofErr w:type="spellStart"/>
      <w:r w:rsidR="004F0778" w:rsidRPr="00BA5CFB">
        <w:t>makroprudenciálnych</w:t>
      </w:r>
      <w:proofErr w:type="spellEnd"/>
      <w:r w:rsidR="004F0778" w:rsidRPr="00BA5CFB">
        <w:t xml:space="preserve"> rezerv a pomôcť zachovať odolnosť bankového sektora; vyzýva Komisiu, aby ďalej preskúmala túto možnosť a dôkladne zhodnotila, ako revidovať </w:t>
      </w:r>
      <w:proofErr w:type="spellStart"/>
      <w:r w:rsidR="004F0778" w:rsidRPr="00BA5CFB">
        <w:t>makroprudenciálny</w:t>
      </w:r>
      <w:proofErr w:type="spellEnd"/>
      <w:r w:rsidR="004F0778" w:rsidRPr="00BA5CFB">
        <w:t xml:space="preserve"> rámec, a to s ohľadom na potenciálny vplyv na kapitálové požiadavky a rovnaké podmienky v porovnaní s inými jurisdikciami;</w:t>
      </w:r>
    </w:p>
    <w:p w:rsidR="004F0778" w:rsidRPr="00BA5CFB" w:rsidRDefault="0092730C" w:rsidP="004F0778">
      <w:pPr>
        <w:pStyle w:val="NormalHanging12a"/>
      </w:pPr>
      <w:r w:rsidRPr="00BA5CFB">
        <w:t>26</w:t>
      </w:r>
      <w:r w:rsidR="004F0778" w:rsidRPr="00BA5CFB">
        <w:t>.</w:t>
      </w:r>
      <w:r w:rsidR="004F0778" w:rsidRPr="00BA5CFB">
        <w:rPr>
          <w:b/>
          <w:i/>
        </w:rPr>
        <w:tab/>
      </w:r>
      <w:r w:rsidR="004F0778" w:rsidRPr="00BA5CFB">
        <w:t>zdôrazňuje, že bankový sektor plní úlohu pri podpore prechodu na digitalizované a uhlíkovo neutrálne hospodárstvo, nasmerovaní finančných prostriedkov do obnoviteľných zdrojov energie a podpore dosiahnutia cieľov Európskej zelenej dohody a európskeho právneho predpisu v oblasti klímy;</w:t>
      </w:r>
    </w:p>
    <w:p w:rsidR="004F0778" w:rsidRPr="00BA5CFB" w:rsidRDefault="0092730C" w:rsidP="004F0778">
      <w:pPr>
        <w:pStyle w:val="NormalHanging12a"/>
      </w:pPr>
      <w:r w:rsidRPr="00BA5CFB">
        <w:t>27</w:t>
      </w:r>
      <w:r w:rsidR="004F0778" w:rsidRPr="00BA5CFB">
        <w:t>.</w:t>
      </w:r>
      <w:r w:rsidR="004F0778" w:rsidRPr="00BA5CFB">
        <w:tab/>
        <w:t>konštatuje, že ECB vo svojich postupoch dohľadu zohľadňuje finančné riziká súvisiace s klímou a prírodou a pozorne sleduje rastúce fyzické riziká a riziká súvisiace s transformáciou;</w:t>
      </w:r>
    </w:p>
    <w:p w:rsidR="004F0778" w:rsidRPr="00BA5CFB" w:rsidRDefault="0092730C" w:rsidP="004F0778">
      <w:pPr>
        <w:pStyle w:val="NormalHanging12a"/>
      </w:pPr>
      <w:r w:rsidRPr="00BA5CFB">
        <w:t>28</w:t>
      </w:r>
      <w:r w:rsidR="004F0778" w:rsidRPr="00BA5CFB">
        <w:t>.</w:t>
      </w:r>
      <w:r w:rsidR="004F0778" w:rsidRPr="00BA5CFB">
        <w:tab/>
        <w:t xml:space="preserve">víta myšlienku zvýšenia rizikového kapitálu a uvoľnenia kapitálu na financovanie rýchlo rastúcich spoločností v EÚ; berie na vedomie záväzok predsedníčky Komisie </w:t>
      </w:r>
      <w:proofErr w:type="spellStart"/>
      <w:r w:rsidR="004F0778" w:rsidRPr="00BA5CFB">
        <w:t>Ursuly</w:t>
      </w:r>
      <w:proofErr w:type="spellEnd"/>
      <w:r w:rsidR="004F0778" w:rsidRPr="00BA5CFB">
        <w:t xml:space="preserve"> von der </w:t>
      </w:r>
      <w:proofErr w:type="spellStart"/>
      <w:r w:rsidR="004F0778" w:rsidRPr="00BA5CFB">
        <w:t>Leyenovej</w:t>
      </w:r>
      <w:proofErr w:type="spellEnd"/>
      <w:r w:rsidR="004F0778" w:rsidRPr="00BA5CFB">
        <w:t xml:space="preserve"> navrhnúť opatrenia na absorpciu rizík s cieľom uľahčiť komerčným bankám, investorom a rizikovému kapitálu financovať rýchlo rastúce spoločnosti</w:t>
      </w:r>
      <w:r w:rsidR="004F0778" w:rsidRPr="00BA5CFB">
        <w:rPr>
          <w:rStyle w:val="FootnoteReference"/>
        </w:rPr>
        <w:footnoteReference w:id="15"/>
      </w:r>
      <w:r w:rsidR="004F0778" w:rsidRPr="00BA5CFB">
        <w:t>; konštatuje, že sa to musí uskutočniť spôsobom, ktorý nepredstavuje systémové riziko ani morálny hazard;</w:t>
      </w:r>
    </w:p>
    <w:p w:rsidR="004F0778" w:rsidRPr="00BA5CFB" w:rsidRDefault="0092730C" w:rsidP="004F0778">
      <w:pPr>
        <w:pStyle w:val="NormalHanging12a"/>
      </w:pPr>
      <w:r w:rsidRPr="00BA5CFB">
        <w:t>29</w:t>
      </w:r>
      <w:r w:rsidR="004F0778" w:rsidRPr="00BA5CFB">
        <w:t>.</w:t>
      </w:r>
      <w:r w:rsidR="004F0778" w:rsidRPr="00BA5CFB">
        <w:tab/>
        <w:t>víta vytvorenie nového Úradu pre boj proti praniu špinavých peňazí a financovaniu terorizmu, ktorý umožní použiť účinnejšie spôsoby boja proti praniu špinavých peňazí a financovaniu terorizmu prostredníctvom priameho dohľadu nad určitými finančnými subjektmi a lepšej spolupráce, lepšieho toku informácií medzi vnútroštátnymi orgánmi a lepšej koordinácie medzi orgánmi presadzovania sankcií v členských štátoch s cieľom pomôcť odstrániť nedostatky vo vykonávaní cielených sankcií;</w:t>
      </w:r>
    </w:p>
    <w:p w:rsidR="004F0778" w:rsidRPr="00BA5CFB" w:rsidRDefault="0092730C" w:rsidP="004F0778">
      <w:pPr>
        <w:pStyle w:val="NormalHanging12a"/>
      </w:pPr>
      <w:r w:rsidRPr="00BA5CFB">
        <w:t>30</w:t>
      </w:r>
      <w:r w:rsidR="004F0778" w:rsidRPr="00BA5CFB">
        <w:t>.</w:t>
      </w:r>
      <w:r w:rsidR="004F0778" w:rsidRPr="00BA5CFB">
        <w:tab/>
        <w:t xml:space="preserve">zdôrazňuje, že treba zvýšiť odolnosť nebankových finančných sprostredkovateľov, a to aj navrhnutím osobitných regulačných nástrojov a nástrojov dohľadu; poukazuje na to, že takéto opatrenia musia zaručiť bezpečnosť finančného systému a byť v najlepšom záujme klienta; víta konzultáciu Komisie o </w:t>
      </w:r>
      <w:proofErr w:type="spellStart"/>
      <w:r w:rsidR="004F0778" w:rsidRPr="00BA5CFB">
        <w:t>makroprudenciálnych</w:t>
      </w:r>
      <w:proofErr w:type="spellEnd"/>
      <w:r w:rsidR="004F0778" w:rsidRPr="00BA5CFB">
        <w:t xml:space="preserve"> politikách pre nebankových finančných sprostredkovateľov; podporuje odporúčanie Eurosystému zaviesť </w:t>
      </w:r>
      <w:proofErr w:type="spellStart"/>
      <w:r w:rsidR="004F0778" w:rsidRPr="00BA5CFB">
        <w:t>celosystémové</w:t>
      </w:r>
      <w:proofErr w:type="spellEnd"/>
      <w:r w:rsidR="004F0778" w:rsidRPr="00BA5CFB">
        <w:t xml:space="preserve"> záťažové testy s cieľom identifikovať a kvantifikovať riziká pre odolnosť hlavných trhov; vyzýva Komisiu, aby preskúmala, či v súbore nástrojov dohľadu existujú nejaké nedostatky, a to aj v súvislosti s potenciálnymi nedostatkami v oblasti likvidity a dôsledkami pre systémové riziko;</w:t>
      </w:r>
    </w:p>
    <w:p w:rsidR="004F0778" w:rsidRPr="00BA5CFB" w:rsidRDefault="0092730C" w:rsidP="004F0778">
      <w:pPr>
        <w:pStyle w:val="NormalHanging12a"/>
      </w:pPr>
      <w:r w:rsidRPr="00BA5CFB">
        <w:t>31</w:t>
      </w:r>
      <w:r w:rsidR="004F0778" w:rsidRPr="00BA5CFB">
        <w:t>.</w:t>
      </w:r>
      <w:r w:rsidR="004F0778" w:rsidRPr="00BA5CFB">
        <w:tab/>
        <w:t xml:space="preserve">konštatuje, že </w:t>
      </w:r>
      <w:proofErr w:type="spellStart"/>
      <w:r w:rsidR="004F0778" w:rsidRPr="00BA5CFB">
        <w:t>kryptoaktíva</w:t>
      </w:r>
      <w:proofErr w:type="spellEnd"/>
      <w:r w:rsidR="004F0778" w:rsidRPr="00BA5CFB">
        <w:t xml:space="preserve"> vytvárajú nové výzvy a príležitosti pre finančný systém, ale predstavujú preň aj riziká, ktoré si vyžadujú pozornosť vnútroštátnych orgánov dohľadu, jednotného mechanizmu dohľadu a Európskeho výboru pre systémové riziká;</w:t>
      </w:r>
    </w:p>
    <w:p w:rsidR="004F0778" w:rsidRPr="00BA5CFB" w:rsidRDefault="004F0778" w:rsidP="004F0778">
      <w:pPr>
        <w:pStyle w:val="Normal12a24b"/>
        <w:jc w:val="both"/>
      </w:pPr>
      <w:r w:rsidRPr="00BA5CFB">
        <w:rPr>
          <w:rStyle w:val="BoldItalic"/>
        </w:rPr>
        <w:lastRenderedPageBreak/>
        <w:t>Riešenie krízových situácií</w:t>
      </w:r>
    </w:p>
    <w:p w:rsidR="004F0778" w:rsidRPr="00BA5CFB" w:rsidRDefault="0092730C" w:rsidP="004F0778">
      <w:pPr>
        <w:pStyle w:val="NormalHanging12a"/>
      </w:pPr>
      <w:r w:rsidRPr="00BA5CFB">
        <w:t>32</w:t>
      </w:r>
      <w:r w:rsidR="004F0778" w:rsidRPr="00BA5CFB">
        <w:t>.</w:t>
      </w:r>
      <w:r w:rsidR="004F0778" w:rsidRPr="00BA5CFB">
        <w:tab/>
        <w:t xml:space="preserve">pripomína, že pozícia prijatá </w:t>
      </w:r>
      <w:r w:rsidR="00B90AD5" w:rsidRPr="00BA5CFB">
        <w:t>Európskym p</w:t>
      </w:r>
      <w:r w:rsidR="004F0778" w:rsidRPr="00BA5CFB">
        <w:t xml:space="preserve">arlamentom v apríli 2024 o rámci pre krízové riadenie a ochranu vkladov zabezpečuje </w:t>
      </w:r>
      <w:proofErr w:type="spellStart"/>
      <w:r w:rsidR="004F0778" w:rsidRPr="00BA5CFB">
        <w:t>konzistentnejší</w:t>
      </w:r>
      <w:proofErr w:type="spellEnd"/>
      <w:r w:rsidR="004F0778" w:rsidRPr="00BA5CFB">
        <w:t xml:space="preserve"> prístup vo všetkých členských štátoch k používaniu nástrojov na riešenie krízových situácií a ochranu vkladov s cieľom posilniť finančnú stabilitu, ochranu daňovníkov a dôveru vkladateľov; konštatuje, že malé banky majú určité špecifiká, ktoré si môžu vyžadovať primeraný prístup; zdôrazňuje, že príslušné európske a vnútroštátne orgány by mali mať k dispozícii vhodné a dostatočné nástroje na účinnú reakciu na zlyhania bánk a na ochranu finančnej stability a že banky musia pôsobiť v účinnom regulačnom prostredí, ktoré podporuje ich rozvoj;</w:t>
      </w:r>
    </w:p>
    <w:p w:rsidR="004F0778" w:rsidRPr="00BA5CFB" w:rsidRDefault="0092730C" w:rsidP="004F0778">
      <w:pPr>
        <w:pStyle w:val="NormalHanging12a"/>
      </w:pPr>
      <w:r w:rsidRPr="00BA5CFB">
        <w:t>33</w:t>
      </w:r>
      <w:r w:rsidR="004F0778" w:rsidRPr="00BA5CFB">
        <w:t>.</w:t>
      </w:r>
      <w:r w:rsidR="004F0778" w:rsidRPr="00BA5CFB">
        <w:tab/>
        <w:t>zdôrazňuje, že je dôležité zachovať primárnu zodpovednosť akcionárov a veriteľov za znášanie strát v prípade zlyhania banky; zdôrazňuje, že treba zabrániť využívaniu peňazí daňových poplatníkov, čo je kľúčovým poznatkom získaným počas celosvetovej finančnej krízy; zdôrazňuje, že záchrana pomocou vnútorných zdrojov akcionárov a veriteľov musí zostať hlavným zdrojom financovania riešenia krízových situácií pred akýmkoľvek využitím zdrojov financovaných odvetvím;</w:t>
      </w:r>
    </w:p>
    <w:p w:rsidR="004F0778" w:rsidRPr="00BA5CFB" w:rsidRDefault="0092730C" w:rsidP="004F0778">
      <w:pPr>
        <w:pStyle w:val="NormalHanging12a"/>
      </w:pPr>
      <w:r w:rsidRPr="00BA5CFB">
        <w:t>34</w:t>
      </w:r>
      <w:r w:rsidR="004F0778" w:rsidRPr="00BA5CFB">
        <w:t>.</w:t>
      </w:r>
      <w:r w:rsidR="004F0778" w:rsidRPr="00BA5CFB">
        <w:tab/>
        <w:t>pripomína, že dostatočná minimálna požiadavka na vlastné zdroje a oprávnené záväzky (MREL) je kľúčová pre dôveryhodný rámec riešenia krízových situácií a pre zabezpečenie toho, aby orgány pre riešenie krízových situácií mali dostatočnú flexibilitu na účinné uplatnenie stratégií riešenia krízových situácií potrebných v konkrétnej krízovej situácii; zdôrazňuje, že táto minimálna požiadavka by mala byť dostatočná na účinné vykonávanie ktorejkoľvek zo stratégií riešenia krízových situácií zahrnutých do plánu riešenia krízových situácií banky; pripomína, že rámec pre riešenie krízových situácií by mal zabrániť neprimeranému zvýšeniu kalibrácie MREL a neprimeraným príspevkom do jednotného fondu na riešenie krízových situácií;</w:t>
      </w:r>
    </w:p>
    <w:p w:rsidR="004F0778" w:rsidRPr="00BA5CFB" w:rsidRDefault="0092730C" w:rsidP="004F0778">
      <w:pPr>
        <w:pStyle w:val="NormalHanging12a"/>
      </w:pPr>
      <w:r w:rsidRPr="00BA5CFB">
        <w:t>35</w:t>
      </w:r>
      <w:r w:rsidR="004F0778" w:rsidRPr="00BA5CFB">
        <w:t>.</w:t>
      </w:r>
      <w:r w:rsidR="004F0778" w:rsidRPr="00BA5CFB">
        <w:tab/>
        <w:t>zdôrazňuje, že ak sú oprávnené záväzky banky vydané investorom z krajiny mimo EÚ, odpísanie alebo konverzia týchto záväzkov by mala byť vynútiteľná s plnou istotou, aby sa zabezpečilo účinné uplatňovanie nástrojov riešenia krízových situácií;</w:t>
      </w:r>
    </w:p>
    <w:p w:rsidR="004F0778" w:rsidRPr="00BA5CFB" w:rsidRDefault="0092730C" w:rsidP="004F0778">
      <w:pPr>
        <w:pStyle w:val="NormalHanging12a"/>
      </w:pPr>
      <w:r w:rsidRPr="00BA5CFB">
        <w:t>36</w:t>
      </w:r>
      <w:r w:rsidR="004F0778" w:rsidRPr="00BA5CFB">
        <w:t>.</w:t>
      </w:r>
      <w:r w:rsidR="004F0778" w:rsidRPr="00BA5CFB">
        <w:tab/>
        <w:t>konštatuje, že v súlade so zásadami fiškálnej a sociálnej zodpovednosti a trhovej disciplíny by sa malo zabrániť akémukoľvek spoliehaniu sa na peniaze daňových poplatníkov pri riešení krízových situácií bánk vrátane podpory likvidity;</w:t>
      </w:r>
    </w:p>
    <w:p w:rsidR="004F0778" w:rsidRPr="00BA5CFB" w:rsidRDefault="0092730C" w:rsidP="004F0778">
      <w:pPr>
        <w:pStyle w:val="NormalHanging12a"/>
      </w:pPr>
      <w:r w:rsidRPr="00BA5CFB">
        <w:t>37</w:t>
      </w:r>
      <w:r w:rsidR="004F0778" w:rsidRPr="00BA5CFB">
        <w:t>.</w:t>
      </w:r>
      <w:r w:rsidR="004F0778" w:rsidRPr="00BA5CFB">
        <w:tab/>
        <w:t>pripomína, že banky musia po vykonaní rozhodnutia o riešení krízovej situácie naďalej plniť svoje záväzky a vykonávať svoje kľúčové funkcie;</w:t>
      </w:r>
    </w:p>
    <w:p w:rsidR="004F0778" w:rsidRPr="00BA5CFB" w:rsidRDefault="0092730C" w:rsidP="004F0778">
      <w:pPr>
        <w:pStyle w:val="NormalHanging12a"/>
      </w:pPr>
      <w:r w:rsidRPr="00BA5CFB">
        <w:t>38</w:t>
      </w:r>
      <w:r w:rsidR="004F0778" w:rsidRPr="00BA5CFB">
        <w:t>.</w:t>
      </w:r>
      <w:r w:rsidR="004F0778" w:rsidRPr="00BA5CFB">
        <w:tab/>
        <w:t>pripomína, že je dôležité objasniť úlohu ECB ako poskytovateľa likvidity pri riešení krízových situácií, pričom treba venovať náležitú pozornosť primeraným zárukám a mandátu ECB;</w:t>
      </w:r>
    </w:p>
    <w:p w:rsidR="004F0778" w:rsidRPr="00BA5CFB" w:rsidRDefault="0092730C" w:rsidP="004F0778">
      <w:pPr>
        <w:pStyle w:val="NormalHanging12a"/>
      </w:pPr>
      <w:r w:rsidRPr="00BA5CFB">
        <w:t>39</w:t>
      </w:r>
      <w:r w:rsidR="004F0778" w:rsidRPr="00BA5CFB">
        <w:t>.</w:t>
      </w:r>
      <w:r w:rsidR="004F0778" w:rsidRPr="00BA5CFB">
        <w:tab/>
        <w:t>zdôrazňuje oznámenie SRB o tom, že posilní svoje kapacity na začatie konania na presadzovanie pravidiel s cieľom odstrániť podstatné prekážky riešiteľnosti krízovej situácie; žiada, aby sa na konci každého cyklu plánovania riešenia krízových situácií zverejnil anonymizovaný zoznam zistených prekážok riešiteľnosti krízových situácií a opatrení prijatých na ich riešenie;</w:t>
      </w:r>
    </w:p>
    <w:p w:rsidR="004F0778" w:rsidRPr="00BA5CFB" w:rsidRDefault="0092730C" w:rsidP="004F0778">
      <w:pPr>
        <w:pStyle w:val="NormalHanging12a"/>
      </w:pPr>
      <w:r w:rsidRPr="00BA5CFB">
        <w:lastRenderedPageBreak/>
        <w:t>40</w:t>
      </w:r>
      <w:r w:rsidR="004F0778" w:rsidRPr="00BA5CFB">
        <w:t>.</w:t>
      </w:r>
      <w:r w:rsidR="004F0778" w:rsidRPr="00BA5CFB">
        <w:tab/>
        <w:t>víta strategické preskúmanie Vízia SRM 2028, ktoré iniciovala SRB s cieľom stanoviť dlhodobé ciele, riešiť nové výzvy a ďalej posilniť spoluprácu s vnútroštátnymi orgánmi pre riešenie krízových situácií a inými zainteresovanými stranami; berie na vedomie najmä zámer SRB identifikovať oblasti, v ktorých možno udržateľnosť viac začleniť do každodenných operácií a hlavných činností; zdôrazňuje potrebu zabezpečiť efektívnosť a nákladovú účinnosť pri vykonávaní novej stratégie;</w:t>
      </w:r>
    </w:p>
    <w:p w:rsidR="004F0778" w:rsidRPr="00BA5CFB" w:rsidRDefault="0092730C" w:rsidP="004F0778">
      <w:pPr>
        <w:pStyle w:val="NormalHanging12a"/>
      </w:pPr>
      <w:r w:rsidRPr="00BA5CFB">
        <w:t>41</w:t>
      </w:r>
      <w:r w:rsidR="004F0778" w:rsidRPr="00BA5CFB">
        <w:t>.</w:t>
      </w:r>
      <w:r w:rsidR="004F0778" w:rsidRPr="00BA5CFB">
        <w:tab/>
        <w:t>víta plán SRB na zefektívnenie ročného cyklu plánovania riešenia krízových situácií s cieľom zabezpečiť, aby bol čoraz efektívnejší a viac sa zameriaval na testovanie riešiteľnosti krízových situácií bánk a sfunkčnenie stratégií riešenia krízových situácií;</w:t>
      </w:r>
    </w:p>
    <w:p w:rsidR="004F0778" w:rsidRPr="00BA5CFB" w:rsidRDefault="0092730C" w:rsidP="004F0778">
      <w:pPr>
        <w:pStyle w:val="NormalHanging12a"/>
      </w:pPr>
      <w:r w:rsidRPr="00BA5CFB">
        <w:t>42</w:t>
      </w:r>
      <w:r w:rsidR="004F0778" w:rsidRPr="00BA5CFB">
        <w:t>.</w:t>
      </w:r>
      <w:r w:rsidR="004F0778" w:rsidRPr="00BA5CFB">
        <w:tab/>
        <w:t>víta skutočnosť, že bol vytvorený jednotný fond na riešenie krízových situácií; požaduje, aby všetky členské štáty v plnom rozsahu ratifikovali dohodu o zmene Zmluvy, ktorou sa zriaďuje Európsky mechanizmus pre stabilitu vrátane zriadenia spoločného zabezpečovacieho mechanizmu pre jednotný fond na riešenie krízových situácií;</w:t>
      </w:r>
    </w:p>
    <w:p w:rsidR="004F0778" w:rsidRPr="00BA5CFB" w:rsidRDefault="0092730C" w:rsidP="004F0778">
      <w:pPr>
        <w:pStyle w:val="NormalHanging12a"/>
      </w:pPr>
      <w:r w:rsidRPr="00BA5CFB">
        <w:t>43</w:t>
      </w:r>
      <w:r w:rsidR="004F0778" w:rsidRPr="00BA5CFB">
        <w:t>.</w:t>
      </w:r>
      <w:r w:rsidR="004F0778" w:rsidRPr="00BA5CFB">
        <w:tab/>
        <w:t>zdôrazňuje potrebu ďalšieho úsilia na zabezpečenie plnej riešiteľnosti krízových situácií všetkých bánk, ktoré patria do rozsahu pôsobnosti riešenia krízových situácií; pripomína, že dosiahnutie riešiteľnosti krízovej situácie nemožno považovať za „pohybujúci sa cieľ“, a preto vyzýva na väčšiu štandardizáciu a harmonizáciu posudzovania riešiteľnosti krízových situácií; pripomína však dôležitú úlohu, ktorú zohrávajú vnútroštátne orgány pre riešenie krízových situácií pri posudzovaní riešiteľnosti krízových situácií;</w:t>
      </w:r>
    </w:p>
    <w:p w:rsidR="004F0778" w:rsidRPr="00BA5CFB" w:rsidRDefault="004F0778" w:rsidP="004F0778">
      <w:pPr>
        <w:pStyle w:val="Normal12a24b"/>
        <w:jc w:val="both"/>
      </w:pPr>
      <w:r w:rsidRPr="00BA5CFB">
        <w:rPr>
          <w:rStyle w:val="BoldItalic"/>
        </w:rPr>
        <w:t>Ochrana vkladov</w:t>
      </w:r>
    </w:p>
    <w:p w:rsidR="004F0778" w:rsidRPr="00BA5CFB" w:rsidRDefault="0092730C" w:rsidP="004F0778">
      <w:pPr>
        <w:pStyle w:val="NormalHanging12a"/>
      </w:pPr>
      <w:r w:rsidRPr="00BA5CFB">
        <w:t>44</w:t>
      </w:r>
      <w:r w:rsidR="004F0778" w:rsidRPr="00BA5CFB">
        <w:t>.</w:t>
      </w:r>
      <w:r w:rsidR="004F0778" w:rsidRPr="00BA5CFB">
        <w:tab/>
        <w:t>zdôrazňuje skutočnosť, že návrh Komisie na vytvorenie európskeho systému ochrany vkladov bol zverejnený v roku 2015 a že situácia sa odvtedy výrazne zmenila;</w:t>
      </w:r>
    </w:p>
    <w:p w:rsidR="004F0778" w:rsidRPr="00BA5CFB" w:rsidRDefault="0092730C" w:rsidP="004F0778">
      <w:pPr>
        <w:pStyle w:val="NormalHanging12a"/>
      </w:pPr>
      <w:r w:rsidRPr="00BA5CFB">
        <w:t>45</w:t>
      </w:r>
      <w:r w:rsidR="004F0778" w:rsidRPr="00BA5CFB">
        <w:t>.</w:t>
      </w:r>
      <w:r w:rsidR="004F0778" w:rsidRPr="00BA5CFB">
        <w:tab/>
        <w:t>pripomína, že pozícia Výboru pre hospodárske a menové veci k európskemu systému ochrany vkladov bola prijatá v apríli 2024; konštatuje, že táto pozícia sa odchyľuje od návrhu Komisie z roku 2015 a prijíma nový prístup; očakáva rokovania o európskom systéme ochrany vkladov a nabáda Radu, aby v týchto rokovaniach pokročila;</w:t>
      </w:r>
    </w:p>
    <w:p w:rsidR="004F0778" w:rsidRPr="00BA5CFB" w:rsidRDefault="0092730C" w:rsidP="004F0778">
      <w:pPr>
        <w:pStyle w:val="NormalHanging12a"/>
      </w:pPr>
      <w:r w:rsidRPr="00BA5CFB">
        <w:t>46</w:t>
      </w:r>
      <w:r w:rsidR="004F0778" w:rsidRPr="00BA5CFB">
        <w:t>.</w:t>
      </w:r>
      <w:r w:rsidR="004F0778" w:rsidRPr="00BA5CFB">
        <w:tab/>
        <w:t>konštatuje, že vnútroštátne systémy ochrany vkladov boli úspešne zavedené a vo viacerých prípadoch preukázali svoju funkčnosť; zdôrazňuje, že treba zohľadniť osobitné vnútroštátne charakteristiky a zachovať dobre fungujúce systémy pre menšie banky, ktoré už v niektorých členských štátoch existujú, ako sú schémy inštitucionálneho zabezpečenia, a to spôsobom, ktorý zabezpečí rovnaké podmienky v celej bankovej únii;</w:t>
      </w:r>
    </w:p>
    <w:p w:rsidR="00F421F0" w:rsidRPr="00BA5CFB" w:rsidRDefault="00F421F0" w:rsidP="00F421F0">
      <w:pPr>
        <w:pStyle w:val="NormalHanging12a"/>
        <w:ind w:left="0" w:firstLine="0"/>
        <w:jc w:val="center"/>
      </w:pPr>
      <w:r w:rsidRPr="00BA5CFB">
        <w:t>°</w:t>
      </w:r>
    </w:p>
    <w:p w:rsidR="00F421F0" w:rsidRPr="00BA5CFB" w:rsidRDefault="00F421F0" w:rsidP="00F421F0">
      <w:pPr>
        <w:pStyle w:val="NormalHanging12a"/>
        <w:ind w:left="0" w:firstLine="0"/>
        <w:jc w:val="center"/>
      </w:pPr>
      <w:r w:rsidRPr="00BA5CFB">
        <w:t>°     °</w:t>
      </w:r>
    </w:p>
    <w:p w:rsidR="004F0778" w:rsidRPr="00BA5CFB" w:rsidRDefault="0092730C" w:rsidP="004F0778">
      <w:pPr>
        <w:pStyle w:val="NormalHanging12a"/>
      </w:pPr>
      <w:r w:rsidRPr="00BA5CFB">
        <w:t>47</w:t>
      </w:r>
      <w:r w:rsidR="004F0778" w:rsidRPr="00BA5CFB">
        <w:t>.</w:t>
      </w:r>
      <w:r w:rsidR="004F0778" w:rsidRPr="00BA5CFB">
        <w:tab/>
        <w:t>poveruje svoju predsedníčku, aby postúpila toto uznesenie Rade, Komisii, Európskej centrálnej banke, Jednotnej rade pre riešenie krízových situácií a Európskemu orgánu pre bankovníctvo.</w:t>
      </w:r>
    </w:p>
    <w:sectPr w:rsidR="004F0778" w:rsidRPr="00BA5CFB" w:rsidSect="007527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191" w:rsidRPr="0075273E" w:rsidRDefault="00890191">
      <w:r w:rsidRPr="0075273E">
        <w:separator/>
      </w:r>
    </w:p>
  </w:endnote>
  <w:endnote w:type="continuationSeparator" w:id="0">
    <w:p w:rsidR="00890191" w:rsidRPr="0075273E" w:rsidRDefault="00890191">
      <w:r w:rsidRPr="007527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27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27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27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191" w:rsidRPr="0075273E" w:rsidRDefault="00890191">
      <w:r w:rsidRPr="0075273E">
        <w:separator/>
      </w:r>
    </w:p>
  </w:footnote>
  <w:footnote w:type="continuationSeparator" w:id="0">
    <w:p w:rsidR="00890191" w:rsidRPr="0075273E" w:rsidRDefault="00890191">
      <w:r w:rsidRPr="0075273E">
        <w:continuationSeparator/>
      </w:r>
    </w:p>
  </w:footnote>
  <w:footnote w:id="1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>Ú. v. EÚ </w:t>
      </w:r>
      <w:r w:rsidR="00F421F0">
        <w:rPr>
          <w:sz w:val="24"/>
          <w:lang w:val="sk-SK"/>
        </w:rPr>
        <w:t xml:space="preserve">C, </w:t>
      </w:r>
      <w:r w:rsidRPr="0075273E">
        <w:rPr>
          <w:sz w:val="24"/>
          <w:lang w:val="sk-SK"/>
        </w:rPr>
        <w:t xml:space="preserve">C/2024/5706, 17.10.2024, ELI: </w:t>
      </w:r>
      <w:hyperlink r:id="rId1" w:history="1">
        <w:r w:rsidRPr="0075273E">
          <w:rPr>
            <w:rStyle w:val="Hyperlink"/>
            <w:sz w:val="24"/>
            <w:lang w:val="sk-SK"/>
          </w:rPr>
          <w:t>http://data.europa.eu/eli/C/2024/5706/oj</w:t>
        </w:r>
      </w:hyperlink>
      <w:r w:rsidRPr="0075273E">
        <w:rPr>
          <w:sz w:val="24"/>
          <w:lang w:val="sk-SK"/>
        </w:rPr>
        <w:t>.</w:t>
      </w:r>
    </w:p>
  </w:footnote>
  <w:footnote w:id="2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color w:val="000000" w:themeColor="text1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>Smernica Európskeho parlamentu a Rady (EÚ) 2024/1640 z 31. mája 2024 o mechanizmoch, ktoré majú členské štáty zaviesť na predchádzanie využívaniu finančného systému na účely prania špinavých peňazí alebo financovania terorizmu, ktorou sa mení smernica (EÚ) 2019/1937 a mení a zrušuje smernica (EÚ) 2015/849 (Ú. v. </w:t>
      </w:r>
      <w:r w:rsidRPr="0075273E">
        <w:rPr>
          <w:sz w:val="24"/>
          <w:lang w:val="sk-SK"/>
        </w:rPr>
        <w:t>EÚ L, 2024/1640, 19.6.2024, ELI:</w:t>
      </w:r>
      <w:r w:rsidRPr="0075273E">
        <w:rPr>
          <w:color w:val="000000" w:themeColor="text1"/>
          <w:sz w:val="24"/>
          <w:lang w:val="sk-SK"/>
        </w:rPr>
        <w:t xml:space="preserve"> </w:t>
      </w:r>
      <w:hyperlink r:id="rId2" w:history="1">
        <w:r w:rsidRPr="0075273E">
          <w:rPr>
            <w:rStyle w:val="Hyperlink"/>
            <w:sz w:val="24"/>
            <w:lang w:val="sk-SK"/>
          </w:rPr>
          <w:t>http://data.europa.eu/eli/dir/2024/1640/oj</w:t>
        </w:r>
      </w:hyperlink>
      <w:r w:rsidRPr="0075273E">
        <w:rPr>
          <w:color w:val="000000" w:themeColor="text1"/>
          <w:sz w:val="24"/>
          <w:lang w:val="sk-SK"/>
        </w:rPr>
        <w:t>).</w:t>
      </w:r>
    </w:p>
  </w:footnote>
  <w:footnote w:id="3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>Nariadenie Európskeho parlamentu a Rady (EÚ) 2024/1624 z 31. mája 2024 o predchádzaní využívaniu finančného systému na účely prania špinavých peňazí alebo financovania terorizmu (Ú. v. </w:t>
      </w:r>
      <w:r w:rsidRPr="0075273E">
        <w:rPr>
          <w:sz w:val="24"/>
          <w:lang w:val="sk-SK"/>
        </w:rPr>
        <w:t xml:space="preserve">EÚ L, 2024/1624, 19.6.2024, ELI: </w:t>
      </w:r>
      <w:hyperlink r:id="rId3" w:history="1">
        <w:r w:rsidRPr="0075273E">
          <w:rPr>
            <w:rStyle w:val="Hyperlink"/>
            <w:sz w:val="24"/>
            <w:lang w:val="sk-SK"/>
          </w:rPr>
          <w:t>http://data.europa.eu/eli/reg/2024/1624/oj</w:t>
        </w:r>
      </w:hyperlink>
      <w:r w:rsidRPr="0075273E">
        <w:rPr>
          <w:sz w:val="24"/>
          <w:lang w:val="sk-SK"/>
        </w:rPr>
        <w:t>).</w:t>
      </w:r>
    </w:p>
  </w:footnote>
  <w:footnote w:id="4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color w:val="000000" w:themeColor="text1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>Nariadenie Európskeho parlamentu a Rady (EÚ) 2024/1620 z 31. mája 2024, ktorým sa zriaďuje Úrad pre boj proti praniu špinavých peňazí a financovaniu terorizmu a ktorým sa menia nariadenia (EÚ) č. 1093/2010, (EÚ) č. 1094/2010 a (EÚ) č. 1095/2010 (Ú. v. </w:t>
      </w:r>
      <w:r w:rsidRPr="0075273E">
        <w:rPr>
          <w:sz w:val="24"/>
          <w:lang w:val="sk-SK"/>
        </w:rPr>
        <w:t>EÚ L, 2024/1620, 19.6.2024, ELI:</w:t>
      </w:r>
      <w:r w:rsidRPr="0075273E">
        <w:rPr>
          <w:color w:val="000000" w:themeColor="text1"/>
          <w:sz w:val="24"/>
          <w:u w:color="0000FF"/>
          <w:lang w:val="sk-SK"/>
        </w:rPr>
        <w:t xml:space="preserve"> </w:t>
      </w:r>
      <w:hyperlink r:id="rId4" w:history="1">
        <w:r w:rsidRPr="0075273E">
          <w:rPr>
            <w:rStyle w:val="Hyperlink"/>
            <w:sz w:val="24"/>
            <w:lang w:val="sk-SK"/>
          </w:rPr>
          <w:t>http://data.europa.eu/eli/reg/2024/1620/oj</w:t>
        </w:r>
      </w:hyperlink>
      <w:r w:rsidRPr="0075273E">
        <w:rPr>
          <w:color w:val="000000" w:themeColor="text1"/>
          <w:sz w:val="24"/>
          <w:u w:color="0000FF"/>
          <w:lang w:val="sk-SK"/>
        </w:rPr>
        <w:t>).</w:t>
      </w:r>
    </w:p>
  </w:footnote>
  <w:footnote w:id="5">
    <w:p w:rsidR="004F0778" w:rsidRPr="0075273E" w:rsidRDefault="004F0778" w:rsidP="0075273E">
      <w:pPr>
        <w:pStyle w:val="FootnoteText"/>
        <w:ind w:left="567" w:hanging="567"/>
        <w:rPr>
          <w:color w:val="000000" w:themeColor="text1"/>
          <w:sz w:val="24"/>
          <w:lang w:val="sk-SK"/>
        </w:rPr>
      </w:pPr>
      <w:r w:rsidRPr="0075273E">
        <w:rPr>
          <w:rStyle w:val="FootnoteReference"/>
          <w:color w:val="000000" w:themeColor="text1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>Smernica Európskeho parlamentu a Rady (EÚ) 2024/1619 z 31. mája 2024, ktorou sa mení smernica 2013/36/EÚ, pokiaľ ide o právomoci v oblasti dohľadu, sankcie, pobočky z tretích krajín a environmentálne a sociálne riziká a riziká v oblasti správy a riadenia (Ú. v. </w:t>
      </w:r>
      <w:r w:rsidRPr="0075273E">
        <w:rPr>
          <w:sz w:val="24"/>
          <w:lang w:val="sk-SK"/>
        </w:rPr>
        <w:t>EÚ L, 2024/1619, 19.6.2024, ELI:</w:t>
      </w:r>
      <w:r w:rsidRPr="0075273E">
        <w:rPr>
          <w:color w:val="000000" w:themeColor="text1"/>
          <w:sz w:val="24"/>
          <w:u w:color="0000FF"/>
          <w:lang w:val="sk-SK"/>
        </w:rPr>
        <w:t xml:space="preserve"> </w:t>
      </w:r>
      <w:hyperlink r:id="rId5" w:history="1">
        <w:r w:rsidRPr="0075273E">
          <w:rPr>
            <w:rStyle w:val="Hyperlink"/>
            <w:sz w:val="24"/>
            <w:lang w:val="sk-SK"/>
          </w:rPr>
          <w:t>http://data.europa.eu/eli/dir/2024/1619/oj</w:t>
        </w:r>
      </w:hyperlink>
      <w:r w:rsidRPr="0075273E">
        <w:rPr>
          <w:color w:val="000000" w:themeColor="text1"/>
          <w:sz w:val="24"/>
          <w:u w:color="0000FF"/>
          <w:lang w:val="sk-SK"/>
        </w:rPr>
        <w:t>).</w:t>
      </w:r>
    </w:p>
  </w:footnote>
  <w:footnote w:id="6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color w:val="000000" w:themeColor="text1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>Nariadenie Európskeho parlamentu a Rady (EÚ) 2024/1623 z 31. mája 2024, ktorým sa mení nariadenie (EÚ) č. 575/2013, pokiaľ ide o požiadavky na kreditné riziko, riziko úpravy ocenenia pohľadávky, operačné riziko, trhové riziko a spodnú hranicu pre výstupné hodnoty (Ú. v. </w:t>
      </w:r>
      <w:r w:rsidRPr="0075273E">
        <w:rPr>
          <w:sz w:val="24"/>
          <w:lang w:val="sk-SK"/>
        </w:rPr>
        <w:t>EÚ L</w:t>
      </w:r>
      <w:r w:rsidR="00975665">
        <w:rPr>
          <w:sz w:val="24"/>
          <w:lang w:val="sk-SK"/>
        </w:rPr>
        <w:t>,</w:t>
      </w:r>
      <w:r w:rsidRPr="0075273E">
        <w:rPr>
          <w:sz w:val="24"/>
          <w:lang w:val="sk-SK"/>
        </w:rPr>
        <w:t> 2024/1623, 19.6.2024, ELI:</w:t>
      </w:r>
      <w:r w:rsidRPr="0075273E">
        <w:rPr>
          <w:color w:val="000000" w:themeColor="text1"/>
          <w:sz w:val="24"/>
          <w:u w:color="0000FF"/>
          <w:lang w:val="sk-SK"/>
        </w:rPr>
        <w:t xml:space="preserve"> </w:t>
      </w:r>
      <w:hyperlink r:id="rId6" w:history="1">
        <w:r w:rsidRPr="0075273E">
          <w:rPr>
            <w:rStyle w:val="Hyperlink"/>
            <w:sz w:val="24"/>
            <w:lang w:val="sk-SK"/>
          </w:rPr>
          <w:t>http://data.europa.eu/eli/reg/2024/1623/oj</w:t>
        </w:r>
      </w:hyperlink>
      <w:r w:rsidRPr="0075273E">
        <w:rPr>
          <w:color w:val="000000" w:themeColor="text1"/>
          <w:sz w:val="24"/>
          <w:u w:color="0000FF"/>
          <w:lang w:val="sk-SK"/>
        </w:rPr>
        <w:t>).</w:t>
      </w:r>
    </w:p>
  </w:footnote>
  <w:footnote w:id="7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color w:val="000000" w:themeColor="text1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>Ú. v. </w:t>
      </w:r>
      <w:r w:rsidRPr="0075273E">
        <w:rPr>
          <w:sz w:val="24"/>
          <w:lang w:val="sk-SK"/>
        </w:rPr>
        <w:t>EÚ L, 2024/2795, 31.10.2024, ELI:</w:t>
      </w:r>
      <w:r w:rsidRPr="0075273E">
        <w:rPr>
          <w:color w:val="000000" w:themeColor="text1"/>
          <w:sz w:val="24"/>
          <w:lang w:val="sk-SK"/>
        </w:rPr>
        <w:t xml:space="preserve"> </w:t>
      </w:r>
      <w:hyperlink r:id="rId7" w:history="1">
        <w:r w:rsidRPr="0075273E">
          <w:rPr>
            <w:rStyle w:val="Hyperlink"/>
            <w:sz w:val="24"/>
            <w:lang w:val="sk-SK"/>
          </w:rPr>
          <w:t>http://data.europa.eu/eli/reg_del/2024/2795/oj</w:t>
        </w:r>
      </w:hyperlink>
      <w:r w:rsidRPr="0075273E">
        <w:rPr>
          <w:color w:val="000000" w:themeColor="text1"/>
          <w:sz w:val="24"/>
          <w:lang w:val="sk-SK"/>
        </w:rPr>
        <w:t>.</w:t>
      </w:r>
    </w:p>
  </w:footnote>
  <w:footnote w:id="8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>Prijaté texty, P9_TA(2024)0326.</w:t>
      </w:r>
    </w:p>
  </w:footnote>
  <w:footnote w:id="9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>Prijaté texty, P9_TA(2024)0327.</w:t>
      </w:r>
    </w:p>
  </w:footnote>
  <w:footnote w:id="10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>Prijaté texty, P9_TA(2024)0328.</w:t>
      </w:r>
    </w:p>
  </w:footnote>
  <w:footnote w:id="11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proofErr w:type="spellStart"/>
      <w:r w:rsidRPr="0075273E">
        <w:rPr>
          <w:sz w:val="24"/>
          <w:lang w:val="sk-SK"/>
        </w:rPr>
        <w:t>Véron</w:t>
      </w:r>
      <w:proofErr w:type="spellEnd"/>
      <w:r w:rsidRPr="0075273E">
        <w:rPr>
          <w:sz w:val="24"/>
          <w:lang w:val="sk-SK"/>
        </w:rPr>
        <w:t xml:space="preserve">, N., </w:t>
      </w:r>
      <w:proofErr w:type="spellStart"/>
      <w:r w:rsidRPr="0075273E">
        <w:rPr>
          <w:sz w:val="24"/>
          <w:lang w:val="sk-SK"/>
        </w:rPr>
        <w:t>European’s</w:t>
      </w:r>
      <w:proofErr w:type="spellEnd"/>
      <w:r w:rsidRPr="0075273E">
        <w:rPr>
          <w:sz w:val="24"/>
          <w:lang w:val="sk-SK"/>
        </w:rPr>
        <w:t xml:space="preserve"> banking </w:t>
      </w:r>
      <w:proofErr w:type="spellStart"/>
      <w:r w:rsidRPr="0075273E">
        <w:rPr>
          <w:sz w:val="24"/>
          <w:lang w:val="sk-SK"/>
        </w:rPr>
        <w:t>union</w:t>
      </w:r>
      <w:proofErr w:type="spellEnd"/>
      <w:r w:rsidRPr="0075273E">
        <w:rPr>
          <w:sz w:val="24"/>
          <w:lang w:val="sk-SK"/>
        </w:rPr>
        <w:t xml:space="preserve"> at 10: </w:t>
      </w:r>
      <w:proofErr w:type="spellStart"/>
      <w:r w:rsidRPr="0075273E">
        <w:rPr>
          <w:sz w:val="24"/>
          <w:lang w:val="sk-SK"/>
        </w:rPr>
        <w:t>unfinished</w:t>
      </w:r>
      <w:proofErr w:type="spellEnd"/>
      <w:r w:rsidRPr="0075273E">
        <w:rPr>
          <w:sz w:val="24"/>
          <w:lang w:val="sk-SK"/>
        </w:rPr>
        <w:t xml:space="preserve"> </w:t>
      </w:r>
      <w:proofErr w:type="spellStart"/>
      <w:r w:rsidRPr="0075273E">
        <w:rPr>
          <w:sz w:val="24"/>
          <w:lang w:val="sk-SK"/>
        </w:rPr>
        <w:t>yet</w:t>
      </w:r>
      <w:proofErr w:type="spellEnd"/>
      <w:r w:rsidRPr="0075273E">
        <w:rPr>
          <w:sz w:val="24"/>
          <w:lang w:val="sk-SK"/>
        </w:rPr>
        <w:t xml:space="preserve"> </w:t>
      </w:r>
      <w:proofErr w:type="spellStart"/>
      <w:r w:rsidRPr="0075273E">
        <w:rPr>
          <w:sz w:val="24"/>
          <w:lang w:val="sk-SK"/>
        </w:rPr>
        <w:t>transformative</w:t>
      </w:r>
      <w:proofErr w:type="spellEnd"/>
      <w:r w:rsidRPr="0075273E">
        <w:rPr>
          <w:sz w:val="24"/>
          <w:lang w:val="sk-SK"/>
        </w:rPr>
        <w:t xml:space="preserve">“ (Európska banková únia po desiatich rokoch: nedokončená, ale transformačná), </w:t>
      </w:r>
      <w:proofErr w:type="spellStart"/>
      <w:r w:rsidRPr="0075273E">
        <w:rPr>
          <w:sz w:val="24"/>
          <w:lang w:val="sk-SK"/>
        </w:rPr>
        <w:t>Peterson</w:t>
      </w:r>
      <w:proofErr w:type="spellEnd"/>
      <w:r w:rsidRPr="0075273E">
        <w:rPr>
          <w:sz w:val="24"/>
          <w:lang w:val="sk-SK"/>
        </w:rPr>
        <w:t xml:space="preserve"> </w:t>
      </w:r>
      <w:proofErr w:type="spellStart"/>
      <w:r w:rsidRPr="0075273E">
        <w:rPr>
          <w:sz w:val="24"/>
          <w:lang w:val="sk-SK"/>
        </w:rPr>
        <w:t>Institute</w:t>
      </w:r>
      <w:proofErr w:type="spellEnd"/>
      <w:r w:rsidRPr="0075273E">
        <w:rPr>
          <w:sz w:val="24"/>
          <w:lang w:val="sk-SK"/>
        </w:rPr>
        <w:t xml:space="preserve"> </w:t>
      </w:r>
      <w:proofErr w:type="spellStart"/>
      <w:r w:rsidRPr="0075273E">
        <w:rPr>
          <w:sz w:val="24"/>
          <w:lang w:val="sk-SK"/>
        </w:rPr>
        <w:t>for</w:t>
      </w:r>
      <w:proofErr w:type="spellEnd"/>
      <w:r w:rsidRPr="0075273E">
        <w:rPr>
          <w:sz w:val="24"/>
          <w:lang w:val="sk-SK"/>
        </w:rPr>
        <w:t xml:space="preserve"> International </w:t>
      </w:r>
      <w:proofErr w:type="spellStart"/>
      <w:r w:rsidRPr="0075273E">
        <w:rPr>
          <w:sz w:val="24"/>
          <w:lang w:val="sk-SK"/>
        </w:rPr>
        <w:t>Economics</w:t>
      </w:r>
      <w:proofErr w:type="spellEnd"/>
      <w:r w:rsidRPr="0075273E">
        <w:rPr>
          <w:sz w:val="24"/>
          <w:lang w:val="sk-SK"/>
        </w:rPr>
        <w:t>, pracovný dokument č. 24-15, jún 2024.</w:t>
      </w:r>
    </w:p>
  </w:footnote>
  <w:footnote w:id="12">
    <w:p w:rsidR="004F0778" w:rsidRPr="0075273E" w:rsidRDefault="004F0778" w:rsidP="0075273E">
      <w:pPr>
        <w:pStyle w:val="FootnoteText"/>
        <w:ind w:left="567" w:hanging="567"/>
        <w:rPr>
          <w:color w:val="000000" w:themeColor="text1"/>
          <w:sz w:val="24"/>
          <w:lang w:val="sk-SK"/>
        </w:rPr>
      </w:pPr>
      <w:r w:rsidRPr="0075273E">
        <w:rPr>
          <w:rStyle w:val="FootnoteReference"/>
          <w:color w:val="000000" w:themeColor="text1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>Ú. v. EÚ C 23, 21.1.2021, s. 105.</w:t>
      </w:r>
    </w:p>
  </w:footnote>
  <w:footnote w:id="13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>Ú. v. EÚ C 494, 8.12.2021, s. 118.</w:t>
      </w:r>
    </w:p>
  </w:footnote>
  <w:footnote w:id="14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proofErr w:type="spellStart"/>
      <w:r w:rsidRPr="0075273E">
        <w:rPr>
          <w:sz w:val="24"/>
          <w:lang w:val="sk-SK"/>
        </w:rPr>
        <w:t>Draghiho</w:t>
      </w:r>
      <w:proofErr w:type="spellEnd"/>
      <w:r w:rsidRPr="0075273E">
        <w:rPr>
          <w:sz w:val="24"/>
          <w:lang w:val="sk-SK"/>
        </w:rPr>
        <w:t xml:space="preserve"> správa, s. 61.</w:t>
      </w:r>
    </w:p>
  </w:footnote>
  <w:footnote w:id="15">
    <w:p w:rsidR="004F0778" w:rsidRPr="0075273E" w:rsidRDefault="004F0778" w:rsidP="0075273E">
      <w:pPr>
        <w:pStyle w:val="FootnoteText"/>
        <w:ind w:left="567" w:hanging="567"/>
        <w:rPr>
          <w:sz w:val="24"/>
          <w:lang w:val="sk-SK"/>
        </w:rPr>
      </w:pPr>
      <w:r w:rsidRPr="0075273E">
        <w:rPr>
          <w:rStyle w:val="FootnoteReference"/>
          <w:sz w:val="24"/>
          <w:lang w:val="sk-SK"/>
        </w:rPr>
        <w:footnoteRef/>
      </w:r>
      <w:r w:rsidR="0075273E" w:rsidRPr="0075273E">
        <w:rPr>
          <w:sz w:val="24"/>
          <w:lang w:val="sk-SK"/>
        </w:rPr>
        <w:t xml:space="preserve"> </w:t>
      </w:r>
      <w:r w:rsidR="0075273E" w:rsidRPr="0075273E">
        <w:rPr>
          <w:sz w:val="24"/>
          <w:lang w:val="sk-SK"/>
        </w:rPr>
        <w:tab/>
      </w:r>
      <w:r w:rsidRPr="0075273E">
        <w:rPr>
          <w:sz w:val="24"/>
          <w:lang w:val="sk-SK"/>
        </w:rPr>
        <w:t xml:space="preserve">Von der </w:t>
      </w:r>
      <w:proofErr w:type="spellStart"/>
      <w:r w:rsidRPr="0075273E">
        <w:rPr>
          <w:sz w:val="24"/>
          <w:lang w:val="sk-SK"/>
        </w:rPr>
        <w:t>Leyen</w:t>
      </w:r>
      <w:proofErr w:type="spellEnd"/>
      <w:r w:rsidRPr="0075273E">
        <w:rPr>
          <w:sz w:val="24"/>
          <w:lang w:val="sk-SK"/>
        </w:rPr>
        <w:t xml:space="preserve">, </w:t>
      </w:r>
      <w:proofErr w:type="spellStart"/>
      <w:r w:rsidRPr="0075273E">
        <w:rPr>
          <w:sz w:val="24"/>
          <w:lang w:val="sk-SK"/>
        </w:rPr>
        <w:t>Ursula</w:t>
      </w:r>
      <w:proofErr w:type="spellEnd"/>
      <w:r w:rsidRPr="0075273E">
        <w:rPr>
          <w:sz w:val="24"/>
          <w:lang w:val="sk-SK"/>
        </w:rPr>
        <w:t>, Európa má na výber:</w:t>
      </w:r>
      <w:r w:rsidRPr="0075273E">
        <w:rPr>
          <w:i/>
          <w:sz w:val="24"/>
          <w:lang w:val="sk-SK"/>
        </w:rPr>
        <w:t xml:space="preserve"> </w:t>
      </w:r>
      <w:r w:rsidRPr="0075273E">
        <w:rPr>
          <w:sz w:val="24"/>
          <w:lang w:val="sk-SK"/>
        </w:rPr>
        <w:t>politické usmernenia pre budúcu Európsku komisiu 2024 – 2029, s. 11.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27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27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27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4/2025"/>
    <w:docVar w:name="dvlangue" w:val="SK"/>
    <w:docVar w:name="dvnumam" w:val="0"/>
    <w:docVar w:name="dvpe" w:val="765.133"/>
    <w:docVar w:name="dvrapporteur" w:val="Spravodajca: "/>
    <w:docVar w:name="dvtitre" w:val="Uznesenie Európskeho parlamentu z xx. mája 2025 o bankovej únii – výročná správa za rok 2024(2024/2055(INI))"/>
  </w:docVars>
  <w:rsids>
    <w:rsidRoot w:val="0089019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64A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77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667B"/>
    <w:rsid w:val="00747932"/>
    <w:rsid w:val="00751A4A"/>
    <w:rsid w:val="0075273E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191"/>
    <w:rsid w:val="008C2AC6"/>
    <w:rsid w:val="0092730C"/>
    <w:rsid w:val="00930C23"/>
    <w:rsid w:val="0093193B"/>
    <w:rsid w:val="00950784"/>
    <w:rsid w:val="009509D8"/>
    <w:rsid w:val="00950B64"/>
    <w:rsid w:val="0097566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AD5"/>
    <w:rsid w:val="00BA5CF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1F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D1A82"/>
  <w15:chartTrackingRefBased/>
  <w15:docId w15:val="{7F0FA1A8-D533-4565-84F2-EC74CB4C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F0778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4F0778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4F0778"/>
    <w:pPr>
      <w:spacing w:after="240"/>
      <w:jc w:val="center"/>
    </w:pPr>
  </w:style>
  <w:style w:type="character" w:customStyle="1" w:styleId="BoldItalic">
    <w:name w:val="BoldItalic"/>
    <w:uiPriority w:val="1"/>
    <w:rsid w:val="004F0778"/>
    <w:rPr>
      <w:b/>
      <w:i/>
      <w:u w:val="none"/>
    </w:rPr>
  </w:style>
  <w:style w:type="character" w:customStyle="1" w:styleId="Italic">
    <w:name w:val="Italic"/>
    <w:uiPriority w:val="1"/>
    <w:rsid w:val="004F0778"/>
    <w:rPr>
      <w:i/>
    </w:rPr>
  </w:style>
  <w:style w:type="paragraph" w:customStyle="1" w:styleId="Normal12a24b">
    <w:name w:val="Normal12a24b"/>
    <w:basedOn w:val="Normal"/>
    <w:rsid w:val="004F0778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4F07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624/oj" TargetMode="External"/><Relationship Id="rId7" Type="http://schemas.openxmlformats.org/officeDocument/2006/relationships/hyperlink" Target="http://data.europa.eu/eli/reg_del/2024/2795/oj" TargetMode="External"/><Relationship Id="rId2" Type="http://schemas.openxmlformats.org/officeDocument/2006/relationships/hyperlink" Target="http://data.europa.eu/eli/dir/2024/1640/oj" TargetMode="External"/><Relationship Id="rId1" Type="http://schemas.openxmlformats.org/officeDocument/2006/relationships/hyperlink" Target="http://data.europa.eu/eli/C/2024/5706/oj" TargetMode="External"/><Relationship Id="rId6" Type="http://schemas.openxmlformats.org/officeDocument/2006/relationships/hyperlink" Target="http://data.europa.eu/eli/reg/2024/1623/oj" TargetMode="External"/><Relationship Id="rId5" Type="http://schemas.openxmlformats.org/officeDocument/2006/relationships/hyperlink" Target="http://data.europa.eu/eli/dir/2024/1619/oj" TargetMode="External"/><Relationship Id="rId4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A5C18-B81E-458A-8E7D-33C999E66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3875</Words>
  <Characters>24055</Characters>
  <Application>Microsoft Office Word</Application>
  <DocSecurity>0</DocSecurity>
  <Lines>200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2025-06-11T10:51:00Z</dcterms:created>
  <dcterms:modified xsi:type="dcterms:W3CDTF">2025-06-11T10:51:00Z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A10-0044/2025</vt:lpwstr>
  </property>
  <property fmtid="{D5CDD505-2E9C-101B-9397-08002B2CF9AE}" pid="4" name="&lt;Type&gt;">
    <vt:lpwstr>RR</vt:lpwstr>
  </property>
</Properties>
</file>