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AAB" w:rsidTr="0010095E">
        <w:trPr>
          <w:trHeight w:hRule="exact" w:val="1418"/>
        </w:trPr>
        <w:tc>
          <w:tcPr>
            <w:tcW w:w="6804" w:type="dxa"/>
            <w:shd w:val="clear" w:color="auto" w:fill="auto"/>
            <w:vAlign w:val="center"/>
          </w:tcPr>
          <w:p w:rsidR="00751A4A" w:rsidRPr="00304AAB" w:rsidRDefault="004741C7" w:rsidP="0010095E">
            <w:pPr>
              <w:pStyle w:val="EPName"/>
            </w:pPr>
            <w:r w:rsidRPr="00304AAB">
              <w:t>Europa-Parlamentet</w:t>
            </w:r>
          </w:p>
          <w:p w:rsidR="00751A4A" w:rsidRPr="00304AAB" w:rsidRDefault="005F1B17" w:rsidP="005F1B17">
            <w:pPr>
              <w:pStyle w:val="EPTerm"/>
              <w:rPr>
                <w:rStyle w:val="HideTWBExt"/>
                <w:noProof w:val="0"/>
                <w:vanish w:val="0"/>
                <w:color w:val="auto"/>
              </w:rPr>
            </w:pPr>
            <w:r w:rsidRPr="00304AAB">
              <w:t>2024</w:t>
            </w:r>
            <w:r w:rsidR="00817416" w:rsidRPr="00304AAB">
              <w:t>-202</w:t>
            </w:r>
            <w:r w:rsidRPr="00304AAB">
              <w:t>9</w:t>
            </w:r>
          </w:p>
        </w:tc>
        <w:tc>
          <w:tcPr>
            <w:tcW w:w="2268" w:type="dxa"/>
            <w:shd w:val="clear" w:color="auto" w:fill="auto"/>
          </w:tcPr>
          <w:p w:rsidR="00751A4A" w:rsidRPr="00304AAB" w:rsidRDefault="00187494" w:rsidP="0010095E">
            <w:pPr>
              <w:pStyle w:val="EPLogo"/>
            </w:pPr>
            <w:r w:rsidRPr="00304A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AAB" w:rsidRDefault="00D058B8" w:rsidP="004C5D52">
      <w:pPr>
        <w:pStyle w:val="LineTop"/>
      </w:pPr>
    </w:p>
    <w:p w:rsidR="00680577" w:rsidRPr="00304AAB" w:rsidRDefault="004741C7" w:rsidP="00680577">
      <w:pPr>
        <w:pStyle w:val="EPBodyTA1"/>
      </w:pPr>
      <w:r w:rsidRPr="00304AAB">
        <w:t>VEDTAGNE TEKSTER</w:t>
      </w:r>
    </w:p>
    <w:p w:rsidR="00D058B8" w:rsidRPr="00304AAB" w:rsidRDefault="00D058B8" w:rsidP="00D058B8">
      <w:pPr>
        <w:pStyle w:val="LineBottom"/>
      </w:pPr>
    </w:p>
    <w:p w:rsidR="004741C7" w:rsidRPr="00DF0370" w:rsidRDefault="004741C7" w:rsidP="004741C7">
      <w:pPr>
        <w:pStyle w:val="ATHeading1"/>
      </w:pPr>
      <w:bookmarkStart w:id="0" w:name="TANumber"/>
      <w:r w:rsidRPr="00DF0370">
        <w:t>P10_TA(2025)0</w:t>
      </w:r>
      <w:r w:rsidR="00EC7BAF">
        <w:t>106</w:t>
      </w:r>
      <w:bookmarkStart w:id="1" w:name="_GoBack"/>
      <w:bookmarkEnd w:id="0"/>
      <w:bookmarkEnd w:id="1"/>
    </w:p>
    <w:p w:rsidR="004741C7" w:rsidRPr="00DF0370" w:rsidRDefault="00D74230" w:rsidP="004741C7">
      <w:pPr>
        <w:pStyle w:val="ATHeading2"/>
      </w:pPr>
      <w:bookmarkStart w:id="2" w:name="title"/>
      <w:r w:rsidRPr="00DF0370">
        <w:t>G</w:t>
      </w:r>
      <w:r w:rsidR="004741C7" w:rsidRPr="00DF0370">
        <w:t>enetisk modificerede sojabønne MON 87705 × MON 87708 × MON 89788</w:t>
      </w:r>
      <w:bookmarkEnd w:id="2"/>
    </w:p>
    <w:p w:rsidR="004741C7" w:rsidRPr="00304AAB" w:rsidRDefault="004741C7" w:rsidP="004741C7">
      <w:pPr>
        <w:rPr>
          <w:i/>
          <w:vanish/>
        </w:rPr>
      </w:pPr>
      <w:r w:rsidRPr="00304AAB">
        <w:rPr>
          <w:i/>
        </w:rPr>
        <w:fldChar w:fldCharType="begin"/>
      </w:r>
      <w:r w:rsidRPr="00304AAB">
        <w:rPr>
          <w:i/>
        </w:rPr>
        <w:instrText xml:space="preserve"> TC"(</w:instrText>
      </w:r>
      <w:bookmarkStart w:id="3" w:name="DocNumber"/>
      <w:r w:rsidRPr="00304AAB">
        <w:rPr>
          <w:i/>
        </w:rPr>
        <w:instrText>B10-0244/2025</w:instrText>
      </w:r>
      <w:bookmarkEnd w:id="3"/>
      <w:r w:rsidRPr="00304AAB">
        <w:rPr>
          <w:i/>
        </w:rPr>
        <w:instrText xml:space="preserve">)"\l3 \n&gt; \* MERGEFORMAT </w:instrText>
      </w:r>
      <w:r w:rsidRPr="00304AAB">
        <w:rPr>
          <w:i/>
        </w:rPr>
        <w:fldChar w:fldCharType="end"/>
      </w:r>
    </w:p>
    <w:p w:rsidR="004741C7" w:rsidRPr="00DF0370" w:rsidRDefault="004741C7" w:rsidP="004741C7">
      <w:pPr>
        <w:rPr>
          <w:vanish/>
        </w:rPr>
      </w:pPr>
      <w:bookmarkStart w:id="4" w:name="PE"/>
      <w:r w:rsidRPr="0027020E">
        <w:rPr>
          <w:vanish/>
        </w:rPr>
        <w:t>PE772.013</w:t>
      </w:r>
      <w:bookmarkEnd w:id="4"/>
    </w:p>
    <w:p w:rsidR="004741C7" w:rsidRPr="00DF0370" w:rsidRDefault="004741C7" w:rsidP="004741C7">
      <w:pPr>
        <w:pStyle w:val="ATHeading3"/>
      </w:pPr>
      <w:bookmarkStart w:id="5" w:name="Sujet"/>
      <w:r w:rsidRPr="00DF0370">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w:t>
      </w:r>
      <w:bookmarkEnd w:id="5"/>
      <w:r w:rsidRPr="00DF0370">
        <w:t xml:space="preserve"> </w:t>
      </w:r>
      <w:bookmarkStart w:id="6" w:name="References"/>
      <w:r w:rsidRPr="00DF0370">
        <w:t>(D105678/0</w:t>
      </w:r>
      <w:r w:rsidR="00D74230" w:rsidRPr="00DF0370">
        <w:t>3</w:t>
      </w:r>
      <w:r w:rsidRPr="00DF0370">
        <w:t xml:space="preserve"> – 2025/2647(RSP))</w:t>
      </w:r>
      <w:bookmarkEnd w:id="6"/>
    </w:p>
    <w:p w:rsidR="00A50528" w:rsidRPr="0027020E" w:rsidRDefault="00A50528" w:rsidP="00A50528">
      <w:pPr>
        <w:pStyle w:val="EPComma"/>
      </w:pPr>
      <w:bookmarkStart w:id="7" w:name="TextBodyBegin"/>
      <w:bookmarkEnd w:id="7"/>
      <w:r w:rsidRPr="00304AAB">
        <w:rPr>
          <w:i/>
          <w:iCs/>
        </w:rPr>
        <w:t>Europa-Parlamentet,</w:t>
      </w:r>
    </w:p>
    <w:p w:rsidR="00A50528" w:rsidRPr="00DF0370" w:rsidRDefault="00A50528" w:rsidP="00A50528">
      <w:pPr>
        <w:pStyle w:val="NormalHanging12a"/>
        <w:rPr>
          <w:szCs w:val="24"/>
        </w:rPr>
      </w:pPr>
      <w:r w:rsidRPr="00DF0370">
        <w:rPr>
          <w:szCs w:val="24"/>
        </w:rPr>
        <w:t>–</w:t>
      </w:r>
      <w:r w:rsidRPr="00DF0370">
        <w:rPr>
          <w:szCs w:val="24"/>
        </w:rPr>
        <w:tab/>
        <w:t>der henviser til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(D105678/03),</w:t>
      </w:r>
    </w:p>
    <w:p w:rsidR="00A50528" w:rsidRPr="0027020E" w:rsidRDefault="00A50528" w:rsidP="00A50528">
      <w:pPr>
        <w:pStyle w:val="NormalHanging12a"/>
        <w:rPr>
          <w:szCs w:val="24"/>
        </w:rPr>
      </w:pPr>
      <w:r w:rsidRPr="00DF0370">
        <w:rPr>
          <w:szCs w:val="24"/>
        </w:rPr>
        <w:t>–</w:t>
      </w:r>
      <w:r w:rsidRPr="00DF0370">
        <w:rPr>
          <w:szCs w:val="24"/>
        </w:rPr>
        <w:tab/>
        <w:t>der henviser til Europa-Parlamentets og Rådets forordning (EF) nr. 1829/2003 af 22. september 2003 om genetisk modificerede fødevarer og foderstoffer</w:t>
      </w:r>
      <w:r w:rsidRPr="00304AAB">
        <w:rPr>
          <w:rStyle w:val="FootnoteReference"/>
          <w:szCs w:val="24"/>
        </w:rPr>
        <w:footnoteReference w:id="1"/>
      </w:r>
      <w:r w:rsidRPr="00304AAB">
        <w:rPr>
          <w:szCs w:val="24"/>
        </w:rPr>
        <w:t>, særlig artikel 7, stk. 3, og artikel 19, stk. 3,</w:t>
      </w:r>
    </w:p>
    <w:p w:rsidR="00A50528" w:rsidRPr="00DF0370" w:rsidRDefault="00A50528" w:rsidP="00A50528">
      <w:pPr>
        <w:pStyle w:val="NormalHanging12a"/>
        <w:rPr>
          <w:szCs w:val="24"/>
        </w:rPr>
      </w:pPr>
      <w:r w:rsidRPr="00DF0370">
        <w:rPr>
          <w:szCs w:val="24"/>
        </w:rPr>
        <w:t>–</w:t>
      </w:r>
      <w:r w:rsidRPr="00DF0370">
        <w:rPr>
          <w:szCs w:val="24"/>
        </w:rPr>
        <w:tab/>
        <w:t>der henviser til afstemningen i Den Stående Komité for Planter, Dyr, Fødevarer og Foder, jf. artikel 35 i forordning (EF) nr. 1829/2003, den 28. februar 2025, som ikke mundede ud i en udtalelse,</w:t>
      </w:r>
    </w:p>
    <w:p w:rsidR="00A50528" w:rsidRPr="0027020E" w:rsidRDefault="00A50528" w:rsidP="00A50528">
      <w:pPr>
        <w:pStyle w:val="NormalHanging12a"/>
        <w:rPr>
          <w:szCs w:val="24"/>
        </w:rPr>
      </w:pPr>
      <w:r w:rsidRPr="00DF0370">
        <w:rPr>
          <w:szCs w:val="24"/>
        </w:rPr>
        <w:t>–</w:t>
      </w:r>
      <w:r w:rsidRPr="00DF0370">
        <w:rPr>
          <w:szCs w:val="24"/>
        </w:rPr>
        <w:tab/>
        <w:t>der henviser til artikel 11 i Europa-Parlamentets og Rådets forordning (EU) nr.</w:t>
      </w:r>
      <w:r w:rsidR="00D74230" w:rsidRPr="00DF0370">
        <w:rPr>
          <w:szCs w:val="24"/>
        </w:rPr>
        <w:t> </w:t>
      </w:r>
      <w:r w:rsidRPr="00DF0370">
        <w:rPr>
          <w:szCs w:val="24"/>
        </w:rPr>
        <w:t>182/2011 af 16. februar 2011 om de generelle regler og principper for, hvordan medlemsstaterne skal kontrollere Kommissionens udøvelse af gennemførelsesbeføjelser</w:t>
      </w:r>
      <w:r w:rsidRPr="00304AAB">
        <w:rPr>
          <w:rStyle w:val="FootnoteReference"/>
          <w:szCs w:val="24"/>
        </w:rPr>
        <w:footnoteReference w:id="2"/>
      </w:r>
      <w:r w:rsidRPr="00304AAB">
        <w:rPr>
          <w:szCs w:val="24"/>
        </w:rPr>
        <w:t>,</w:t>
      </w:r>
    </w:p>
    <w:p w:rsidR="00A50528" w:rsidRPr="0027020E" w:rsidRDefault="00A50528" w:rsidP="00A50528">
      <w:pPr>
        <w:pStyle w:val="NormalHanging12a"/>
        <w:rPr>
          <w:szCs w:val="24"/>
        </w:rPr>
      </w:pPr>
      <w:r w:rsidRPr="00DF0370">
        <w:rPr>
          <w:szCs w:val="24"/>
        </w:rPr>
        <w:t>–</w:t>
      </w:r>
      <w:r w:rsidRPr="00DF0370">
        <w:rPr>
          <w:szCs w:val="24"/>
        </w:rPr>
        <w:tab/>
        <w:t xml:space="preserve">der henviser til den udtalelse, der blev vedtaget af Den Europæiske Fødevaresikkerhedsautoritet (EFSA) den 2. april 2020 og offentliggjort den 18. maj </w:t>
      </w:r>
      <w:r w:rsidRPr="00DF0370">
        <w:rPr>
          <w:szCs w:val="24"/>
        </w:rPr>
        <w:lastRenderedPageBreak/>
        <w:t>2020</w:t>
      </w:r>
      <w:r w:rsidRPr="00304AAB">
        <w:rPr>
          <w:rStyle w:val="FootnoteReference"/>
          <w:szCs w:val="24"/>
        </w:rPr>
        <w:footnoteReference w:id="3"/>
      </w:r>
      <w:r w:rsidRPr="00304AAB">
        <w:rPr>
          <w:szCs w:val="24"/>
        </w:rPr>
        <w:t>,</w:t>
      </w:r>
    </w:p>
    <w:p w:rsidR="00A50528" w:rsidRPr="0027020E" w:rsidRDefault="00A50528" w:rsidP="00A50528">
      <w:pPr>
        <w:pStyle w:val="NormalHanging12a"/>
        <w:rPr>
          <w:szCs w:val="24"/>
        </w:rPr>
      </w:pPr>
      <w:r w:rsidRPr="00304AAB">
        <w:rPr>
          <w:szCs w:val="24"/>
        </w:rPr>
        <w:sym w:font="Symbol" w:char="F02D"/>
      </w:r>
      <w:r w:rsidRPr="00304AAB">
        <w:rPr>
          <w:szCs w:val="24"/>
        </w:rPr>
        <w:tab/>
      </w:r>
      <w:r w:rsidRPr="0027020E">
        <w:rPr>
          <w:szCs w:val="24"/>
          <w:shd w:val="clear" w:color="auto" w:fill="FFFFFF"/>
        </w:rPr>
        <w:t>der henviser til sine tidligere beslutninger, hvori det gør indsig</w:t>
      </w:r>
      <w:r w:rsidRPr="00DF0370">
        <w:rPr>
          <w:szCs w:val="24"/>
          <w:shd w:val="clear" w:color="auto" w:fill="FFFFFF"/>
        </w:rPr>
        <w:t>else mod godkendelsen af genetisk modificerede organismer (GMO'er)</w:t>
      </w:r>
      <w:r w:rsidRPr="00304AAB">
        <w:rPr>
          <w:rStyle w:val="FootnoteReference"/>
          <w:szCs w:val="24"/>
          <w:shd w:val="clear" w:color="auto" w:fill="FFFFFF"/>
        </w:rPr>
        <w:footnoteReference w:id="4"/>
      </w:r>
      <w:r w:rsidRPr="00304AAB">
        <w:rPr>
          <w:szCs w:val="24"/>
          <w:shd w:val="clear" w:color="auto" w:fill="FFFFFF"/>
        </w:rPr>
        <w:t>,</w:t>
      </w:r>
    </w:p>
    <w:p w:rsidR="00A50528" w:rsidRPr="00DF0370" w:rsidRDefault="00A50528" w:rsidP="00A50528">
      <w:pPr>
        <w:pStyle w:val="NormalHanging12a"/>
        <w:rPr>
          <w:szCs w:val="24"/>
        </w:rPr>
      </w:pPr>
      <w:r w:rsidRPr="00DF0370">
        <w:rPr>
          <w:szCs w:val="24"/>
        </w:rPr>
        <w:lastRenderedPageBreak/>
        <w:t>–</w:t>
      </w:r>
      <w:r w:rsidRPr="00DF0370">
        <w:rPr>
          <w:szCs w:val="24"/>
        </w:rPr>
        <w:tab/>
        <w:t>der henviser til forretningsordenens artikel 115, stk. 2 og 3,</w:t>
      </w:r>
    </w:p>
    <w:p w:rsidR="00A50528" w:rsidRPr="00DF0370" w:rsidRDefault="00A50528" w:rsidP="00A50528">
      <w:pPr>
        <w:pStyle w:val="NormalHanging12a"/>
        <w:rPr>
          <w:szCs w:val="24"/>
        </w:rPr>
      </w:pPr>
      <w:r w:rsidRPr="00DF0370">
        <w:rPr>
          <w:szCs w:val="24"/>
        </w:rPr>
        <w:t>–</w:t>
      </w:r>
      <w:r w:rsidRPr="00DF0370">
        <w:rPr>
          <w:szCs w:val="24"/>
        </w:rPr>
        <w:tab/>
        <w:t>der henviser til forslag til beslutning fra Udvalget om Miljø, Klima og Fødevaresikkerhed,</w:t>
      </w:r>
    </w:p>
    <w:p w:rsidR="00A50528" w:rsidRPr="00DF0370" w:rsidRDefault="00A50528" w:rsidP="00A50528">
      <w:pPr>
        <w:pStyle w:val="NormalHanging12a"/>
        <w:rPr>
          <w:szCs w:val="24"/>
        </w:rPr>
      </w:pPr>
      <w:r w:rsidRPr="00DF0370">
        <w:rPr>
          <w:szCs w:val="24"/>
        </w:rPr>
        <w:t>A.</w:t>
      </w:r>
      <w:r w:rsidRPr="00DF0370">
        <w:rPr>
          <w:szCs w:val="24"/>
        </w:rPr>
        <w:tab/>
        <w:t xml:space="preserve">der henviser til, at Monsanto Europe S.A/N.V. på vegne af Monsanto Company, baseret i USA, den 11. september 2015 indgav en ansøgning til Nederlandenes nationale kompetente myndighed om tilladelse til markedsføring af fødevarer, fødevareingredienser og foderstoffer, der indeholder, består af eller er fremstillet af genetisk modificeret </w:t>
      </w:r>
      <w:bookmarkStart w:id="8" w:name="_Hlk183685905"/>
      <w:r w:rsidRPr="00DF0370">
        <w:rPr>
          <w:szCs w:val="24"/>
        </w:rPr>
        <w:t>MON 87705 × MON 87708 × MON 89788-sojabønne</w:t>
      </w:r>
      <w:bookmarkEnd w:id="8"/>
      <w:r w:rsidRPr="00DF0370">
        <w:rPr>
          <w:szCs w:val="24"/>
        </w:rPr>
        <w:t xml:space="preserve"> (GM-sojabønnen) i henhold til artikel 5 og 17 i forordning (EF) nr. 1829/2003("ansøgningen"). der henviser til, at ansøgningen også omfattede markedsføring af produkter, der indeholder eller består af den genmodificerede sojabønne, til andre anvendelsesformål end fødevarer og foderstoffer undtagen dyrkning;</w:t>
      </w:r>
    </w:p>
    <w:p w:rsidR="00A50528" w:rsidRPr="00DF0370" w:rsidRDefault="00A50528" w:rsidP="00A50528">
      <w:pPr>
        <w:pStyle w:val="NormalHanging12a"/>
        <w:rPr>
          <w:szCs w:val="24"/>
        </w:rPr>
      </w:pPr>
      <w:r w:rsidRPr="00DF0370">
        <w:rPr>
          <w:szCs w:val="24"/>
        </w:rPr>
        <w:t>B.</w:t>
      </w:r>
      <w:r w:rsidRPr="00DF0370">
        <w:rPr>
          <w:szCs w:val="24"/>
        </w:rPr>
        <w:tab/>
        <w:t>der henviser til, at EFSA den 2. april 2020 vedtog en positiv udtalelse om GM-sojabønnen, som blev offentliggjort den 18. maj 2020; der henviser til, at EFSA i sin udtalelse tog alle spørgsmål og problemstillinger i betragtning, som medlemsstaterne havde rejst under den høring af de nationale kompetente myndigheder, der blev gennemført i henhold til artikel 6, stk. 4, og artikel 18, stk. 4, i forordning (EF) nr. 1829/2003.</w:t>
      </w:r>
    </w:p>
    <w:p w:rsidR="00A50528" w:rsidRPr="00DF0370" w:rsidRDefault="00A50528" w:rsidP="00A50528">
      <w:pPr>
        <w:pStyle w:val="NormalHanging12a"/>
        <w:rPr>
          <w:szCs w:val="24"/>
        </w:rPr>
      </w:pPr>
      <w:r w:rsidRPr="00DF0370">
        <w:rPr>
          <w:szCs w:val="24"/>
        </w:rPr>
        <w:t>C.</w:t>
      </w:r>
      <w:r w:rsidRPr="00DF0370">
        <w:rPr>
          <w:szCs w:val="24"/>
        </w:rPr>
        <w:tab/>
        <w:t>der henviser til, at EFSA imidlertid ikke var i stand til at færdiggøre risikovurderingen og drage konklusioner om sikkerheden ved GM-sojabønnen på grund af manglen på en 90-dages undersøgelse af GM-sojabønnen og manglen på en overvågningsplan efter markedsføringen under hensyntagen til den ændrede fedtsyreprofil for den stablede GM-sojabønne;</w:t>
      </w:r>
    </w:p>
    <w:p w:rsidR="00A50528" w:rsidRPr="00DF0370" w:rsidRDefault="00A50528" w:rsidP="00A50528">
      <w:pPr>
        <w:pStyle w:val="NormalHanging12a"/>
        <w:rPr>
          <w:szCs w:val="24"/>
        </w:rPr>
      </w:pPr>
      <w:r w:rsidRPr="00DF0370">
        <w:rPr>
          <w:szCs w:val="24"/>
        </w:rPr>
        <w:t>D.</w:t>
      </w:r>
      <w:r w:rsidRPr="00DF0370">
        <w:rPr>
          <w:szCs w:val="24"/>
        </w:rPr>
        <w:tab/>
        <w:t xml:space="preserve">der henviser til, at EFSA den 3. oktober 2024 vedtog en erklæring, som blev offentliggjort den 28. oktober 2024, som supplerer </w:t>
      </w:r>
      <w:proofErr w:type="spellStart"/>
      <w:r w:rsidRPr="00DF0370">
        <w:rPr>
          <w:szCs w:val="24"/>
        </w:rPr>
        <w:t>EFSA's</w:t>
      </w:r>
      <w:proofErr w:type="spellEnd"/>
      <w:r w:rsidRPr="00DF0370">
        <w:rPr>
          <w:szCs w:val="24"/>
        </w:rPr>
        <w:t xml:space="preserve"> videnskabelige udtalelse af 2. april 2020, og som er baseret på de supplerende data, som ansøgeren har fremlagt</w:t>
      </w:r>
      <w:r w:rsidRPr="00304AAB">
        <w:rPr>
          <w:rStyle w:val="FootnoteReference"/>
          <w:szCs w:val="24"/>
        </w:rPr>
        <w:footnoteReference w:id="5"/>
      </w:r>
      <w:r w:rsidRPr="00304AAB">
        <w:rPr>
          <w:szCs w:val="24"/>
        </w:rPr>
        <w:t xml:space="preserve">, og at EFSA konkluderede, at GM-sojabønnen som beskrevet i ansøgningen er lige så </w:t>
      </w:r>
      <w:r w:rsidRPr="00304AAB">
        <w:rPr>
          <w:szCs w:val="24"/>
        </w:rPr>
        <w:lastRenderedPageBreak/>
        <w:t>sikker som sit konventionelle modstykke og de testede ikke-genetisk modificerede sojabønnereferencesorter for så vidt angår dens potentielle virkninger på menneskers og dyrs sundhed og på miljøet. der henviser til, at EFSA også konkluderede, at indtagelsen af GM-</w:t>
      </w:r>
      <w:bookmarkStart w:id="9" w:name="_Hlk183443299"/>
      <w:r w:rsidRPr="00304AAB">
        <w:rPr>
          <w:szCs w:val="24"/>
        </w:rPr>
        <w:t>sojabønne</w:t>
      </w:r>
      <w:r w:rsidRPr="00DF0370">
        <w:rPr>
          <w:szCs w:val="24"/>
        </w:rPr>
        <w:t>n</w:t>
      </w:r>
      <w:bookmarkEnd w:id="9"/>
      <w:r w:rsidRPr="00DF0370">
        <w:rPr>
          <w:szCs w:val="24"/>
        </w:rPr>
        <w:t xml:space="preserve"> ikke udgør et ernæringsmæssigt problem.</w:t>
      </w:r>
    </w:p>
    <w:p w:rsidR="00A50528" w:rsidRPr="00DF0370" w:rsidRDefault="00A50528" w:rsidP="00A50528">
      <w:pPr>
        <w:pStyle w:val="NormalHanging12a"/>
        <w:rPr>
          <w:color w:val="000000"/>
          <w:szCs w:val="24"/>
        </w:rPr>
      </w:pPr>
      <w:r w:rsidRPr="00DF0370">
        <w:rPr>
          <w:szCs w:val="24"/>
        </w:rPr>
        <w:t>E.</w:t>
      </w:r>
      <w:r w:rsidRPr="00DF0370">
        <w:rPr>
          <w:szCs w:val="24"/>
        </w:rPr>
        <w:tab/>
        <w:t xml:space="preserve">der henviser til, at GM-sojabønnen er blevet modificeret for at være tolerant over for herbicider baseret på </w:t>
      </w:r>
      <w:proofErr w:type="spellStart"/>
      <w:r w:rsidRPr="00DF0370">
        <w:rPr>
          <w:szCs w:val="24"/>
        </w:rPr>
        <w:t>glyphosat</w:t>
      </w:r>
      <w:proofErr w:type="spellEnd"/>
      <w:r w:rsidRPr="00DF0370">
        <w:rPr>
          <w:szCs w:val="24"/>
        </w:rPr>
        <w:t xml:space="preserve"> og </w:t>
      </w:r>
      <w:proofErr w:type="spellStart"/>
      <w:r w:rsidRPr="00DF0370">
        <w:rPr>
          <w:szCs w:val="24"/>
        </w:rPr>
        <w:t>dicamba</w:t>
      </w:r>
      <w:proofErr w:type="spellEnd"/>
      <w:r w:rsidRPr="00DF0370">
        <w:rPr>
          <w:szCs w:val="24"/>
        </w:rPr>
        <w:t xml:space="preserve"> og for at ændre dens fedtsyreprofil;</w:t>
      </w:r>
    </w:p>
    <w:p w:rsidR="00A50528" w:rsidRPr="00DF0370" w:rsidRDefault="00A50528" w:rsidP="00A50528">
      <w:pPr>
        <w:pStyle w:val="NormalHanging12a"/>
        <w:ind w:left="284" w:hanging="284"/>
        <w:rPr>
          <w:b/>
          <w:i/>
          <w:szCs w:val="24"/>
        </w:rPr>
      </w:pPr>
      <w:r w:rsidRPr="00DF0370">
        <w:rPr>
          <w:b/>
          <w:i/>
          <w:szCs w:val="24"/>
        </w:rPr>
        <w:t>Manglende vurdering af det komplementære herbicid</w:t>
      </w:r>
    </w:p>
    <w:p w:rsidR="00A50528" w:rsidRPr="00DF0370" w:rsidRDefault="00A50528" w:rsidP="00A50528">
      <w:pPr>
        <w:pStyle w:val="NormalHanging12a"/>
        <w:ind w:left="720" w:hanging="720"/>
        <w:rPr>
          <w:szCs w:val="24"/>
        </w:rPr>
      </w:pPr>
      <w:r w:rsidRPr="00DF0370">
        <w:rPr>
          <w:szCs w:val="24"/>
        </w:rPr>
        <w:t>F.</w:t>
      </w:r>
      <w:r w:rsidRPr="00DF0370">
        <w:rPr>
          <w:szCs w:val="24"/>
        </w:rPr>
        <w:tab/>
        <w:t>der henviser til, at Kommissionens gennemførelsesforordning (EU)</w:t>
      </w:r>
      <w:r w:rsidRPr="00304AAB">
        <w:rPr>
          <w:rStyle w:val="FootnoteReference"/>
          <w:szCs w:val="24"/>
        </w:rPr>
        <w:footnoteReference w:id="6"/>
      </w:r>
      <w:r w:rsidRPr="00304AAB">
        <w:rPr>
          <w:szCs w:val="24"/>
        </w:rPr>
        <w:t xml:space="preserve"> nr. 503/2013 kræver en vurdering af, om de forventede landbrugsmetoder påvirker udfaldet af de undersøgte </w:t>
      </w:r>
      <w:proofErr w:type="spellStart"/>
      <w:r w:rsidRPr="00304AAB">
        <w:rPr>
          <w:szCs w:val="24"/>
        </w:rPr>
        <w:t>endpoints</w:t>
      </w:r>
      <w:proofErr w:type="spellEnd"/>
      <w:r w:rsidRPr="00304AAB">
        <w:rPr>
          <w:szCs w:val="24"/>
        </w:rPr>
        <w:t>; der henviser til, at dette ifølge nævnte gennemførelsesforordnin</w:t>
      </w:r>
      <w:r w:rsidRPr="00DF0370">
        <w:rPr>
          <w:szCs w:val="24"/>
        </w:rPr>
        <w:t>g især er relevant for herbicidtolerante planter;</w:t>
      </w:r>
    </w:p>
    <w:p w:rsidR="00A50528" w:rsidRPr="0027020E" w:rsidRDefault="00A50528" w:rsidP="00A50528">
      <w:pPr>
        <w:pStyle w:val="NormalHanging12a"/>
        <w:ind w:left="720" w:hanging="720"/>
        <w:rPr>
          <w:szCs w:val="24"/>
        </w:rPr>
      </w:pPr>
      <w:r w:rsidRPr="00DF0370">
        <w:rPr>
          <w:szCs w:val="24"/>
        </w:rPr>
        <w:t>G.</w:t>
      </w:r>
      <w:r w:rsidRPr="00DF0370">
        <w:rPr>
          <w:szCs w:val="24"/>
        </w:rPr>
        <w:tab/>
        <w:t>der henviser til, at langt de fleste GM-afgrøder er blevet genetisk modificeret for at være tolerante over for ét eller flere "komplementære" herbicider, der kan anvendes under hele dyrkningsforløbet for GM-afgrøden, uden at afgrøden dør, sådan som det ville være tilfældet med en ikke-herbicidtolerant afgrøde; der henviser til, at en række undersøgelser viser, at herbicidtolerante GM-afgrøder fører til en øget anvendelse af komplementære herbicider, hvilket i stort omfang skyldes fremkomsten af herbicidtolerant ukrudt</w:t>
      </w:r>
      <w:r w:rsidRPr="00304AAB">
        <w:rPr>
          <w:rStyle w:val="FootnoteReference"/>
          <w:szCs w:val="24"/>
        </w:rPr>
        <w:footnoteReference w:id="7"/>
      </w:r>
      <w:r w:rsidRPr="00304AAB">
        <w:rPr>
          <w:szCs w:val="24"/>
        </w:rPr>
        <w:t>;</w:t>
      </w:r>
    </w:p>
    <w:p w:rsidR="00A50528" w:rsidRPr="00DF0370" w:rsidRDefault="00A50528" w:rsidP="00A50528">
      <w:pPr>
        <w:pStyle w:val="NormalHanging12a"/>
        <w:ind w:left="720" w:hanging="720"/>
        <w:rPr>
          <w:szCs w:val="24"/>
        </w:rPr>
      </w:pPr>
      <w:r w:rsidRPr="00DF0370">
        <w:rPr>
          <w:szCs w:val="24"/>
        </w:rPr>
        <w:t>H.</w:t>
      </w:r>
      <w:r w:rsidRPr="00DF0370">
        <w:rPr>
          <w:szCs w:val="24"/>
        </w:rPr>
        <w:tab/>
        <w:t>der henviser til, at herbicidtolerante GM-afgrøder fastlåser landbrugere i et ukrudtsforvaltningssystem, der i stort omfang eller fuldstændig er afhængig af herbicider; der henviser til, at øget afhængighed af komplementære herbicider på bedrifter, der dyrker GM-afgrøder, fremskynder fremkomsten og spredningen af ukrudt, der er resistent mod disse herbicider, og dermed udløser et behov for endnu flere herbicider, hvilket skaber en ond cirkel, der er kendt som "herbicidtrædemøllen";</w:t>
      </w:r>
    </w:p>
    <w:p w:rsidR="00A50528" w:rsidRPr="00DF0370" w:rsidRDefault="00A50528" w:rsidP="00A50528">
      <w:pPr>
        <w:pStyle w:val="NormalHanging12a"/>
        <w:ind w:left="720" w:hanging="720"/>
        <w:rPr>
          <w:szCs w:val="24"/>
        </w:rPr>
      </w:pPr>
      <w:r w:rsidRPr="00DF0370">
        <w:rPr>
          <w:szCs w:val="24"/>
        </w:rPr>
        <w:t>I.</w:t>
      </w:r>
      <w:r w:rsidRPr="00DF0370">
        <w:rPr>
          <w:szCs w:val="24"/>
        </w:rPr>
        <w:tab/>
        <w:t>der henviser til, at de negative virkninger af overdreven afhængighed af herbicider vil resultere i forværring af jordbundens sundhed, vandkvaliteten og biodiversiteten over og under jorden og også føre til øget eksponering af mennesker og dyr, potentielt også via øgede herbicidrester i fødevarer og foder;</w:t>
      </w:r>
    </w:p>
    <w:p w:rsidR="00A50528" w:rsidRPr="00DF0370" w:rsidRDefault="00A50528" w:rsidP="00A50528">
      <w:pPr>
        <w:pStyle w:val="NormalHanging12a"/>
        <w:ind w:left="720" w:hanging="720"/>
        <w:rPr>
          <w:szCs w:val="24"/>
        </w:rPr>
      </w:pPr>
      <w:r w:rsidRPr="00DF0370">
        <w:rPr>
          <w:szCs w:val="24"/>
        </w:rPr>
        <w:t>J.</w:t>
      </w:r>
      <w:r w:rsidRPr="00DF0370">
        <w:rPr>
          <w:szCs w:val="24"/>
        </w:rPr>
        <w:tab/>
        <w:t xml:space="preserve">der henviser til, at </w:t>
      </w:r>
      <w:proofErr w:type="spellStart"/>
      <w:r w:rsidRPr="00DF0370">
        <w:rPr>
          <w:szCs w:val="24"/>
        </w:rPr>
        <w:t>dicamba</w:t>
      </w:r>
      <w:proofErr w:type="spellEnd"/>
      <w:r w:rsidRPr="00DF0370">
        <w:rPr>
          <w:szCs w:val="24"/>
        </w:rPr>
        <w:t xml:space="preserve"> er meget flygtigt, hvilket betyder, at det, når det anvendes, er tilbøjeligt til at optages i luften og derefter bevæge sig med vinden, indtil det falder ned på jorden, hvilket udsætter mennesker og planter uden for målgruppen, vinstokke, træer og buske for potentielle og alvorlige skader, navnlig når eksponeringen finder </w:t>
      </w:r>
      <w:r w:rsidRPr="00DF0370">
        <w:rPr>
          <w:szCs w:val="24"/>
        </w:rPr>
        <w:lastRenderedPageBreak/>
        <w:t xml:space="preserve">sted over flere år; </w:t>
      </w:r>
    </w:p>
    <w:p w:rsidR="00A50528" w:rsidRPr="00DF0370" w:rsidRDefault="00A50528" w:rsidP="00A50528">
      <w:pPr>
        <w:pStyle w:val="NormalHanging12a"/>
        <w:ind w:left="720" w:hanging="720"/>
        <w:rPr>
          <w:szCs w:val="24"/>
        </w:rPr>
      </w:pPr>
      <w:r w:rsidRPr="00DF0370">
        <w:rPr>
          <w:szCs w:val="24"/>
        </w:rPr>
        <w:t>K.</w:t>
      </w:r>
      <w:r w:rsidRPr="00DF0370">
        <w:rPr>
          <w:szCs w:val="24"/>
        </w:rPr>
        <w:tab/>
      </w:r>
      <w:r w:rsidRPr="00DF0370">
        <w:rPr>
          <w:szCs w:val="24"/>
          <w:shd w:val="clear" w:color="auto" w:fill="FFFFFF"/>
        </w:rPr>
        <w:t xml:space="preserve">der henviser til, at en undersøgelse fra 2020 foretaget af statslige forskere i USA, der blev offentliggjort i det fagfællebedømte tidsskrift International Journal of </w:t>
      </w:r>
      <w:proofErr w:type="spellStart"/>
      <w:r w:rsidRPr="00DF0370">
        <w:rPr>
          <w:szCs w:val="24"/>
          <w:shd w:val="clear" w:color="auto" w:fill="FFFFFF"/>
        </w:rPr>
        <w:t>Epidemiology</w:t>
      </w:r>
      <w:proofErr w:type="spellEnd"/>
      <w:r w:rsidRPr="00DF0370">
        <w:rPr>
          <w:szCs w:val="24"/>
        </w:rPr>
        <w:t xml:space="preserve">, viste, at udbredt anvendelse af </w:t>
      </w:r>
      <w:proofErr w:type="spellStart"/>
      <w:r w:rsidRPr="00DF0370">
        <w:rPr>
          <w:szCs w:val="24"/>
        </w:rPr>
        <w:t>dicamba</w:t>
      </w:r>
      <w:proofErr w:type="spellEnd"/>
      <w:r w:rsidRPr="00DF0370">
        <w:rPr>
          <w:szCs w:val="24"/>
        </w:rPr>
        <w:t xml:space="preserve"> øgede risikoen for at udvikle kræft i leveren og den </w:t>
      </w:r>
      <w:proofErr w:type="spellStart"/>
      <w:r w:rsidRPr="00DF0370">
        <w:rPr>
          <w:szCs w:val="24"/>
        </w:rPr>
        <w:t>intrahepatiske</w:t>
      </w:r>
      <w:proofErr w:type="spellEnd"/>
      <w:r w:rsidRPr="00DF0370">
        <w:rPr>
          <w:szCs w:val="24"/>
        </w:rPr>
        <w:t xml:space="preserve"> galdegang hos dem, der håndterer produktet; </w:t>
      </w:r>
    </w:p>
    <w:p w:rsidR="00A50528" w:rsidRPr="0027020E" w:rsidRDefault="00A50528" w:rsidP="00A50528">
      <w:pPr>
        <w:pStyle w:val="NormalHanging12a"/>
        <w:ind w:left="720" w:hanging="720"/>
        <w:rPr>
          <w:szCs w:val="24"/>
        </w:rPr>
      </w:pPr>
      <w:r w:rsidRPr="00DF0370">
        <w:rPr>
          <w:szCs w:val="24"/>
        </w:rPr>
        <w:t>L.</w:t>
      </w:r>
      <w:r w:rsidRPr="00DF0370">
        <w:rPr>
          <w:szCs w:val="24"/>
        </w:rPr>
        <w:tab/>
        <w:t xml:space="preserve">der henviser til, at undersøgelsen fra 2020 viser, at den nylige godkendelse af genetisk modificerede </w:t>
      </w:r>
      <w:proofErr w:type="spellStart"/>
      <w:r w:rsidRPr="00DF0370">
        <w:rPr>
          <w:szCs w:val="24"/>
        </w:rPr>
        <w:t>dicambaresistente</w:t>
      </w:r>
      <w:proofErr w:type="spellEnd"/>
      <w:r w:rsidRPr="00DF0370">
        <w:rPr>
          <w:szCs w:val="24"/>
        </w:rPr>
        <w:t xml:space="preserve"> afgrøder forventes at føre til øget landbrugsmæssig anvendelse af </w:t>
      </w:r>
      <w:proofErr w:type="spellStart"/>
      <w:r w:rsidRPr="00DF0370">
        <w:rPr>
          <w:szCs w:val="24"/>
        </w:rPr>
        <w:t>dicamba</w:t>
      </w:r>
      <w:proofErr w:type="spellEnd"/>
      <w:r w:rsidRPr="00DF0370">
        <w:rPr>
          <w:szCs w:val="24"/>
        </w:rPr>
        <w:t xml:space="preserve"> i de kommende år</w:t>
      </w:r>
      <w:r w:rsidRPr="00304AAB">
        <w:rPr>
          <w:szCs w:val="24"/>
          <w:vertAlign w:val="superscript"/>
        </w:rPr>
        <w:footnoteReference w:id="8"/>
      </w:r>
      <w:r w:rsidRPr="00304AAB">
        <w:rPr>
          <w:szCs w:val="24"/>
        </w:rPr>
        <w:t xml:space="preserve">, og at Heartland Health Research Alliances pesticidanvendelsesdatasystem bekræfter, at dette er tilfældet, idet </w:t>
      </w:r>
      <w:proofErr w:type="spellStart"/>
      <w:r w:rsidRPr="00304AAB">
        <w:rPr>
          <w:szCs w:val="24"/>
        </w:rPr>
        <w:t>dicamba</w:t>
      </w:r>
      <w:proofErr w:type="spellEnd"/>
      <w:r w:rsidRPr="00304AAB">
        <w:rPr>
          <w:szCs w:val="24"/>
        </w:rPr>
        <w:t xml:space="preserve"> anvendes 10 gange mere i det amerikanske </w:t>
      </w:r>
      <w:proofErr w:type="spellStart"/>
      <w:r w:rsidRPr="00304AAB">
        <w:rPr>
          <w:szCs w:val="24"/>
        </w:rPr>
        <w:t>Midtvesten</w:t>
      </w:r>
      <w:proofErr w:type="spellEnd"/>
      <w:r w:rsidRPr="00304AAB">
        <w:rPr>
          <w:szCs w:val="24"/>
        </w:rPr>
        <w:t xml:space="preserve"> end for 10 år siden</w:t>
      </w:r>
      <w:r w:rsidRPr="00304AAB">
        <w:rPr>
          <w:szCs w:val="24"/>
          <w:vertAlign w:val="superscript"/>
        </w:rPr>
        <w:footnoteReference w:id="9"/>
      </w:r>
      <w:r w:rsidRPr="00304AAB">
        <w:rPr>
          <w:szCs w:val="24"/>
        </w:rPr>
        <w:t>;</w:t>
      </w:r>
    </w:p>
    <w:p w:rsidR="00A50528" w:rsidRPr="0027020E" w:rsidRDefault="00A50528" w:rsidP="00A50528">
      <w:pPr>
        <w:pStyle w:val="NormalHanging12a"/>
        <w:ind w:left="720" w:hanging="720"/>
        <w:rPr>
          <w:szCs w:val="24"/>
        </w:rPr>
      </w:pPr>
      <w:r w:rsidRPr="00DF0370">
        <w:rPr>
          <w:szCs w:val="24"/>
        </w:rPr>
        <w:t>M.</w:t>
      </w:r>
      <w:r w:rsidRPr="00DF0370">
        <w:rPr>
          <w:szCs w:val="24"/>
        </w:rPr>
        <w:tab/>
        <w:t xml:space="preserve">der henviser til, at der stadigvæk er ubesvarede spørgsmål med hensyn til </w:t>
      </w:r>
      <w:proofErr w:type="spellStart"/>
      <w:r w:rsidRPr="00DF0370">
        <w:rPr>
          <w:szCs w:val="24"/>
        </w:rPr>
        <w:t>glyphosats</w:t>
      </w:r>
      <w:proofErr w:type="spellEnd"/>
      <w:r w:rsidRPr="00DF0370">
        <w:rPr>
          <w:szCs w:val="24"/>
        </w:rPr>
        <w:t xml:space="preserve"> kræftfremkaldende virkning; der henviser til, at EFSA i november 2015 konkluderede, at </w:t>
      </w:r>
      <w:proofErr w:type="spellStart"/>
      <w:r w:rsidRPr="00DF0370">
        <w:rPr>
          <w:szCs w:val="24"/>
        </w:rPr>
        <w:t>glyphosat</w:t>
      </w:r>
      <w:proofErr w:type="spellEnd"/>
      <w:r w:rsidRPr="00DF0370">
        <w:rPr>
          <w:szCs w:val="24"/>
        </w:rPr>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DF0370">
        <w:rPr>
          <w:szCs w:val="24"/>
        </w:rPr>
        <w:t>glyphosat</w:t>
      </w:r>
      <w:proofErr w:type="spellEnd"/>
      <w:r w:rsidRPr="00DF0370">
        <w:rPr>
          <w:szCs w:val="24"/>
        </w:rPr>
        <w:t xml:space="preserve"> som sandsynligvis kræftfremkaldende hos mennesker; der henviser til, at en række nyere peerevaluerede videnskabelige undersøgelser bekræfter </w:t>
      </w:r>
      <w:proofErr w:type="spellStart"/>
      <w:r w:rsidRPr="00DF0370">
        <w:rPr>
          <w:szCs w:val="24"/>
        </w:rPr>
        <w:t>glyphosats</w:t>
      </w:r>
      <w:proofErr w:type="spellEnd"/>
      <w:r w:rsidRPr="00DF0370">
        <w:rPr>
          <w:szCs w:val="24"/>
        </w:rPr>
        <w:t xml:space="preserve"> kræftfremkaldende potentiale</w:t>
      </w:r>
      <w:r w:rsidRPr="00304AAB">
        <w:rPr>
          <w:szCs w:val="24"/>
          <w:vertAlign w:val="superscript"/>
        </w:rPr>
        <w:footnoteReference w:id="10"/>
      </w:r>
      <w:r w:rsidRPr="00304AAB">
        <w:rPr>
          <w:szCs w:val="24"/>
        </w:rPr>
        <w:t>;</w:t>
      </w:r>
    </w:p>
    <w:p w:rsidR="00A50528" w:rsidRPr="0027020E" w:rsidRDefault="00A50528" w:rsidP="00A50528">
      <w:pPr>
        <w:pStyle w:val="NormalHanging12a"/>
        <w:ind w:left="720" w:hanging="720"/>
        <w:rPr>
          <w:szCs w:val="24"/>
        </w:rPr>
      </w:pPr>
      <w:r w:rsidRPr="00DF0370">
        <w:rPr>
          <w:szCs w:val="24"/>
        </w:rPr>
        <w:t>N.</w:t>
      </w:r>
      <w:r w:rsidRPr="00DF0370">
        <w:rPr>
          <w:szCs w:val="24"/>
        </w:rPr>
        <w:tab/>
        <w:t xml:space="preserve">der henviser til, at en fagfællebedømt undersøgelse viste, at </w:t>
      </w:r>
      <w:proofErr w:type="spellStart"/>
      <w:r w:rsidRPr="00DF0370">
        <w:rPr>
          <w:szCs w:val="24"/>
        </w:rPr>
        <w:t>glyphosat</w:t>
      </w:r>
      <w:proofErr w:type="spellEnd"/>
      <w:r w:rsidRPr="00DF0370">
        <w:rPr>
          <w:szCs w:val="24"/>
        </w:rPr>
        <w:t xml:space="preserve"> akkumuleres i genetisk modificerede sojabønner med en tilsvarende negativ indvirkning på den ernæringsmæssige sammensætning sammenlignet med ikke-genetisk modificerede sojabønner</w:t>
      </w:r>
      <w:r w:rsidRPr="00304AAB">
        <w:rPr>
          <w:szCs w:val="24"/>
          <w:vertAlign w:val="superscript"/>
        </w:rPr>
        <w:footnoteReference w:id="11"/>
      </w:r>
      <w:r w:rsidRPr="00304AAB">
        <w:rPr>
          <w:szCs w:val="24"/>
        </w:rPr>
        <w:t>; der henviser til, at der i et pilotprojekt, der blev gennemført i Argentina, blev fundet overraskende høje niveauer af rest</w:t>
      </w:r>
      <w:r w:rsidRPr="0027020E">
        <w:rPr>
          <w:szCs w:val="24"/>
        </w:rPr>
        <w:t xml:space="preserve">koncentrationer af </w:t>
      </w:r>
      <w:proofErr w:type="spellStart"/>
      <w:r w:rsidRPr="0027020E">
        <w:rPr>
          <w:szCs w:val="24"/>
        </w:rPr>
        <w:t>glyphosat</w:t>
      </w:r>
      <w:proofErr w:type="spellEnd"/>
      <w:r w:rsidRPr="0027020E">
        <w:rPr>
          <w:szCs w:val="24"/>
        </w:rPr>
        <w:t xml:space="preserve"> på genetisk modificerede sojabønner</w:t>
      </w:r>
      <w:r w:rsidRPr="00304AAB">
        <w:rPr>
          <w:szCs w:val="24"/>
          <w:vertAlign w:val="superscript"/>
        </w:rPr>
        <w:footnoteReference w:id="12"/>
      </w:r>
      <w:r w:rsidRPr="00304AAB">
        <w:rPr>
          <w:szCs w:val="24"/>
        </w:rPr>
        <w:t>;</w:t>
      </w:r>
    </w:p>
    <w:p w:rsidR="00A50528" w:rsidRPr="0027020E" w:rsidRDefault="00A50528" w:rsidP="00A50528">
      <w:pPr>
        <w:pStyle w:val="NormalHanging12a"/>
        <w:ind w:left="720" w:hanging="720"/>
        <w:rPr>
          <w:szCs w:val="24"/>
        </w:rPr>
      </w:pPr>
      <w:r w:rsidRPr="00DF0370">
        <w:rPr>
          <w:szCs w:val="24"/>
        </w:rPr>
        <w:t>O.</w:t>
      </w:r>
      <w:r w:rsidRPr="00DF0370">
        <w:rPr>
          <w:szCs w:val="24"/>
        </w:rPr>
        <w:tab/>
        <w:t>der henviser til, at den måde, hvorpå genetisk modificerede planter nedbryder supplerende herbicider, og sammensætningen og dermed toksiciteten af nedbrydningsprodukterne (</w:t>
      </w:r>
      <w:proofErr w:type="spellStart"/>
      <w:r w:rsidRPr="00DF0370">
        <w:rPr>
          <w:szCs w:val="24"/>
        </w:rPr>
        <w:t>metabolitter</w:t>
      </w:r>
      <w:proofErr w:type="spellEnd"/>
      <w:r w:rsidRPr="00DF0370">
        <w:rPr>
          <w:szCs w:val="24"/>
        </w:rPr>
        <w:t xml:space="preserve">) kan skyldes selve den genetiske </w:t>
      </w:r>
      <w:r w:rsidRPr="00DF0370">
        <w:rPr>
          <w:szCs w:val="24"/>
        </w:rPr>
        <w:lastRenderedPageBreak/>
        <w:t>modifikation</w:t>
      </w:r>
      <w:r w:rsidRPr="00304AAB">
        <w:rPr>
          <w:szCs w:val="24"/>
          <w:vertAlign w:val="superscript"/>
        </w:rPr>
        <w:footnoteReference w:id="13"/>
      </w:r>
      <w:r w:rsidRPr="00304AAB">
        <w:rPr>
          <w:szCs w:val="24"/>
        </w:rPr>
        <w:t>;</w:t>
      </w:r>
    </w:p>
    <w:p w:rsidR="00A50528" w:rsidRPr="00DF0370" w:rsidRDefault="00A50528" w:rsidP="00A50528">
      <w:pPr>
        <w:pStyle w:val="NormalHanging12a"/>
        <w:ind w:left="720" w:hanging="720"/>
        <w:rPr>
          <w:szCs w:val="24"/>
        </w:rPr>
      </w:pPr>
      <w:r w:rsidRPr="00DF0370">
        <w:rPr>
          <w:szCs w:val="24"/>
        </w:rPr>
        <w:t>P.</w:t>
      </w:r>
      <w:r w:rsidRPr="00DF0370">
        <w:rPr>
          <w:szCs w:val="24"/>
        </w:rPr>
        <w:tab/>
        <w:t xml:space="preserve">der henviser til, at vurdering af herbicidrester og </w:t>
      </w:r>
      <w:proofErr w:type="spellStart"/>
      <w:r w:rsidRPr="00DF0370">
        <w:rPr>
          <w:szCs w:val="24"/>
        </w:rPr>
        <w:t>metabolitter</w:t>
      </w:r>
      <w:proofErr w:type="spellEnd"/>
      <w:r w:rsidRPr="00DF0370">
        <w:rPr>
          <w:szCs w:val="24"/>
        </w:rPr>
        <w:t xml:space="preserve"> i GM-planter anses for at ligge uden for ansvarsområdet for </w:t>
      </w:r>
      <w:proofErr w:type="spellStart"/>
      <w:r w:rsidRPr="00DF0370">
        <w:rPr>
          <w:szCs w:val="24"/>
        </w:rPr>
        <w:t>EFSA's</w:t>
      </w:r>
      <w:proofErr w:type="spellEnd"/>
      <w:r w:rsidRPr="00DF0370">
        <w:rPr>
          <w:szCs w:val="24"/>
        </w:rPr>
        <w:t xml:space="preserve"> Ekspertpanel for GMO'er og derfor ikke foretages som led i godkendelsesprocessen for GMO'er;</w:t>
      </w:r>
    </w:p>
    <w:p w:rsidR="00A50528" w:rsidRPr="00DF0370" w:rsidRDefault="00A50528" w:rsidP="00A50528">
      <w:pPr>
        <w:pStyle w:val="NormalHanging12a"/>
        <w:ind w:left="284" w:hanging="284"/>
        <w:rPr>
          <w:b/>
          <w:i/>
          <w:szCs w:val="24"/>
        </w:rPr>
      </w:pPr>
      <w:r w:rsidRPr="00DF0370">
        <w:rPr>
          <w:b/>
          <w:i/>
          <w:szCs w:val="24"/>
        </w:rPr>
        <w:t>Sikring af lige vilkår globalt og opretholdelse af Unionens internationale forpligtelser</w:t>
      </w:r>
    </w:p>
    <w:p w:rsidR="00A50528" w:rsidRPr="00DF0370" w:rsidRDefault="00A50528" w:rsidP="00A50528">
      <w:pPr>
        <w:pStyle w:val="NormalHanging12a"/>
        <w:ind w:left="720" w:hanging="720"/>
        <w:rPr>
          <w:szCs w:val="24"/>
        </w:rPr>
      </w:pPr>
      <w:r w:rsidRPr="00DF0370">
        <w:rPr>
          <w:szCs w:val="24"/>
        </w:rPr>
        <w:t>Q.</w:t>
      </w:r>
      <w:r w:rsidRPr="00DF0370">
        <w:rPr>
          <w:szCs w:val="24"/>
        </w:rPr>
        <w:tab/>
        <w:t>der henviser til, at dyrkning af GM-sojabønnen ikke er tilladt i Unionen;</w:t>
      </w:r>
    </w:p>
    <w:p w:rsidR="00A50528" w:rsidRPr="00DF0370" w:rsidRDefault="00A50528" w:rsidP="00A50528">
      <w:pPr>
        <w:pStyle w:val="NormalHanging12a"/>
        <w:ind w:left="720" w:hanging="720"/>
        <w:rPr>
          <w:szCs w:val="24"/>
        </w:rPr>
      </w:pPr>
      <w:r w:rsidRPr="00DF0370">
        <w:rPr>
          <w:szCs w:val="24"/>
        </w:rPr>
        <w:t>R.</w:t>
      </w:r>
      <w:r w:rsidRPr="00DF0370">
        <w:rPr>
          <w:szCs w:val="24"/>
        </w:rPr>
        <w:tab/>
        <w:t>der henviser til, at Kommissionen i konklusionerne fra den strategiske dialog om fremtiden for EU's landbrug</w:t>
      </w:r>
      <w:r w:rsidRPr="00304AAB">
        <w:rPr>
          <w:rStyle w:val="FootnoteReference"/>
          <w:szCs w:val="24"/>
        </w:rPr>
        <w:footnoteReference w:id="14"/>
      </w:r>
      <w:r w:rsidRPr="00304AAB">
        <w:rPr>
          <w:szCs w:val="24"/>
        </w:rPr>
        <w:t xml:space="preserve"> opfordres til at revurdere sin tilgang til markedsadgang for import og eksport af landbrugsfødevarer i betragtning af udfordringen med forskellige standarder i Unionen og hos dens handelspartnere; der henviser til, at mere retfærdige handelsforbindelser, </w:t>
      </w:r>
      <w:r w:rsidRPr="0027020E">
        <w:rPr>
          <w:szCs w:val="24"/>
        </w:rPr>
        <w:t>som er i overensstemmelse med målene for sunde fødevarer og et sundt miljø, globalt, var et af landbrugernes vigtigste krav under demonstrationerne i 2023 og 2024;</w:t>
      </w:r>
    </w:p>
    <w:p w:rsidR="00A50528" w:rsidRPr="0027020E" w:rsidRDefault="00A50528" w:rsidP="00A50528">
      <w:pPr>
        <w:pStyle w:val="NormalHanging12a"/>
        <w:ind w:left="720" w:hanging="720"/>
        <w:rPr>
          <w:szCs w:val="24"/>
        </w:rPr>
      </w:pPr>
      <w:r w:rsidRPr="00DF0370">
        <w:rPr>
          <w:szCs w:val="24"/>
        </w:rPr>
        <w:t>S.</w:t>
      </w:r>
      <w:r w:rsidRPr="00DF0370">
        <w:rPr>
          <w:szCs w:val="24"/>
        </w:rPr>
        <w:tab/>
        <w:t>der henviser til, at en rapport fra 2017 fra FN's særlige rapportør om retten til fødevarer viste, at farlige pesticider har katastrofale konsekvenser for sundheden, især i udviklingslandene</w:t>
      </w:r>
      <w:r w:rsidRPr="00304AAB">
        <w:rPr>
          <w:rStyle w:val="FootnoteReference"/>
          <w:szCs w:val="24"/>
        </w:rPr>
        <w:footnoteReference w:id="15"/>
      </w:r>
      <w:r w:rsidRPr="00304AAB">
        <w:rPr>
          <w:szCs w:val="24"/>
        </w:rPr>
        <w:t>; der henviser til, at FN's verdensmål for bæredygtig udvikling 3.9 sigter mod inden 2023 væsentligt at reducere antallet af dødsfald og sygdomstilfælde s</w:t>
      </w:r>
      <w:r w:rsidRPr="0027020E">
        <w:rPr>
          <w:szCs w:val="24"/>
        </w:rPr>
        <w:t>om følge af udsættelse for farlige kemikalier samt luft-, vand- og jordforurening</w:t>
      </w:r>
      <w:r w:rsidRPr="00304AAB">
        <w:rPr>
          <w:rStyle w:val="FootnoteReference"/>
          <w:szCs w:val="24"/>
        </w:rPr>
        <w:footnoteReference w:id="16"/>
      </w:r>
      <w:r w:rsidRPr="00304AAB">
        <w:rPr>
          <w:szCs w:val="24"/>
        </w:rPr>
        <w:t>;</w:t>
      </w:r>
    </w:p>
    <w:p w:rsidR="00A50528" w:rsidRPr="0027020E" w:rsidRDefault="00A50528" w:rsidP="00A50528">
      <w:pPr>
        <w:pStyle w:val="NormalHanging12a"/>
        <w:ind w:left="720" w:hanging="720"/>
        <w:rPr>
          <w:szCs w:val="24"/>
        </w:rPr>
      </w:pPr>
      <w:r w:rsidRPr="00DF0370">
        <w:rPr>
          <w:szCs w:val="24"/>
        </w:rPr>
        <w:t>T.</w:t>
      </w:r>
      <w:r w:rsidRPr="00DF0370">
        <w:rPr>
          <w:szCs w:val="24"/>
        </w:rPr>
        <w:tab/>
        <w:t>der henviser til, at den globale Kunming-Montreal-ramme for biodiversitet ("Kunming-Montreal-rammen"), der blev vedtaget på COP15 under De Forenede Nationers konvention om den biologiske mangfoldighed i december 2022, indeholder et globalt mål om at reducere risikoen for pesticider med mindst 50 % inden 2030</w:t>
      </w:r>
      <w:r w:rsidRPr="00304AAB">
        <w:rPr>
          <w:rStyle w:val="FootnoteReference"/>
          <w:szCs w:val="24"/>
        </w:rPr>
        <w:footnoteReference w:id="17"/>
      </w:r>
      <w:r w:rsidRPr="00304AAB">
        <w:rPr>
          <w:szCs w:val="24"/>
        </w:rPr>
        <w:t>;</w:t>
      </w:r>
    </w:p>
    <w:p w:rsidR="00A50528" w:rsidRPr="00DF0370" w:rsidRDefault="00A50528" w:rsidP="00A50528">
      <w:pPr>
        <w:pStyle w:val="NormalHanging12a"/>
        <w:ind w:left="720" w:hanging="720"/>
        <w:rPr>
          <w:szCs w:val="24"/>
        </w:rPr>
      </w:pPr>
      <w:r w:rsidRPr="00DF0370">
        <w:rPr>
          <w:szCs w:val="24"/>
        </w:rPr>
        <w:t>U.</w:t>
      </w:r>
      <w:r w:rsidRPr="00DF0370">
        <w:rPr>
          <w:szCs w:val="24"/>
        </w:rPr>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den pågældende sag, når den udarbejder sin afgørelse; der henviser til, at sådanne legitime forhold bør omfatte Unionens forpligtelser i henhold til FN's mål for bæredygtig udvikling og FN's konvention om den biologiske mangfoldighed;</w:t>
      </w:r>
    </w:p>
    <w:p w:rsidR="00A50528" w:rsidRPr="00DF0370" w:rsidRDefault="00A50528" w:rsidP="00A50528">
      <w:pPr>
        <w:pStyle w:val="NormalHanging12a"/>
        <w:ind w:left="720" w:hanging="720"/>
        <w:rPr>
          <w:szCs w:val="24"/>
        </w:rPr>
      </w:pPr>
      <w:r w:rsidRPr="00DF0370">
        <w:rPr>
          <w:szCs w:val="24"/>
        </w:rPr>
        <w:t>V.</w:t>
      </w:r>
      <w:r w:rsidRPr="00DF0370">
        <w:rPr>
          <w:szCs w:val="24"/>
        </w:rPr>
        <w:tab/>
        <w:t xml:space="preserve">der henviser til, at Unionens godkendelse af GM-sojabønnen ikke ville være i </w:t>
      </w:r>
      <w:r w:rsidRPr="00DF0370">
        <w:rPr>
          <w:szCs w:val="24"/>
        </w:rPr>
        <w:lastRenderedPageBreak/>
        <w:t>overensstemmelse med de internationale forpligtelser vedrørende reduktion af pesticider</w:t>
      </w:r>
      <w:r w:rsidRPr="00304AAB">
        <w:rPr>
          <w:szCs w:val="24"/>
          <w:vertAlign w:val="superscript"/>
        </w:rPr>
        <w:footnoteReference w:id="18"/>
      </w:r>
      <w:r w:rsidRPr="00304AAB">
        <w:rPr>
          <w:szCs w:val="24"/>
        </w:rPr>
        <w:t>, i betragtning af menneskers og miljøets øgede eksponering for herbicider i lande, der dyrker herbicidtolerante GM-afgrøder, samt de potentielt alvorlige sun</w:t>
      </w:r>
      <w:r w:rsidRPr="00DF0370">
        <w:rPr>
          <w:szCs w:val="24"/>
        </w:rPr>
        <w:t>dhedsresultater, der er forbundet hermed;</w:t>
      </w:r>
    </w:p>
    <w:p w:rsidR="00A50528" w:rsidRPr="0027020E" w:rsidRDefault="00A50528" w:rsidP="00A50528">
      <w:pPr>
        <w:pStyle w:val="NormalHanging12a"/>
        <w:ind w:left="720" w:hanging="720"/>
        <w:rPr>
          <w:szCs w:val="24"/>
        </w:rPr>
      </w:pPr>
      <w:r w:rsidRPr="00DF0370">
        <w:rPr>
          <w:szCs w:val="24"/>
        </w:rPr>
        <w:t>W.</w:t>
      </w:r>
      <w:r w:rsidRPr="00DF0370">
        <w:rPr>
          <w:szCs w:val="24"/>
        </w:rPr>
        <w:tab/>
        <w:t>der henviser til, at skovrydning er en væsentlig årsag til tab af biodiversitet; der henviser til, at emissioner fra arealanvendelse og ændringer i arealanvendelsen, hovedsagelig på grund af skovrydning, er den næststørste årsag til klimaændringer efter afbrænding af fossile brændstoffer</w:t>
      </w:r>
      <w:r w:rsidRPr="00304AAB">
        <w:rPr>
          <w:szCs w:val="24"/>
          <w:vertAlign w:val="superscript"/>
        </w:rPr>
        <w:footnoteReference w:id="19"/>
      </w:r>
      <w:r w:rsidRPr="00304AAB">
        <w:rPr>
          <w:szCs w:val="24"/>
        </w:rPr>
        <w:t xml:space="preserve">; der henviser til, at Parisaftalen om klimaændringer og den strategiske plan for biodiversitet 2011-2020, som blev vedtaget under FN's biodiversitetskonvention, samt </w:t>
      </w:r>
      <w:proofErr w:type="spellStart"/>
      <w:r w:rsidRPr="00304AAB">
        <w:rPr>
          <w:szCs w:val="24"/>
        </w:rPr>
        <w:t>Aichimålene</w:t>
      </w:r>
      <w:proofErr w:type="spellEnd"/>
      <w:r w:rsidRPr="0027020E">
        <w:rPr>
          <w:szCs w:val="24"/>
        </w:rPr>
        <w:t xml:space="preserve"> for biodiversitet understøtter indsatsen for en bæredygtig skovforvaltning, -beskyttelse og -genopretning</w:t>
      </w:r>
      <w:r w:rsidRPr="00304AAB">
        <w:rPr>
          <w:szCs w:val="24"/>
          <w:vertAlign w:val="superscript"/>
        </w:rPr>
        <w:footnoteReference w:id="20"/>
      </w:r>
      <w:r w:rsidRPr="00304AAB">
        <w:rPr>
          <w:szCs w:val="24"/>
        </w:rPr>
        <w:t>; der henviser til, at FN's verdensmål 15 omfatter målet om at standse skovrydning inden 2020</w:t>
      </w:r>
      <w:r w:rsidRPr="00304AAB">
        <w:rPr>
          <w:szCs w:val="24"/>
          <w:vertAlign w:val="superscript"/>
        </w:rPr>
        <w:footnoteReference w:id="21"/>
      </w:r>
      <w:r w:rsidRPr="00304AAB">
        <w:rPr>
          <w:szCs w:val="24"/>
        </w:rPr>
        <w:t>; der henviser til, at skove spiller en multifunktionel</w:t>
      </w:r>
      <w:r w:rsidRPr="0027020E">
        <w:rPr>
          <w:szCs w:val="24"/>
        </w:rPr>
        <w:t xml:space="preserve"> rolle, som understøtter opnåelsen af de fleste af FN's verdensmål</w:t>
      </w:r>
      <w:r w:rsidRPr="00304AAB">
        <w:rPr>
          <w:szCs w:val="24"/>
          <w:vertAlign w:val="superscript"/>
        </w:rPr>
        <w:footnoteReference w:id="22"/>
      </w:r>
      <w:r w:rsidRPr="00304AAB">
        <w:rPr>
          <w:szCs w:val="24"/>
        </w:rPr>
        <w:t>;</w:t>
      </w:r>
    </w:p>
    <w:p w:rsidR="00A50528" w:rsidRPr="0027020E" w:rsidRDefault="00A50528" w:rsidP="00A50528">
      <w:pPr>
        <w:pStyle w:val="NormalHanging12a"/>
        <w:ind w:left="720" w:hanging="720"/>
        <w:rPr>
          <w:szCs w:val="24"/>
        </w:rPr>
      </w:pPr>
      <w:r w:rsidRPr="00DF0370">
        <w:rPr>
          <w:szCs w:val="24"/>
        </w:rPr>
        <w:t>X.</w:t>
      </w:r>
      <w:r w:rsidRPr="00DF0370">
        <w:rPr>
          <w:szCs w:val="24"/>
        </w:rPr>
        <w:tab/>
        <w:t>der henviser til, at skovbrande i Amazon-området skyldes omfattende skovrydning; der henviser til, at Kommissionen i en meddelelse fra 2019 gav udtryk for sin ambition om at beskytte og genoprette verdens skove</w:t>
      </w:r>
      <w:r w:rsidRPr="00304AAB">
        <w:rPr>
          <w:szCs w:val="24"/>
          <w:vertAlign w:val="superscript"/>
        </w:rPr>
        <w:footnoteReference w:id="23"/>
      </w:r>
      <w:r w:rsidRPr="00304AAB">
        <w:rPr>
          <w:szCs w:val="24"/>
        </w:rPr>
        <w:t>; der henviser til, at global beskyttelse af biodiversitet, herunder skove, er et centralt mål i EU's biodiversitetsstrategi</w:t>
      </w:r>
      <w:r w:rsidRPr="00304AAB">
        <w:rPr>
          <w:szCs w:val="24"/>
          <w:vertAlign w:val="superscript"/>
        </w:rPr>
        <w:footnoteReference w:id="24"/>
      </w:r>
      <w:r w:rsidRPr="00304AAB">
        <w:rPr>
          <w:szCs w:val="24"/>
        </w:rPr>
        <w:t>;</w:t>
      </w:r>
    </w:p>
    <w:p w:rsidR="00A50528" w:rsidRPr="0027020E" w:rsidRDefault="00A50528" w:rsidP="00A50528">
      <w:pPr>
        <w:pStyle w:val="NormalHanging12a"/>
        <w:ind w:left="720" w:hanging="720"/>
        <w:rPr>
          <w:szCs w:val="24"/>
        </w:rPr>
      </w:pPr>
      <w:r w:rsidRPr="00DF0370">
        <w:rPr>
          <w:szCs w:val="24"/>
        </w:rPr>
        <w:t>Y.</w:t>
      </w:r>
      <w:r w:rsidRPr="00DF0370">
        <w:rPr>
          <w:szCs w:val="24"/>
        </w:rPr>
        <w:tab/>
        <w:t xml:space="preserve">der henviser til, at sojaproduktion er en vigtig drivkraft for skovrydning i Amazon-, </w:t>
      </w:r>
      <w:proofErr w:type="spellStart"/>
      <w:r w:rsidRPr="00DF0370">
        <w:rPr>
          <w:szCs w:val="24"/>
        </w:rPr>
        <w:t>Cerrado</w:t>
      </w:r>
      <w:proofErr w:type="spellEnd"/>
      <w:r w:rsidRPr="00DF0370">
        <w:rPr>
          <w:szCs w:val="24"/>
        </w:rPr>
        <w:t>- og Gran Chaco-skovene i Sydamerika; der henviser til, at 97 % af den soja, der dyrkes i Brasilien, og 100 % af den soja, der dyrkes i Argentina, er genmodificeret soja</w:t>
      </w:r>
      <w:r w:rsidRPr="00304AAB">
        <w:rPr>
          <w:szCs w:val="24"/>
          <w:vertAlign w:val="superscript"/>
        </w:rPr>
        <w:footnoteReference w:id="25"/>
      </w:r>
      <w:r w:rsidRPr="00304AAB">
        <w:rPr>
          <w:szCs w:val="24"/>
        </w:rPr>
        <w:t>;</w:t>
      </w:r>
    </w:p>
    <w:p w:rsidR="00A50528" w:rsidRPr="0027020E" w:rsidRDefault="00A50528" w:rsidP="00A50528">
      <w:pPr>
        <w:pStyle w:val="NormalHanging12a"/>
        <w:ind w:left="720" w:hanging="720"/>
        <w:rPr>
          <w:szCs w:val="24"/>
        </w:rPr>
      </w:pPr>
      <w:r w:rsidRPr="00DF0370">
        <w:rPr>
          <w:szCs w:val="24"/>
        </w:rPr>
        <w:t>Z.</w:t>
      </w:r>
      <w:r w:rsidRPr="00DF0370">
        <w:rPr>
          <w:szCs w:val="24"/>
        </w:rPr>
        <w:tab/>
        <w:t xml:space="preserve">der henviser til, at Kommissionens analyse viste, at soja historisk set har været Unionens primære årsag til global skovrydning og dermed forbundne emissioner og tegner sig for næsten halvdelen af den skovrydning, der er indlejret i al import til </w:t>
      </w:r>
      <w:r w:rsidRPr="00DF0370">
        <w:rPr>
          <w:szCs w:val="24"/>
        </w:rPr>
        <w:lastRenderedPageBreak/>
        <w:t>Unionen</w:t>
      </w:r>
      <w:r w:rsidRPr="00304AAB">
        <w:rPr>
          <w:szCs w:val="24"/>
          <w:vertAlign w:val="superscript"/>
        </w:rPr>
        <w:footnoteReference w:id="26"/>
      </w:r>
      <w:r w:rsidRPr="00304AAB">
        <w:rPr>
          <w:szCs w:val="24"/>
        </w:rPr>
        <w:t>;</w:t>
      </w:r>
    </w:p>
    <w:p w:rsidR="00A50528" w:rsidRPr="00DF0370" w:rsidRDefault="00A50528" w:rsidP="00A50528">
      <w:pPr>
        <w:pStyle w:val="NormalHanging12a"/>
        <w:ind w:left="284" w:hanging="284"/>
        <w:rPr>
          <w:b/>
          <w:i/>
          <w:szCs w:val="24"/>
        </w:rPr>
      </w:pPr>
      <w:r w:rsidRPr="00DF0370">
        <w:rPr>
          <w:b/>
          <w:i/>
          <w:szCs w:val="24"/>
        </w:rPr>
        <w:t>Mindskelse af afhængigheden af importeret foder</w:t>
      </w:r>
    </w:p>
    <w:p w:rsidR="00A50528" w:rsidRPr="0027020E" w:rsidRDefault="00A50528" w:rsidP="00A50528">
      <w:pPr>
        <w:pStyle w:val="NormalHanging12a"/>
        <w:ind w:left="720" w:hanging="720"/>
        <w:rPr>
          <w:szCs w:val="24"/>
        </w:rPr>
      </w:pPr>
      <w:r w:rsidRPr="00DF0370">
        <w:rPr>
          <w:szCs w:val="24"/>
        </w:rPr>
        <w:t>AA.</w:t>
      </w:r>
      <w:r w:rsidRPr="00DF0370">
        <w:rPr>
          <w:szCs w:val="24"/>
        </w:rPr>
        <w:tab/>
        <w:t xml:space="preserve">der henviser til, at en af erfaringerne fra covid‑19‑krisen og den stadig igangværende krig i Ukraine er behovet for, at Unionen bringer afhængigheden af visse kritiske materialer til ophør; der henviser til, at Kommissionens formand, Ursula von der </w:t>
      </w:r>
      <w:proofErr w:type="spellStart"/>
      <w:r w:rsidRPr="00DF0370">
        <w:rPr>
          <w:szCs w:val="24"/>
        </w:rPr>
        <w:t>Leyen</w:t>
      </w:r>
      <w:proofErr w:type="spellEnd"/>
      <w:r w:rsidRPr="00DF0370">
        <w:rPr>
          <w:szCs w:val="24"/>
        </w:rPr>
        <w:t>, i sin opgavebeskrivelse til kommissær Christophe Hansen anmoder ham om at undersøge, hvordan man kan mindske importen af kritiske råvarer</w:t>
      </w:r>
      <w:r w:rsidRPr="00304AAB">
        <w:rPr>
          <w:rStyle w:val="FootnoteReference"/>
          <w:szCs w:val="24"/>
        </w:rPr>
        <w:footnoteReference w:id="27"/>
      </w:r>
      <w:r w:rsidRPr="00304AAB">
        <w:rPr>
          <w:szCs w:val="24"/>
        </w:rPr>
        <w:t xml:space="preserve">; </w:t>
      </w:r>
    </w:p>
    <w:p w:rsidR="00A50528" w:rsidRPr="00DF0370" w:rsidRDefault="00A50528" w:rsidP="00A50528">
      <w:pPr>
        <w:pStyle w:val="NormalHanging12a"/>
        <w:ind w:left="720" w:hanging="720"/>
        <w:rPr>
          <w:szCs w:val="24"/>
        </w:rPr>
      </w:pPr>
      <w:r w:rsidRPr="00DF0370">
        <w:rPr>
          <w:szCs w:val="24"/>
        </w:rPr>
        <w:t>AB.</w:t>
      </w:r>
      <w:r w:rsidRPr="00DF0370">
        <w:rPr>
          <w:szCs w:val="24"/>
        </w:rPr>
        <w:tab/>
        <w:t>der henviser til, at handelsaftaler tilskynder til import til Unionen af fødevarer og foderstoffer, der indeholder, består af eller er fremstillet af GMO'er; der henviser til, at Brasilien og Argentina er blandt verdens største producenter af GMO'er og brugere af pesticider, herunder GMO'er og pesticider, der er forbudt i Unionen af sundheds- eller miljømæssige årsager;</w:t>
      </w:r>
    </w:p>
    <w:p w:rsidR="00A50528" w:rsidRPr="00DF0370" w:rsidRDefault="00A50528" w:rsidP="00A50528">
      <w:pPr>
        <w:pStyle w:val="NormalHanging12a"/>
        <w:ind w:left="284" w:hanging="284"/>
        <w:rPr>
          <w:b/>
          <w:i/>
          <w:szCs w:val="24"/>
        </w:rPr>
      </w:pPr>
      <w:r w:rsidRPr="00DF0370">
        <w:rPr>
          <w:b/>
          <w:i/>
          <w:szCs w:val="24"/>
        </w:rPr>
        <w:t>Udemokratisk beslutningstagning</w:t>
      </w:r>
    </w:p>
    <w:p w:rsidR="00A50528" w:rsidRPr="00DF0370" w:rsidRDefault="00A50528" w:rsidP="00A50528">
      <w:pPr>
        <w:pStyle w:val="NormalHanging12a"/>
        <w:ind w:left="720" w:hanging="720"/>
        <w:rPr>
          <w:szCs w:val="24"/>
        </w:rPr>
      </w:pPr>
      <w:r w:rsidRPr="00DF0370">
        <w:rPr>
          <w:szCs w:val="24"/>
        </w:rPr>
        <w:t>AC.</w:t>
      </w:r>
      <w:r w:rsidRPr="00DF0370">
        <w:rPr>
          <w:szCs w:val="24"/>
        </w:rPr>
        <w:tab/>
        <w:t xml:space="preserve">der henviser til, at Parlamentet i sin ottende valgperiode vedtog i alt 36 beslutninger, hvori der blev gjort indsigelse mod markedsføring af GMO'er til fødevarer og foderstoffer (33 beslutninger) og mod dyrkning af GMO'er i Unionen (tre beslutninger); der henviser til, at Parlamentet i sin niende valgperiode vedtog 38 indsigelser mod markedsføring af GMO'er, og at det har vedtaget yderligere 10 beslutninger om indsigelse mod markedsføring af GMO'er allerede i indeværende tiende valgperiode; </w:t>
      </w:r>
    </w:p>
    <w:p w:rsidR="00A50528" w:rsidRPr="00DF0370" w:rsidRDefault="00A50528" w:rsidP="00A50528">
      <w:pPr>
        <w:pStyle w:val="NormalHanging12a"/>
        <w:ind w:left="720" w:hanging="720"/>
        <w:rPr>
          <w:szCs w:val="24"/>
        </w:rPr>
      </w:pPr>
      <w:r w:rsidRPr="00DF0370">
        <w:rPr>
          <w:szCs w:val="24"/>
        </w:rPr>
        <w:t>AD.</w:t>
      </w:r>
      <w:r w:rsidRPr="00DF0370">
        <w:rPr>
          <w:szCs w:val="24"/>
        </w:rPr>
        <w:tab/>
        <w:t>der henviser til, at Kommissionen – trods sin egen erkendelse af de demokratiske mangler, medlemsstaternes manglende støtte og Parlamentets indsigelser – fortsat giver tilladelse til GMO'er;</w:t>
      </w:r>
    </w:p>
    <w:p w:rsidR="00A50528" w:rsidRPr="0027020E" w:rsidRDefault="00A50528" w:rsidP="00A50528">
      <w:pPr>
        <w:pStyle w:val="NormalHanging12a"/>
        <w:ind w:left="720" w:hanging="720"/>
        <w:rPr>
          <w:szCs w:val="24"/>
        </w:rPr>
      </w:pPr>
      <w:r w:rsidRPr="00DF0370">
        <w:rPr>
          <w:szCs w:val="24"/>
        </w:rPr>
        <w:t>AE.</w:t>
      </w:r>
      <w:r w:rsidRPr="00DF0370">
        <w:rPr>
          <w:szCs w:val="24"/>
        </w:rPr>
        <w:tab/>
        <w:t>der henviser til, at der ikke kræves nogen ændring af lovgivningen, for at Kommissionen kan undlade at give tilladelse til GMO'er, når der ikke er tilslutning blandt et kvalificeret flertal af medlemsstaterne i appeludvalget</w:t>
      </w:r>
      <w:r w:rsidRPr="00304AAB">
        <w:rPr>
          <w:rStyle w:val="FootnoteReference"/>
          <w:szCs w:val="24"/>
        </w:rPr>
        <w:footnoteReference w:id="28"/>
      </w:r>
      <w:r w:rsidRPr="00304AAB">
        <w:rPr>
          <w:szCs w:val="24"/>
        </w:rPr>
        <w:t>;</w:t>
      </w:r>
    </w:p>
    <w:p w:rsidR="00A50528" w:rsidRPr="00DF0370" w:rsidRDefault="00A50528" w:rsidP="00A50528">
      <w:pPr>
        <w:pStyle w:val="NormalHanging12a"/>
        <w:ind w:left="720" w:hanging="720"/>
        <w:rPr>
          <w:szCs w:val="24"/>
        </w:rPr>
      </w:pPr>
      <w:r w:rsidRPr="00DF0370">
        <w:rPr>
          <w:szCs w:val="24"/>
        </w:rPr>
        <w:t>AF.</w:t>
      </w:r>
      <w:r w:rsidRPr="00DF0370">
        <w:rPr>
          <w:szCs w:val="24"/>
        </w:rPr>
        <w:tab/>
        <w:t xml:space="preserve">der henviser til, at afstemningen den 28. februar 2025 i Den Stående Komité for Planter, Dyr, Fødevarer og Foder, jf. artikel 35 i forordning (EF) nr. 1829/2003, ikke mundede ud i en udtalelse, hvilket betyder, at godkendelsen ikke blev støttet af et </w:t>
      </w:r>
      <w:r w:rsidRPr="00DF0370">
        <w:rPr>
          <w:szCs w:val="24"/>
        </w:rPr>
        <w:lastRenderedPageBreak/>
        <w:t>kvalificeret flertal af medlemsstaterne;</w:t>
      </w:r>
    </w:p>
    <w:p w:rsidR="00A50528" w:rsidRPr="00DF0370" w:rsidRDefault="00A50528" w:rsidP="00A50528">
      <w:pPr>
        <w:pStyle w:val="NormalHanging12a"/>
        <w:ind w:left="720" w:hanging="720"/>
        <w:rPr>
          <w:szCs w:val="24"/>
        </w:rPr>
      </w:pPr>
      <w:r w:rsidRPr="00DF0370">
        <w:rPr>
          <w:szCs w:val="24"/>
        </w:rPr>
        <w:t>1.</w:t>
      </w:r>
      <w:r w:rsidRPr="00DF0370">
        <w:rPr>
          <w:szCs w:val="24"/>
        </w:rPr>
        <w:tab/>
        <w:t>mener, at udkastet til Kommissionens gennemførelsesafgørelse indebærer en overskridelse af de gennemførelsesbeføjelser, der er fastsat i forordning (EF) nr. 1829/2003;</w:t>
      </w:r>
    </w:p>
    <w:p w:rsidR="00A50528" w:rsidRPr="00DF0370" w:rsidRDefault="00A50528" w:rsidP="00A50528">
      <w:pPr>
        <w:pStyle w:val="NormalHanging12a"/>
        <w:ind w:left="720" w:hanging="720"/>
        <w:rPr>
          <w:szCs w:val="24"/>
        </w:rPr>
      </w:pPr>
      <w:r w:rsidRPr="00DF0370">
        <w:rPr>
          <w:szCs w:val="24"/>
        </w:rPr>
        <w:t>2.</w:t>
      </w:r>
      <w:r w:rsidRPr="00DF0370">
        <w:rPr>
          <w:szCs w:val="24"/>
        </w:rPr>
        <w:tab/>
        <w:t>mener,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304AAB">
        <w:rPr>
          <w:rStyle w:val="FootnoteReference"/>
          <w:szCs w:val="24"/>
        </w:rPr>
        <w:footnoteReference w:id="29"/>
      </w:r>
      <w:r w:rsidRPr="00304AAB">
        <w:rPr>
          <w:szCs w:val="24"/>
        </w:rPr>
        <w:t>, er at give et grundlag for at sikre et højt niveau for beskyttelse af menneskers liv og sundhed, af dyrs sundhed og velfærd, af miljøet og af forbrugernes interesser i relation til GM-fødevarer og -foderstoffer, samtidig med at det sikres, at det indre marked fungerer tilfredsstillende;</w:t>
      </w:r>
    </w:p>
    <w:p w:rsidR="00A50528" w:rsidRPr="00DF0370" w:rsidRDefault="00A50528" w:rsidP="00A50528">
      <w:pPr>
        <w:pStyle w:val="NormalHanging12a"/>
        <w:ind w:left="720" w:hanging="720"/>
        <w:rPr>
          <w:szCs w:val="24"/>
        </w:rPr>
      </w:pPr>
      <w:r w:rsidRPr="00DF0370">
        <w:rPr>
          <w:szCs w:val="24"/>
        </w:rPr>
        <w:t>3.</w:t>
      </w:r>
      <w:r w:rsidRPr="00DF0370">
        <w:rPr>
          <w:szCs w:val="24"/>
        </w:rPr>
        <w:tab/>
        <w:t>anmoder Kommissionen om at trække udkastet til gennemførelsesafgørelse tilbage og forelægge udvalget et nyt udkast;</w:t>
      </w:r>
    </w:p>
    <w:p w:rsidR="00A50528" w:rsidRPr="00DF0370" w:rsidRDefault="00A50528" w:rsidP="00A50528">
      <w:pPr>
        <w:pStyle w:val="NormalHanging12a"/>
        <w:ind w:left="720" w:hanging="720"/>
        <w:rPr>
          <w:szCs w:val="24"/>
        </w:rPr>
      </w:pPr>
      <w:r w:rsidRPr="00DF0370">
        <w:rPr>
          <w:szCs w:val="24"/>
        </w:rPr>
        <w:t>4.</w:t>
      </w:r>
      <w:r w:rsidRPr="00DF0370">
        <w:rPr>
          <w:szCs w:val="24"/>
        </w:rPr>
        <w:tab/>
        <w:t>opfordrer Kommissionen til i overensstemmelse med One Health-modellen ikke at godkende herbicidtolerante GM-afgrøder, da det vil føre til øget anvendelse af supplerende herbicider og dermed skærpede risici for biodiversiteten, fødevaresikkerheden og arbejdstagernes sundhed;</w:t>
      </w:r>
    </w:p>
    <w:p w:rsidR="00A50528" w:rsidRPr="00304AAB" w:rsidRDefault="00A50528" w:rsidP="00A50528">
      <w:pPr>
        <w:pStyle w:val="NormalHanging12a"/>
        <w:ind w:left="720" w:hanging="720"/>
        <w:rPr>
          <w:szCs w:val="24"/>
        </w:rPr>
      </w:pPr>
      <w:r w:rsidRPr="00DF0370">
        <w:rPr>
          <w:szCs w:val="24"/>
        </w:rPr>
        <w:t>5.</w:t>
      </w:r>
      <w:r w:rsidRPr="00DF0370">
        <w:rPr>
          <w:szCs w:val="24"/>
        </w:rPr>
        <w:tab/>
        <w:t>fremhæver i denne forbindelse, at tilladelse til import til fødevare- eller foderbrug af enhver GM-plante, der er gjort tolerant over for herbicider, ikke er i overensstemmelse med Unionens internationale forpligtelser i henhold til bl.a. FN's verdensmål for bæredygtig udvikling og FN's konvention om den biologiske mangfoldighed, herunder den nyligt vedtagne Kunming-Montreal-ramme</w:t>
      </w:r>
      <w:r w:rsidRPr="00304AAB">
        <w:rPr>
          <w:rStyle w:val="FootnoteReference"/>
          <w:szCs w:val="24"/>
        </w:rPr>
        <w:footnoteReference w:id="30"/>
      </w:r>
      <w:r w:rsidRPr="00304AAB">
        <w:rPr>
          <w:szCs w:val="24"/>
        </w:rPr>
        <w:t>;</w:t>
      </w:r>
    </w:p>
    <w:p w:rsidR="00A50528" w:rsidRPr="00DF0370" w:rsidRDefault="00A50528" w:rsidP="00A50528">
      <w:pPr>
        <w:pStyle w:val="NormalHanging12a"/>
        <w:ind w:left="720" w:hanging="720"/>
        <w:rPr>
          <w:szCs w:val="24"/>
        </w:rPr>
      </w:pPr>
      <w:r w:rsidRPr="00DF0370">
        <w:rPr>
          <w:szCs w:val="24"/>
        </w:rPr>
        <w:t>6.</w:t>
      </w:r>
      <w:r w:rsidRPr="00DF0370">
        <w:rPr>
          <w:szCs w:val="24"/>
        </w:rPr>
        <w:tab/>
        <w:t>forventer, at Kommissionen hurtigst muligt opfylder sit tilsagn om at fremsætte et forslag for at sikre, at farlige kemikalier, der er forbudt i Unionen, ikke produceres til eksport, og at den forpligter sig til at sikre gensidighed ved bedre at tilpasse vores nationale produktionsstandarder til dem, der gælder for import, navnlig for pesticider;</w:t>
      </w:r>
    </w:p>
    <w:p w:rsidR="00A50528" w:rsidRPr="00DF0370" w:rsidRDefault="00A50528" w:rsidP="00A50528">
      <w:pPr>
        <w:pStyle w:val="NormalHanging12a"/>
        <w:ind w:left="720" w:hanging="720"/>
        <w:rPr>
          <w:szCs w:val="24"/>
        </w:rPr>
      </w:pPr>
      <w:r w:rsidRPr="00DF0370">
        <w:rPr>
          <w:szCs w:val="24"/>
        </w:rPr>
        <w:t>7.</w:t>
      </w:r>
      <w:r w:rsidRPr="00DF0370">
        <w:rPr>
          <w:szCs w:val="24"/>
        </w:rPr>
        <w:tab/>
        <w:t>opfordrer Kommissionen til at sikre konvergens med hensyn til standarder mellem Unionen og dens partnere ved forhandlinger om frihandelsaftaler med henblik på at tilgodese Unionens sikkerhedsstandarder;</w:t>
      </w:r>
    </w:p>
    <w:p w:rsidR="00A50528" w:rsidRPr="00DF0370" w:rsidRDefault="00A50528" w:rsidP="00A50528">
      <w:pPr>
        <w:pStyle w:val="NormalHanging12a"/>
        <w:ind w:left="720" w:hanging="720"/>
        <w:rPr>
          <w:szCs w:val="24"/>
        </w:rPr>
      </w:pPr>
      <w:r w:rsidRPr="00DF0370">
        <w:rPr>
          <w:szCs w:val="24"/>
        </w:rPr>
        <w:t>8.</w:t>
      </w:r>
      <w:r w:rsidRPr="00DF0370">
        <w:rPr>
          <w:szCs w:val="24"/>
        </w:rPr>
        <w:tab/>
        <w:t>glæder sig over, at Kommissionen i en skrivelse af 11. september 2020 til medlemmerne endelig anerkendte behovet for at tage højde for bæredygtighed, når det gælder afgørelser om godkendelse af GMO'er</w:t>
      </w:r>
      <w:r w:rsidRPr="00304AAB">
        <w:rPr>
          <w:rStyle w:val="FootnoteReference"/>
          <w:szCs w:val="24"/>
        </w:rPr>
        <w:footnoteReference w:id="31"/>
      </w:r>
      <w:r w:rsidRPr="00304AAB">
        <w:rPr>
          <w:szCs w:val="24"/>
        </w:rPr>
        <w:t xml:space="preserve">; udtrykker imidlertid sin dybe skuffelse over, at Kommissionen siden da er fortsat med at give tilladelse til import af GMO'er </w:t>
      </w:r>
      <w:r w:rsidRPr="00304AAB">
        <w:rPr>
          <w:szCs w:val="24"/>
        </w:rPr>
        <w:lastRenderedPageBreak/>
        <w:t>til Unionen, selv om Parlamentet løbende har gjort indsigelse, og et flertal af medlemsstaterne har stemt imod;</w:t>
      </w:r>
    </w:p>
    <w:p w:rsidR="00A50528" w:rsidRPr="00304AAB" w:rsidRDefault="00A50528" w:rsidP="00A50528">
      <w:pPr>
        <w:pStyle w:val="NormalHanging12a"/>
        <w:ind w:left="720" w:hanging="720"/>
        <w:rPr>
          <w:szCs w:val="24"/>
        </w:rPr>
      </w:pPr>
      <w:r w:rsidRPr="00DF0370">
        <w:rPr>
          <w:szCs w:val="24"/>
        </w:rPr>
        <w:t>9.</w:t>
      </w:r>
      <w:r w:rsidRPr="00DF0370">
        <w:rPr>
          <w:szCs w:val="24"/>
        </w:rPr>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Pr="00304AAB">
        <w:rPr>
          <w:rStyle w:val="FootnoteReference"/>
          <w:szCs w:val="24"/>
        </w:rPr>
        <w:footnoteReference w:id="32"/>
      </w:r>
      <w:r w:rsidRPr="00304AAB">
        <w:rPr>
          <w:szCs w:val="24"/>
        </w:rPr>
        <w:t xml:space="preserve">; </w:t>
      </w:r>
    </w:p>
    <w:p w:rsidR="00E365E1" w:rsidRPr="00DF0370" w:rsidRDefault="00A50528" w:rsidP="00DF0370">
      <w:pPr>
        <w:ind w:left="567" w:hanging="567"/>
      </w:pPr>
      <w:r w:rsidRPr="0027020E">
        <w:rPr>
          <w:szCs w:val="24"/>
        </w:rPr>
        <w:t>10.</w:t>
      </w:r>
      <w:r w:rsidRPr="0027020E">
        <w:rPr>
          <w:szCs w:val="24"/>
        </w:rPr>
        <w:tab/>
        <w:t>pålægger sin formand at sende denne beslutning til Rådet og Kommissionen samt til medlemsstaternes regeringer og parlamenter.</w:t>
      </w:r>
    </w:p>
    <w:sectPr w:rsidR="00E365E1" w:rsidRPr="00DF0370" w:rsidSect="000723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1C7" w:rsidRPr="0007239D" w:rsidRDefault="004741C7">
      <w:r w:rsidRPr="0007239D">
        <w:separator/>
      </w:r>
    </w:p>
  </w:endnote>
  <w:endnote w:type="continuationSeparator" w:id="0">
    <w:p w:rsidR="004741C7" w:rsidRPr="0007239D" w:rsidRDefault="004741C7">
      <w:r w:rsidRPr="00072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1C7" w:rsidRPr="0007239D" w:rsidRDefault="004741C7">
      <w:r w:rsidRPr="0007239D">
        <w:separator/>
      </w:r>
    </w:p>
  </w:footnote>
  <w:footnote w:type="continuationSeparator" w:id="0">
    <w:p w:rsidR="004741C7" w:rsidRPr="0007239D" w:rsidRDefault="004741C7">
      <w:r w:rsidRPr="0007239D">
        <w:continuationSeparator/>
      </w:r>
    </w:p>
  </w:footnote>
  <w:footnote w:id="1">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EUT L 268</w:t>
      </w:r>
      <w:r w:rsidR="00D74230">
        <w:rPr>
          <w:sz w:val="24"/>
          <w:lang w:val="da-DK"/>
        </w:rPr>
        <w:t xml:space="preserve"> af</w:t>
      </w:r>
      <w:r w:rsidRPr="0007239D">
        <w:rPr>
          <w:sz w:val="24"/>
          <w:lang w:val="da-DK"/>
        </w:rPr>
        <w:t xml:space="preserve"> 18.10.2003, s. 1, ELI: </w:t>
      </w:r>
      <w:hyperlink r:id="rId1" w:history="1">
        <w:r w:rsidRPr="0007239D">
          <w:rPr>
            <w:rStyle w:val="Hyperlink"/>
            <w:sz w:val="24"/>
            <w:lang w:val="da-DK"/>
          </w:rPr>
          <w:t>http://data.europa.eu/eli/reg/2003/1829/oj</w:t>
        </w:r>
      </w:hyperlink>
      <w:r w:rsidRPr="0007239D">
        <w:rPr>
          <w:rStyle w:val="Hyperlink"/>
          <w:color w:val="000000" w:themeColor="text1"/>
          <w:sz w:val="24"/>
          <w:lang w:val="da-DK"/>
        </w:rPr>
        <w:t>.</w:t>
      </w:r>
    </w:p>
  </w:footnote>
  <w:footnote w:id="2">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EUT L 55</w:t>
      </w:r>
      <w:r w:rsidR="00D74230">
        <w:rPr>
          <w:sz w:val="24"/>
          <w:lang w:val="da-DK"/>
        </w:rPr>
        <w:t xml:space="preserve"> af</w:t>
      </w:r>
      <w:r w:rsidRPr="0007239D">
        <w:rPr>
          <w:sz w:val="24"/>
          <w:lang w:val="da-DK"/>
        </w:rPr>
        <w:t xml:space="preserve"> </w:t>
      </w:r>
      <w:r w:rsidR="00D74230">
        <w:rPr>
          <w:sz w:val="24"/>
          <w:lang w:val="da-DK"/>
        </w:rPr>
        <w:t>28.2.2011</w:t>
      </w:r>
      <w:r w:rsidRPr="0007239D">
        <w:rPr>
          <w:sz w:val="24"/>
          <w:lang w:val="da-DK"/>
        </w:rPr>
        <w:t>, s. 13, ELI</w:t>
      </w:r>
      <w:r w:rsidRPr="0007239D">
        <w:rPr>
          <w:rStyle w:val="Hyperlink"/>
          <w:sz w:val="24"/>
          <w:lang w:val="da-DK"/>
        </w:rPr>
        <w:t xml:space="preserve">: </w:t>
      </w:r>
      <w:hyperlink r:id="rId2" w:history="1">
        <w:r w:rsidRPr="0007239D">
          <w:rPr>
            <w:rStyle w:val="Hyperlink"/>
            <w:sz w:val="24"/>
            <w:lang w:val="da-DK"/>
          </w:rPr>
          <w:t>http://data.europa.eu/eli/reg/2011/182/oj</w:t>
        </w:r>
      </w:hyperlink>
      <w:r w:rsidRPr="0007239D">
        <w:rPr>
          <w:rStyle w:val="Hyperlink"/>
          <w:sz w:val="24"/>
          <w:lang w:val="da-DK"/>
        </w:rPr>
        <w:t>.</w:t>
      </w:r>
    </w:p>
  </w:footnote>
  <w:footnote w:id="3">
    <w:p w:rsidR="00A50528" w:rsidRPr="0007239D" w:rsidRDefault="00A50528" w:rsidP="0007239D">
      <w:pPr>
        <w:pStyle w:val="FootnoteText"/>
        <w:ind w:left="567" w:hanging="567"/>
        <w:rPr>
          <w:color w:val="000000" w:themeColor="text1"/>
          <w:sz w:val="24"/>
          <w:lang w:val="da-DK"/>
        </w:rPr>
      </w:pPr>
      <w:r w:rsidRPr="0007239D">
        <w:rPr>
          <w:rStyle w:val="FootnoteReference"/>
          <w:color w:val="000000" w:themeColor="text1"/>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Videnskabelig udtalelse fra </w:t>
      </w:r>
      <w:proofErr w:type="spellStart"/>
      <w:r w:rsidRPr="0007239D">
        <w:rPr>
          <w:sz w:val="24"/>
          <w:lang w:val="da-DK"/>
        </w:rPr>
        <w:t>EFSA's</w:t>
      </w:r>
      <w:proofErr w:type="spellEnd"/>
      <w:r w:rsidRPr="0007239D">
        <w:rPr>
          <w:sz w:val="24"/>
          <w:lang w:val="da-DK"/>
        </w:rPr>
        <w:t xml:space="preserve"> Panel for Genetisk Modificerede Organismer om vurdering af den genetisk modificerede sojabønne MON 87705 × MON 87708 × MON 89788 med henblik på anvendelse i fødevarer og foderstoffer i henhold til forordning (EF) nr. 1829/2003 (ansøgning EFSA-GMO-NL-2015-126), EFSA Journal 2020;18(5):e06111, </w:t>
      </w:r>
      <w:hyperlink r:id="rId3" w:history="1">
        <w:r w:rsidRPr="0007239D">
          <w:rPr>
            <w:rStyle w:val="Hyperlink"/>
            <w:sz w:val="24"/>
            <w:lang w:val="da-DK"/>
          </w:rPr>
          <w:t>https://doi.org/10.2903/j.efsa.2020.6111</w:t>
        </w:r>
      </w:hyperlink>
      <w:r w:rsidRPr="0007239D">
        <w:rPr>
          <w:rStyle w:val="Hyperlink"/>
          <w:sz w:val="24"/>
          <w:lang w:val="da-DK"/>
        </w:rPr>
        <w:t>.</w:t>
      </w:r>
    </w:p>
  </w:footnote>
  <w:footnote w:id="4">
    <w:p w:rsidR="00A50528" w:rsidRPr="0007239D" w:rsidRDefault="00A50528" w:rsidP="0007239D">
      <w:pPr>
        <w:pStyle w:val="FootnoteText"/>
        <w:ind w:left="567" w:hanging="567"/>
        <w:rPr>
          <w:color w:val="000000" w:themeColor="text1"/>
          <w:sz w:val="24"/>
          <w:vertAlign w:val="superscript"/>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Parlamentet vedtog i sin ottende valgperiode 36 beslutninger og i sin niende valgperiode 38 beslutninger, hvori det gjorde indsigelse mod godkendelsen af GMO'er.</w:t>
      </w:r>
      <w:r w:rsidRPr="0007239D">
        <w:rPr>
          <w:color w:val="000000" w:themeColor="text1"/>
          <w:sz w:val="24"/>
          <w:lang w:val="da-DK"/>
        </w:rPr>
        <w:t xml:space="preserve"> Desuden har Europa-Parlamentet i sin tiende valgperiode vedtaget følgende beslutninger:</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A50528" w:rsidRPr="0007239D">
          <w:rPr>
            <w:rStyle w:val="Hyperlink"/>
            <w:sz w:val="24"/>
            <w:lang w:val="da-DK"/>
          </w:rPr>
          <w:t>http://data.europa.eu/eli/C/2025/1797/oj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A50528" w:rsidRPr="0007239D">
          <w:rPr>
            <w:rStyle w:val="Hyperlink"/>
            <w:sz w:val="24"/>
            <w:lang w:val="da-DK"/>
          </w:rPr>
          <w:t>http://data.europa.eu/eli/C/2025/1798/oj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A50528" w:rsidRPr="0007239D">
          <w:rPr>
            <w:rStyle w:val="Hyperlink"/>
            <w:sz w:val="24"/>
            <w:lang w:val="da-DK"/>
          </w:rPr>
          <w:t>http://data.europa.eu/eli/C/2025/1799/oj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A50528" w:rsidRPr="0007239D">
          <w:rPr>
            <w:rStyle w:val="Hyperlink"/>
            <w:sz w:val="24"/>
            <w:lang w:val="da-DK"/>
          </w:rPr>
          <w:t>http://data.europa.eu/eli/C/2025/1800/oj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A50528" w:rsidRPr="0007239D">
          <w:rPr>
            <w:rStyle w:val="Hyperlink"/>
            <w:sz w:val="24"/>
            <w:lang w:val="da-DK"/>
          </w:rPr>
          <w:t>http://data.europa.eu/eli/C/2025/1801/oj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A50528" w:rsidRPr="0007239D">
          <w:rPr>
            <w:rStyle w:val="Hyperlink"/>
            <w:sz w:val="24"/>
            <w:lang w:val="da-DK"/>
          </w:rPr>
          <w:t>http://data.europa.eu/eli/C/2025/1802/oj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A50528" w:rsidRPr="0007239D">
          <w:rPr>
            <w:rStyle w:val="Hyperlink"/>
            <w:sz w:val="24"/>
            <w:lang w:val="da-DK"/>
          </w:rPr>
          <w:t>http://data.europa.eu/eli/C/2025/1803/oj</w:t>
        </w:r>
      </w:hyperlink>
      <w:r w:rsidR="00A50528" w:rsidRPr="0007239D">
        <w:rPr>
          <w:color w:val="000000" w:themeColor="text1"/>
          <w:sz w:val="24"/>
          <w:lang w:val="da-DK"/>
        </w:rPr>
        <w:t>).</w:t>
      </w:r>
    </w:p>
    <w:p w:rsidR="00A50528" w:rsidRPr="0007239D" w:rsidRDefault="0007239D" w:rsidP="0007239D">
      <w:pPr>
        <w:pStyle w:val="FootnoteText"/>
        <w:ind w:left="567" w:hanging="567"/>
        <w:rPr>
          <w:color w:val="000000" w:themeColor="text1"/>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majs MON 94804, i henhold til Europa-Parlamentets og Rådets forordning (EF) nr. 1829/2003 (EUT C, C/2025/1804, 4.4.2025, ELI: </w:t>
      </w:r>
      <w:hyperlink r:id="rId11" w:history="1">
        <w:r w:rsidR="00A50528" w:rsidRPr="0007239D">
          <w:rPr>
            <w:rStyle w:val="Hyperlink"/>
            <w:sz w:val="24"/>
            <w:lang w:val="da-DK"/>
          </w:rPr>
          <w:t>http://data.europa.eu/eli/C/2025/1804/oj</w:t>
        </w:r>
      </w:hyperlink>
      <w:r w:rsidR="00A50528" w:rsidRPr="0007239D">
        <w:rPr>
          <w:color w:val="000000" w:themeColor="text1"/>
          <w:sz w:val="24"/>
          <w:lang w:val="da-DK"/>
        </w:rPr>
        <w:t>).</w:t>
      </w:r>
    </w:p>
    <w:p w:rsidR="00A50528" w:rsidRPr="0007239D" w:rsidRDefault="0007239D" w:rsidP="0007239D">
      <w:pPr>
        <w:pStyle w:val="FootnoteText"/>
        <w:ind w:left="567" w:hanging="567"/>
        <w:rPr>
          <w:sz w:val="24"/>
          <w:vertAlign w:val="superscript"/>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r>
      <w:r w:rsidR="00A50528" w:rsidRPr="0007239D">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(P10_</w:t>
      </w:r>
      <w:proofErr w:type="gramStart"/>
      <w:r w:rsidR="00A50528" w:rsidRPr="0007239D">
        <w:rPr>
          <w:sz w:val="24"/>
          <w:lang w:val="da-DK"/>
        </w:rPr>
        <w:t>TA(</w:t>
      </w:r>
      <w:proofErr w:type="gramEnd"/>
      <w:r w:rsidR="00A50528" w:rsidRPr="0007239D">
        <w:rPr>
          <w:sz w:val="24"/>
          <w:lang w:val="da-DK"/>
        </w:rPr>
        <w:t>2025)0014).</w:t>
      </w:r>
    </w:p>
    <w:p w:rsidR="00A50528" w:rsidRPr="0007239D" w:rsidRDefault="0007239D" w:rsidP="0007239D">
      <w:pPr>
        <w:pStyle w:val="FootnoteText"/>
        <w:ind w:left="567" w:hanging="567"/>
        <w:rPr>
          <w:sz w:val="24"/>
          <w:lang w:val="da-DK"/>
        </w:rPr>
      </w:pPr>
      <w:r w:rsidRPr="0007239D">
        <w:rPr>
          <w:color w:val="000000" w:themeColor="text1"/>
          <w:sz w:val="24"/>
          <w:lang w:val="da-DK"/>
        </w:rPr>
        <w:t xml:space="preserve"> </w:t>
      </w:r>
      <w:r w:rsidRPr="0007239D">
        <w:rPr>
          <w:color w:val="000000" w:themeColor="text1"/>
          <w:sz w:val="24"/>
          <w:lang w:val="da-DK"/>
        </w:rPr>
        <w:tab/>
      </w:r>
      <w:r w:rsidR="00A50528" w:rsidRPr="0007239D">
        <w:rPr>
          <w:color w:val="000000" w:themeColor="text1"/>
          <w:sz w:val="24"/>
          <w:lang w:val="da-DK"/>
        </w:rPr>
        <w:t>–</w:t>
      </w:r>
      <w:r w:rsidR="00A50528" w:rsidRPr="0007239D">
        <w:rPr>
          <w:color w:val="000000" w:themeColor="text1"/>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(P10_</w:t>
      </w:r>
      <w:proofErr w:type="gramStart"/>
      <w:r w:rsidR="00A50528" w:rsidRPr="0007239D">
        <w:rPr>
          <w:color w:val="000000" w:themeColor="text1"/>
          <w:sz w:val="24"/>
          <w:lang w:val="da-DK"/>
        </w:rPr>
        <w:t>TA(</w:t>
      </w:r>
      <w:proofErr w:type="gramEnd"/>
      <w:r w:rsidR="00A50528" w:rsidRPr="0007239D">
        <w:rPr>
          <w:color w:val="000000" w:themeColor="text1"/>
          <w:sz w:val="24"/>
          <w:lang w:val="da-DK"/>
        </w:rPr>
        <w:t>2025)0015).</w:t>
      </w:r>
    </w:p>
  </w:footnote>
  <w:footnote w:id="5">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Erklæring fra </w:t>
      </w:r>
      <w:proofErr w:type="spellStart"/>
      <w:r w:rsidRPr="0007239D">
        <w:rPr>
          <w:sz w:val="24"/>
          <w:lang w:val="da-DK"/>
        </w:rPr>
        <w:t>EFSA's</w:t>
      </w:r>
      <w:proofErr w:type="spellEnd"/>
      <w:r w:rsidRPr="0007239D">
        <w:rPr>
          <w:sz w:val="24"/>
          <w:lang w:val="da-DK"/>
        </w:rPr>
        <w:t xml:space="preserve"> Ekspertpanel for GMO'er, der supplerede </w:t>
      </w:r>
      <w:proofErr w:type="spellStart"/>
      <w:r w:rsidRPr="0007239D">
        <w:rPr>
          <w:sz w:val="24"/>
          <w:lang w:val="da-DK"/>
        </w:rPr>
        <w:t>EFSA's</w:t>
      </w:r>
      <w:proofErr w:type="spellEnd"/>
      <w:r w:rsidRPr="0007239D">
        <w:rPr>
          <w:sz w:val="24"/>
          <w:lang w:val="da-DK"/>
        </w:rPr>
        <w:t xml:space="preserve"> videnskabelige udtalelse om ansøgning (EFSA-GMO-NL-2015-126) om godkendelse af fødevarer og foder, der indeholder, består af og er fremstillet af genetisk modificeret sojabønne MON 87705 × MON 87708 × MON 89788. EFSA Journal 2024;22(10):e9061, </w:t>
      </w:r>
      <w:hyperlink r:id="rId12" w:history="1">
        <w:r w:rsidRPr="0007239D">
          <w:rPr>
            <w:rStyle w:val="Hyperlink"/>
            <w:sz w:val="24"/>
            <w:lang w:val="da-DK"/>
          </w:rPr>
          <w:t>https://doi.org/10.2903/j.efsa.2024.9061</w:t>
        </w:r>
      </w:hyperlink>
      <w:r w:rsidRPr="0007239D">
        <w:rPr>
          <w:sz w:val="24"/>
          <w:lang w:val="da-DK"/>
        </w:rPr>
        <w:t>.</w:t>
      </w:r>
    </w:p>
  </w:footnote>
  <w:footnote w:id="6">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color w:val="000000" w:themeColor="text1"/>
          <w:sz w:val="24"/>
          <w:lang w:val="da-DK"/>
        </w:rPr>
        <w:t xml:space="preserve"> </w:t>
      </w:r>
      <w:r w:rsidR="0007239D" w:rsidRPr="0007239D">
        <w:rPr>
          <w:color w:val="000000" w:themeColor="text1"/>
          <w:sz w:val="24"/>
          <w:lang w:val="da-DK"/>
        </w:rPr>
        <w:tab/>
      </w:r>
      <w:r w:rsidRPr="0007239D">
        <w:rPr>
          <w:color w:val="000000" w:themeColor="text1"/>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13" w:tgtFrame="Gives access to this document through its ELI URI." w:history="1">
        <w:r w:rsidRPr="0007239D">
          <w:rPr>
            <w:rStyle w:val="Hyperlink"/>
            <w:color w:val="0070C0"/>
            <w:sz w:val="24"/>
            <w:lang w:val="da-DK"/>
          </w:rPr>
          <w:t>http://data.europa.eu/eli/reg_impl/2013/503/oj</w:t>
        </w:r>
      </w:hyperlink>
      <w:r w:rsidRPr="0007239D">
        <w:rPr>
          <w:rStyle w:val="Hyperlink"/>
          <w:color w:val="000000" w:themeColor="text1"/>
          <w:sz w:val="24"/>
          <w:lang w:val="da-DK"/>
        </w:rPr>
        <w:t>).</w:t>
      </w:r>
    </w:p>
  </w:footnote>
  <w:footnote w:id="7">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Se, f.eks. Bonny, S., "</w:t>
      </w:r>
      <w:proofErr w:type="spellStart"/>
      <w:r w:rsidRPr="0007239D">
        <w:rPr>
          <w:sz w:val="24"/>
          <w:lang w:val="da-DK"/>
        </w:rPr>
        <w:t>Genetically</w:t>
      </w:r>
      <w:proofErr w:type="spellEnd"/>
      <w:r w:rsidRPr="0007239D">
        <w:rPr>
          <w:sz w:val="24"/>
          <w:lang w:val="da-DK"/>
        </w:rPr>
        <w:t xml:space="preserve"> </w:t>
      </w:r>
      <w:proofErr w:type="spellStart"/>
      <w:r w:rsidRPr="0007239D">
        <w:rPr>
          <w:sz w:val="24"/>
          <w:lang w:val="da-DK"/>
        </w:rPr>
        <w:t>Modified</w:t>
      </w:r>
      <w:proofErr w:type="spellEnd"/>
      <w:r w:rsidRPr="0007239D">
        <w:rPr>
          <w:sz w:val="24"/>
          <w:lang w:val="da-DK"/>
        </w:rPr>
        <w:t xml:space="preserve"> </w:t>
      </w:r>
      <w:proofErr w:type="spellStart"/>
      <w:r w:rsidRPr="0007239D">
        <w:rPr>
          <w:sz w:val="24"/>
          <w:lang w:val="da-DK"/>
        </w:rPr>
        <w:t>Herbicide</w:t>
      </w:r>
      <w:proofErr w:type="spellEnd"/>
      <w:r w:rsidRPr="0007239D">
        <w:rPr>
          <w:sz w:val="24"/>
          <w:lang w:val="da-DK"/>
        </w:rPr>
        <w:t xml:space="preserve">-Tolerant </w:t>
      </w:r>
      <w:proofErr w:type="spellStart"/>
      <w:r w:rsidRPr="0007239D">
        <w:rPr>
          <w:sz w:val="24"/>
          <w:lang w:val="da-DK"/>
        </w:rPr>
        <w:t>Crops</w:t>
      </w:r>
      <w:proofErr w:type="spellEnd"/>
      <w:r w:rsidRPr="0007239D">
        <w:rPr>
          <w:sz w:val="24"/>
          <w:lang w:val="da-DK"/>
        </w:rPr>
        <w:t xml:space="preserve">, </w:t>
      </w:r>
      <w:proofErr w:type="spellStart"/>
      <w:r w:rsidRPr="0007239D">
        <w:rPr>
          <w:sz w:val="24"/>
          <w:lang w:val="da-DK"/>
        </w:rPr>
        <w:t>Weeds</w:t>
      </w:r>
      <w:proofErr w:type="spellEnd"/>
      <w:r w:rsidRPr="0007239D">
        <w:rPr>
          <w:sz w:val="24"/>
          <w:lang w:val="da-DK"/>
        </w:rPr>
        <w:t xml:space="preserve"> og </w:t>
      </w:r>
      <w:proofErr w:type="spellStart"/>
      <w:r w:rsidRPr="0007239D">
        <w:rPr>
          <w:sz w:val="24"/>
          <w:lang w:val="da-DK"/>
        </w:rPr>
        <w:t>Herbicides</w:t>
      </w:r>
      <w:proofErr w:type="spellEnd"/>
      <w:r w:rsidRPr="0007239D">
        <w:rPr>
          <w:sz w:val="24"/>
          <w:lang w:val="da-DK"/>
        </w:rPr>
        <w:t xml:space="preserve">: </w:t>
      </w:r>
      <w:proofErr w:type="spellStart"/>
      <w:r w:rsidRPr="0007239D">
        <w:rPr>
          <w:sz w:val="24"/>
          <w:lang w:val="da-DK"/>
        </w:rPr>
        <w:t>Overview</w:t>
      </w:r>
      <w:proofErr w:type="spellEnd"/>
      <w:r w:rsidRPr="0007239D">
        <w:rPr>
          <w:sz w:val="24"/>
          <w:lang w:val="da-DK"/>
        </w:rPr>
        <w:t xml:space="preserve"> and </w:t>
      </w:r>
      <w:proofErr w:type="spellStart"/>
      <w:r w:rsidRPr="0007239D">
        <w:rPr>
          <w:sz w:val="24"/>
          <w:lang w:val="da-DK"/>
        </w:rPr>
        <w:t>Impact</w:t>
      </w:r>
      <w:proofErr w:type="spellEnd"/>
      <w:r w:rsidRPr="0007239D">
        <w:rPr>
          <w:sz w:val="24"/>
          <w:lang w:val="da-DK"/>
        </w:rPr>
        <w:t xml:space="preserve">", </w:t>
      </w:r>
      <w:proofErr w:type="spellStart"/>
      <w:r w:rsidRPr="0007239D">
        <w:rPr>
          <w:sz w:val="24"/>
          <w:lang w:val="da-DK"/>
        </w:rPr>
        <w:t>Environmental</w:t>
      </w:r>
      <w:proofErr w:type="spellEnd"/>
      <w:r w:rsidRPr="0007239D">
        <w:rPr>
          <w:sz w:val="24"/>
          <w:lang w:val="da-DK"/>
        </w:rPr>
        <w:t xml:space="preserve"> Management, januar 2016;57(1), s. 31-48, </w:t>
      </w:r>
      <w:hyperlink r:id="rId14" w:history="1">
        <w:r w:rsidRPr="0007239D">
          <w:rPr>
            <w:rStyle w:val="Hyperlink"/>
            <w:sz w:val="24"/>
            <w:lang w:val="da-DK"/>
          </w:rPr>
          <w:t>https://www.ncbi.nlm.nih.gov/pubmed/26296738</w:t>
        </w:r>
      </w:hyperlink>
      <w:r w:rsidRPr="0007239D">
        <w:rPr>
          <w:rStyle w:val="Hyperlink"/>
          <w:sz w:val="24"/>
          <w:lang w:val="da-DK"/>
        </w:rPr>
        <w:t>,</w:t>
      </w:r>
      <w:r w:rsidRPr="0007239D">
        <w:rPr>
          <w:sz w:val="24"/>
          <w:lang w:val="da-DK"/>
        </w:rPr>
        <w:t xml:space="preserve"> og </w:t>
      </w:r>
      <w:proofErr w:type="spellStart"/>
      <w:r w:rsidRPr="0007239D">
        <w:rPr>
          <w:sz w:val="24"/>
          <w:lang w:val="da-DK"/>
        </w:rPr>
        <w:t>Benbrook</w:t>
      </w:r>
      <w:proofErr w:type="spellEnd"/>
      <w:r w:rsidRPr="0007239D">
        <w:rPr>
          <w:sz w:val="24"/>
          <w:lang w:val="da-DK"/>
        </w:rPr>
        <w:t>, C.M., "</w:t>
      </w:r>
      <w:proofErr w:type="spellStart"/>
      <w:r w:rsidRPr="0007239D">
        <w:rPr>
          <w:sz w:val="24"/>
          <w:lang w:val="da-DK"/>
        </w:rPr>
        <w:t>Impacts</w:t>
      </w:r>
      <w:proofErr w:type="spellEnd"/>
      <w:r w:rsidRPr="0007239D">
        <w:rPr>
          <w:sz w:val="24"/>
          <w:lang w:val="da-DK"/>
        </w:rPr>
        <w:t xml:space="preserve"> of </w:t>
      </w:r>
      <w:proofErr w:type="spellStart"/>
      <w:r w:rsidRPr="0007239D">
        <w:rPr>
          <w:sz w:val="24"/>
          <w:lang w:val="da-DK"/>
        </w:rPr>
        <w:t>genetically</w:t>
      </w:r>
      <w:proofErr w:type="spellEnd"/>
      <w:r w:rsidRPr="0007239D">
        <w:rPr>
          <w:sz w:val="24"/>
          <w:lang w:val="da-DK"/>
        </w:rPr>
        <w:t xml:space="preserve"> </w:t>
      </w:r>
      <w:proofErr w:type="spellStart"/>
      <w:r w:rsidRPr="0007239D">
        <w:rPr>
          <w:sz w:val="24"/>
          <w:lang w:val="da-DK"/>
        </w:rPr>
        <w:t>engineered</w:t>
      </w:r>
      <w:proofErr w:type="spellEnd"/>
      <w:r w:rsidRPr="0007239D">
        <w:rPr>
          <w:sz w:val="24"/>
          <w:lang w:val="da-DK"/>
        </w:rPr>
        <w:t xml:space="preserve"> </w:t>
      </w:r>
      <w:proofErr w:type="spellStart"/>
      <w:r w:rsidRPr="0007239D">
        <w:rPr>
          <w:sz w:val="24"/>
          <w:lang w:val="da-DK"/>
        </w:rPr>
        <w:t>crops</w:t>
      </w:r>
      <w:proofErr w:type="spellEnd"/>
      <w:r w:rsidRPr="0007239D">
        <w:rPr>
          <w:sz w:val="24"/>
          <w:lang w:val="da-DK"/>
        </w:rPr>
        <w:t xml:space="preserve"> on </w:t>
      </w:r>
      <w:proofErr w:type="spellStart"/>
      <w:r w:rsidRPr="0007239D">
        <w:rPr>
          <w:sz w:val="24"/>
          <w:lang w:val="da-DK"/>
        </w:rPr>
        <w:t>pesticide</w:t>
      </w:r>
      <w:proofErr w:type="spellEnd"/>
      <w:r w:rsidRPr="0007239D">
        <w:rPr>
          <w:sz w:val="24"/>
          <w:lang w:val="da-DK"/>
        </w:rPr>
        <w:t xml:space="preserve"> </w:t>
      </w:r>
      <w:proofErr w:type="spellStart"/>
      <w:r w:rsidRPr="0007239D">
        <w:rPr>
          <w:sz w:val="24"/>
          <w:lang w:val="da-DK"/>
        </w:rPr>
        <w:t>use</w:t>
      </w:r>
      <w:proofErr w:type="spellEnd"/>
      <w:r w:rsidRPr="0007239D">
        <w:rPr>
          <w:sz w:val="24"/>
          <w:lang w:val="da-DK"/>
        </w:rPr>
        <w:t xml:space="preserve"> in the U.S. - the </w:t>
      </w:r>
      <w:proofErr w:type="spellStart"/>
      <w:r w:rsidRPr="0007239D">
        <w:rPr>
          <w:sz w:val="24"/>
          <w:lang w:val="da-DK"/>
        </w:rPr>
        <w:t>first</w:t>
      </w:r>
      <w:proofErr w:type="spellEnd"/>
      <w:r w:rsidRPr="0007239D">
        <w:rPr>
          <w:sz w:val="24"/>
          <w:lang w:val="da-DK"/>
        </w:rPr>
        <w:t xml:space="preserve"> </w:t>
      </w:r>
      <w:proofErr w:type="spellStart"/>
      <w:r w:rsidRPr="0007239D">
        <w:rPr>
          <w:sz w:val="24"/>
          <w:lang w:val="da-DK"/>
        </w:rPr>
        <w:t>sixteen</w:t>
      </w:r>
      <w:proofErr w:type="spellEnd"/>
      <w:r w:rsidRPr="0007239D">
        <w:rPr>
          <w:sz w:val="24"/>
          <w:lang w:val="da-DK"/>
        </w:rPr>
        <w:t xml:space="preserve"> </w:t>
      </w:r>
      <w:proofErr w:type="spellStart"/>
      <w:r w:rsidRPr="0007239D">
        <w:rPr>
          <w:sz w:val="24"/>
          <w:lang w:val="da-DK"/>
        </w:rPr>
        <w:t>years</w:t>
      </w:r>
      <w:proofErr w:type="spellEnd"/>
      <w:r w:rsidRPr="0007239D">
        <w:rPr>
          <w:sz w:val="24"/>
          <w:lang w:val="da-DK"/>
        </w:rPr>
        <w:t xml:space="preserve">", </w:t>
      </w:r>
      <w:proofErr w:type="spellStart"/>
      <w:r w:rsidRPr="0007239D">
        <w:rPr>
          <w:sz w:val="24"/>
          <w:lang w:val="da-DK"/>
        </w:rPr>
        <w:t>Environmental</w:t>
      </w:r>
      <w:proofErr w:type="spellEnd"/>
      <w:r w:rsidRPr="0007239D">
        <w:rPr>
          <w:sz w:val="24"/>
          <w:lang w:val="da-DK"/>
        </w:rPr>
        <w:t xml:space="preserve"> Sciences Europe, 28. september 2012, Vol. 24(1), </w:t>
      </w:r>
      <w:hyperlink r:id="rId15" w:history="1">
        <w:r w:rsidRPr="0007239D">
          <w:rPr>
            <w:rStyle w:val="Hyperlink"/>
            <w:sz w:val="24"/>
            <w:lang w:val="da-DK"/>
          </w:rPr>
          <w:t>https://enveurope.springeropen.com/articles/10.1186/2190-4715-24-24</w:t>
        </w:r>
      </w:hyperlink>
      <w:r w:rsidRPr="0007239D">
        <w:rPr>
          <w:sz w:val="24"/>
          <w:lang w:val="da-DK"/>
        </w:rPr>
        <w:t>.</w:t>
      </w:r>
    </w:p>
  </w:footnote>
  <w:footnote w:id="8">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proofErr w:type="spellStart"/>
      <w:r w:rsidRPr="0007239D">
        <w:rPr>
          <w:sz w:val="24"/>
          <w:lang w:val="da-DK"/>
        </w:rPr>
        <w:t>Lerro</w:t>
      </w:r>
      <w:proofErr w:type="spellEnd"/>
      <w:r w:rsidRPr="0007239D">
        <w:rPr>
          <w:sz w:val="24"/>
          <w:lang w:val="da-DK"/>
        </w:rPr>
        <w:t xml:space="preserve">, C.C., Hofmann, J.N., Andreotti, G., </w:t>
      </w:r>
      <w:proofErr w:type="spellStart"/>
      <w:r w:rsidRPr="0007239D">
        <w:rPr>
          <w:sz w:val="24"/>
          <w:lang w:val="da-DK"/>
        </w:rPr>
        <w:t>Koutros</w:t>
      </w:r>
      <w:proofErr w:type="spellEnd"/>
      <w:r w:rsidRPr="0007239D">
        <w:rPr>
          <w:sz w:val="24"/>
          <w:lang w:val="da-DK"/>
        </w:rPr>
        <w:t xml:space="preserve">, S., Parks, C.G., Blair, A., Albert, P.S., </w:t>
      </w:r>
      <w:proofErr w:type="spellStart"/>
      <w:r w:rsidRPr="0007239D">
        <w:rPr>
          <w:sz w:val="24"/>
          <w:lang w:val="da-DK"/>
        </w:rPr>
        <w:t>Lubin</w:t>
      </w:r>
      <w:proofErr w:type="spellEnd"/>
      <w:r w:rsidRPr="0007239D">
        <w:rPr>
          <w:sz w:val="24"/>
          <w:lang w:val="da-DK"/>
        </w:rPr>
        <w:t xml:space="preserve">, J.H., Sandler, D.P., </w:t>
      </w:r>
      <w:proofErr w:type="spellStart"/>
      <w:r w:rsidRPr="0007239D">
        <w:rPr>
          <w:sz w:val="24"/>
          <w:lang w:val="da-DK"/>
        </w:rPr>
        <w:t>Beane</w:t>
      </w:r>
      <w:proofErr w:type="spellEnd"/>
      <w:r w:rsidRPr="0007239D">
        <w:rPr>
          <w:sz w:val="24"/>
          <w:lang w:val="da-DK"/>
        </w:rPr>
        <w:t xml:space="preserve"> Freeman, L.E., "</w:t>
      </w:r>
      <w:proofErr w:type="spellStart"/>
      <w:r w:rsidRPr="0007239D">
        <w:rPr>
          <w:sz w:val="24"/>
          <w:lang w:val="da-DK"/>
        </w:rPr>
        <w:t>Dicamba</w:t>
      </w:r>
      <w:proofErr w:type="spellEnd"/>
      <w:r w:rsidRPr="0007239D">
        <w:rPr>
          <w:sz w:val="24"/>
          <w:lang w:val="da-DK"/>
        </w:rPr>
        <w:t xml:space="preserve"> </w:t>
      </w:r>
      <w:proofErr w:type="spellStart"/>
      <w:r w:rsidRPr="0007239D">
        <w:rPr>
          <w:sz w:val="24"/>
          <w:lang w:val="da-DK"/>
        </w:rPr>
        <w:t>use</w:t>
      </w:r>
      <w:proofErr w:type="spellEnd"/>
      <w:r w:rsidRPr="0007239D">
        <w:rPr>
          <w:sz w:val="24"/>
          <w:lang w:val="da-DK"/>
        </w:rPr>
        <w:t xml:space="preserve"> and cancer </w:t>
      </w:r>
      <w:proofErr w:type="spellStart"/>
      <w:r w:rsidRPr="0007239D">
        <w:rPr>
          <w:sz w:val="24"/>
          <w:lang w:val="da-DK"/>
        </w:rPr>
        <w:t>incidence</w:t>
      </w:r>
      <w:proofErr w:type="spellEnd"/>
      <w:r w:rsidRPr="0007239D">
        <w:rPr>
          <w:sz w:val="24"/>
          <w:lang w:val="da-DK"/>
        </w:rPr>
        <w:t xml:space="preserve"> in the </w:t>
      </w:r>
      <w:proofErr w:type="spellStart"/>
      <w:r w:rsidRPr="0007239D">
        <w:rPr>
          <w:sz w:val="24"/>
          <w:lang w:val="da-DK"/>
        </w:rPr>
        <w:t>agricultural</w:t>
      </w:r>
      <w:proofErr w:type="spellEnd"/>
      <w:r w:rsidRPr="0007239D">
        <w:rPr>
          <w:sz w:val="24"/>
          <w:lang w:val="da-DK"/>
        </w:rPr>
        <w:t xml:space="preserve"> </w:t>
      </w:r>
      <w:proofErr w:type="spellStart"/>
      <w:r w:rsidRPr="0007239D">
        <w:rPr>
          <w:sz w:val="24"/>
          <w:lang w:val="da-DK"/>
        </w:rPr>
        <w:t>health</w:t>
      </w:r>
      <w:proofErr w:type="spellEnd"/>
      <w:r w:rsidRPr="0007239D">
        <w:rPr>
          <w:sz w:val="24"/>
          <w:lang w:val="da-DK"/>
        </w:rPr>
        <w:t xml:space="preserve"> </w:t>
      </w:r>
      <w:proofErr w:type="spellStart"/>
      <w:r w:rsidRPr="0007239D">
        <w:rPr>
          <w:sz w:val="24"/>
          <w:lang w:val="da-DK"/>
        </w:rPr>
        <w:t>study</w:t>
      </w:r>
      <w:proofErr w:type="spellEnd"/>
      <w:r w:rsidRPr="0007239D">
        <w:rPr>
          <w:sz w:val="24"/>
          <w:lang w:val="da-DK"/>
        </w:rPr>
        <w:t xml:space="preserve">: an </w:t>
      </w:r>
      <w:proofErr w:type="spellStart"/>
      <w:r w:rsidRPr="0007239D">
        <w:rPr>
          <w:sz w:val="24"/>
          <w:lang w:val="da-DK"/>
        </w:rPr>
        <w:t>updated</w:t>
      </w:r>
      <w:proofErr w:type="spellEnd"/>
      <w:r w:rsidRPr="0007239D">
        <w:rPr>
          <w:sz w:val="24"/>
          <w:lang w:val="da-DK"/>
        </w:rPr>
        <w:t xml:space="preserve"> </w:t>
      </w:r>
      <w:proofErr w:type="spellStart"/>
      <w:r w:rsidRPr="0007239D">
        <w:rPr>
          <w:sz w:val="24"/>
          <w:lang w:val="da-DK"/>
        </w:rPr>
        <w:t>analysis</w:t>
      </w:r>
      <w:proofErr w:type="spellEnd"/>
      <w:r w:rsidRPr="0007239D">
        <w:rPr>
          <w:sz w:val="24"/>
          <w:lang w:val="da-DK"/>
        </w:rPr>
        <w:t xml:space="preserve">", International Journal of </w:t>
      </w:r>
      <w:proofErr w:type="spellStart"/>
      <w:r w:rsidRPr="0007239D">
        <w:rPr>
          <w:sz w:val="24"/>
          <w:lang w:val="da-DK"/>
        </w:rPr>
        <w:t>Epidemiology</w:t>
      </w:r>
      <w:proofErr w:type="spellEnd"/>
      <w:r w:rsidRPr="0007239D">
        <w:rPr>
          <w:sz w:val="24"/>
          <w:lang w:val="da-DK"/>
        </w:rPr>
        <w:t xml:space="preserve">, august 2020; 49(4), s. 1326-1337, </w:t>
      </w:r>
      <w:hyperlink r:id="rId16" w:history="1">
        <w:r w:rsidRPr="0007239D">
          <w:rPr>
            <w:rStyle w:val="Hyperlink"/>
            <w:sz w:val="24"/>
            <w:lang w:val="da-DK"/>
          </w:rPr>
          <w:t>https://academic.oup.com/ije/advance-article-abstract/doi/10.1093/ije/dyaa066/5827818?redirectedFrom=fulltext</w:t>
        </w:r>
      </w:hyperlink>
      <w:r w:rsidRPr="0007239D">
        <w:rPr>
          <w:rStyle w:val="Hyperlink"/>
          <w:sz w:val="24"/>
          <w:lang w:val="da-DK"/>
        </w:rPr>
        <w:t>.</w:t>
      </w:r>
    </w:p>
  </w:footnote>
  <w:footnote w:id="9">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hyperlink r:id="rId17" w:history="1">
        <w:r w:rsidRPr="0007239D">
          <w:rPr>
            <w:rStyle w:val="Hyperlink"/>
            <w:sz w:val="24"/>
            <w:lang w:val="da-DK"/>
          </w:rPr>
          <w:t>https://hh-ra.org/projects/measuring-pesticide-use/interactive-herbicide-use-tables/</w:t>
        </w:r>
      </w:hyperlink>
      <w:r w:rsidRPr="0007239D">
        <w:rPr>
          <w:rStyle w:val="Hyperlink"/>
          <w:sz w:val="24"/>
          <w:lang w:val="da-DK"/>
        </w:rPr>
        <w:t>.</w:t>
      </w:r>
    </w:p>
  </w:footnote>
  <w:footnote w:id="10">
    <w:p w:rsidR="00A50528" w:rsidRPr="0007239D" w:rsidRDefault="00A50528" w:rsidP="0007239D">
      <w:pPr>
        <w:pStyle w:val="FootnoteText"/>
        <w:ind w:left="567" w:hanging="567"/>
        <w:rPr>
          <w:sz w:val="24"/>
          <w:vertAlign w:val="superscript"/>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Se f.eks.: </w:t>
      </w:r>
      <w:hyperlink r:id="rId18" w:history="1">
        <w:r w:rsidRPr="0007239D">
          <w:rPr>
            <w:rStyle w:val="Hyperlink"/>
            <w:sz w:val="24"/>
            <w:lang w:val="da-DK"/>
          </w:rPr>
          <w:t>https://www.sciencedirect.com/science/article/pii/S1383574218300887</w:t>
        </w:r>
      </w:hyperlink>
      <w:r w:rsidRPr="0007239D">
        <w:rPr>
          <w:rStyle w:val="Hyperlink"/>
          <w:sz w:val="24"/>
          <w:lang w:val="da-DK"/>
        </w:rPr>
        <w:t>,</w:t>
      </w:r>
      <w:r w:rsidRPr="0007239D">
        <w:rPr>
          <w:sz w:val="24"/>
          <w:lang w:val="da-DK"/>
        </w:rPr>
        <w:t xml:space="preserve"> </w:t>
      </w:r>
    </w:p>
    <w:p w:rsidR="00A50528" w:rsidRPr="0007239D" w:rsidRDefault="0007239D" w:rsidP="0007239D">
      <w:pPr>
        <w:pStyle w:val="FootnoteText"/>
        <w:ind w:left="567" w:hanging="567"/>
        <w:rPr>
          <w:sz w:val="24"/>
          <w:vertAlign w:val="superscript"/>
          <w:lang w:val="da-DK"/>
        </w:rPr>
      </w:pPr>
      <w:r w:rsidRPr="0007239D">
        <w:rPr>
          <w:sz w:val="24"/>
          <w:lang w:val="da-DK"/>
        </w:rPr>
        <w:t xml:space="preserve"> </w:t>
      </w:r>
      <w:r w:rsidRPr="0007239D">
        <w:rPr>
          <w:sz w:val="24"/>
          <w:lang w:val="da-DK"/>
        </w:rPr>
        <w:tab/>
      </w:r>
      <w:hyperlink r:id="rId19" w:history="1">
        <w:r w:rsidR="00A50528" w:rsidRPr="0007239D">
          <w:rPr>
            <w:rStyle w:val="Hyperlink"/>
            <w:sz w:val="24"/>
            <w:lang w:val="da-DK"/>
          </w:rPr>
          <w:t>https://academic.oup.com/ije/advance-article/doi/10.1093/ije/dyz017/5382278</w:t>
        </w:r>
      </w:hyperlink>
      <w:r w:rsidR="00A50528" w:rsidRPr="0007239D">
        <w:rPr>
          <w:rStyle w:val="Hyperlink"/>
          <w:sz w:val="24"/>
          <w:lang w:val="da-DK"/>
        </w:rPr>
        <w:t>,</w:t>
      </w:r>
      <w:r w:rsidR="00A50528" w:rsidRPr="0007239D">
        <w:rPr>
          <w:sz w:val="24"/>
          <w:lang w:val="da-DK"/>
        </w:rPr>
        <w:t xml:space="preserve"> </w:t>
      </w:r>
    </w:p>
    <w:p w:rsidR="00A50528" w:rsidRPr="0007239D" w:rsidRDefault="0007239D" w:rsidP="0007239D">
      <w:pPr>
        <w:pStyle w:val="FootnoteText"/>
        <w:ind w:left="567" w:hanging="567"/>
        <w:rPr>
          <w:sz w:val="24"/>
          <w:vertAlign w:val="superscript"/>
          <w:lang w:val="da-DK"/>
        </w:rPr>
      </w:pPr>
      <w:r w:rsidRPr="0007239D">
        <w:rPr>
          <w:sz w:val="24"/>
          <w:lang w:val="da-DK"/>
        </w:rPr>
        <w:t xml:space="preserve"> </w:t>
      </w:r>
      <w:r w:rsidRPr="0007239D">
        <w:rPr>
          <w:sz w:val="24"/>
          <w:lang w:val="da-DK"/>
        </w:rPr>
        <w:tab/>
      </w:r>
      <w:hyperlink r:id="rId20" w:history="1">
        <w:r w:rsidR="00A50528" w:rsidRPr="0007239D">
          <w:rPr>
            <w:rStyle w:val="Hyperlink"/>
            <w:sz w:val="24"/>
            <w:lang w:val="da-DK"/>
          </w:rPr>
          <w:t>https://journals.plos.org/plosone/article?id=10.1371/journal.pone.0219610</w:t>
        </w:r>
      </w:hyperlink>
      <w:r w:rsidR="00A50528" w:rsidRPr="0007239D">
        <w:rPr>
          <w:sz w:val="24"/>
          <w:lang w:val="da-DK"/>
        </w:rPr>
        <w:t xml:space="preserve"> og</w:t>
      </w:r>
    </w:p>
    <w:p w:rsidR="00A50528" w:rsidRPr="0007239D" w:rsidRDefault="0007239D" w:rsidP="0007239D">
      <w:pPr>
        <w:pStyle w:val="FootnoteText"/>
        <w:ind w:left="567" w:hanging="567"/>
        <w:rPr>
          <w:sz w:val="24"/>
          <w:lang w:val="da-DK"/>
        </w:rPr>
      </w:pPr>
      <w:r w:rsidRPr="0007239D">
        <w:rPr>
          <w:sz w:val="24"/>
          <w:lang w:val="da-DK"/>
        </w:rPr>
        <w:t xml:space="preserve"> </w:t>
      </w:r>
      <w:r w:rsidRPr="0007239D">
        <w:rPr>
          <w:sz w:val="24"/>
          <w:lang w:val="da-DK"/>
        </w:rPr>
        <w:tab/>
      </w:r>
      <w:hyperlink r:id="rId21" w:history="1">
        <w:r w:rsidR="00A50528" w:rsidRPr="0007239D">
          <w:rPr>
            <w:rStyle w:val="Hyperlink"/>
            <w:sz w:val="24"/>
            <w:lang w:val="da-DK"/>
          </w:rPr>
          <w:t>https://www.ncbi.nlm.nih.gov/pmc/articles/PMC6612199/</w:t>
        </w:r>
      </w:hyperlink>
      <w:r w:rsidR="00A50528" w:rsidRPr="0007239D">
        <w:rPr>
          <w:sz w:val="24"/>
          <w:lang w:val="da-DK"/>
        </w:rPr>
        <w:t>.</w:t>
      </w:r>
    </w:p>
  </w:footnote>
  <w:footnote w:id="11">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hyperlink r:id="rId22" w:history="1">
        <w:r w:rsidRPr="0007239D">
          <w:rPr>
            <w:rStyle w:val="Hyperlink"/>
            <w:sz w:val="24"/>
            <w:lang w:val="da-DK"/>
          </w:rPr>
          <w:t>https://www.ncbi.nlm.nih.gov/pubmed/24491722</w:t>
        </w:r>
      </w:hyperlink>
      <w:r w:rsidRPr="0007239D">
        <w:rPr>
          <w:rStyle w:val="Hyperlink"/>
          <w:sz w:val="24"/>
          <w:lang w:val="da-DK"/>
        </w:rPr>
        <w:t>.</w:t>
      </w:r>
      <w:r w:rsidRPr="0007239D">
        <w:rPr>
          <w:sz w:val="24"/>
          <w:lang w:val="da-DK"/>
        </w:rPr>
        <w:t xml:space="preserve"> </w:t>
      </w:r>
    </w:p>
  </w:footnote>
  <w:footnote w:id="12">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hyperlink r:id="rId23" w:history="1">
        <w:r w:rsidRPr="0007239D">
          <w:rPr>
            <w:rStyle w:val="Hyperlink"/>
            <w:sz w:val="24"/>
            <w:lang w:val="da-DK"/>
          </w:rPr>
          <w:t>https://www.testbiotech.org/en/resource/high-levels-residues-spraying-glyphosate-found-soybeans-argentina/</w:t>
        </w:r>
      </w:hyperlink>
    </w:p>
  </w:footnote>
  <w:footnote w:id="13">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Dette er netop tilfældet for </w:t>
      </w:r>
      <w:proofErr w:type="spellStart"/>
      <w:r w:rsidRPr="0007239D">
        <w:rPr>
          <w:sz w:val="24"/>
          <w:lang w:val="da-DK"/>
        </w:rPr>
        <w:t>glyphosat</w:t>
      </w:r>
      <w:proofErr w:type="spellEnd"/>
      <w:r w:rsidRPr="0007239D">
        <w:rPr>
          <w:sz w:val="24"/>
          <w:lang w:val="da-DK"/>
        </w:rPr>
        <w:t xml:space="preserve">, som anført i </w:t>
      </w:r>
      <w:proofErr w:type="spellStart"/>
      <w:r w:rsidRPr="0007239D">
        <w:rPr>
          <w:sz w:val="24"/>
          <w:lang w:val="da-DK"/>
        </w:rPr>
        <w:t>EFSA's</w:t>
      </w:r>
      <w:proofErr w:type="spellEnd"/>
      <w:r w:rsidRPr="0007239D">
        <w:rPr>
          <w:sz w:val="24"/>
          <w:lang w:val="da-DK"/>
        </w:rPr>
        <w:t xml:space="preserve"> gennemgang af de eksisterende maksimalgrænseværdier for restkoncentrationer af </w:t>
      </w:r>
      <w:proofErr w:type="spellStart"/>
      <w:r w:rsidRPr="0007239D">
        <w:rPr>
          <w:sz w:val="24"/>
          <w:lang w:val="da-DK"/>
        </w:rPr>
        <w:t>glyphosat</w:t>
      </w:r>
      <w:proofErr w:type="spellEnd"/>
      <w:r w:rsidRPr="0007239D">
        <w:rPr>
          <w:sz w:val="24"/>
          <w:lang w:val="da-DK"/>
        </w:rPr>
        <w:t xml:space="preserve"> i henhold til artikel 12 i forordning (EF) nr. 396/2005, EFSA Journal 2018;16(5):e5263, s. 12,</w:t>
      </w:r>
      <w:r w:rsidRPr="0007239D">
        <w:rPr>
          <w:sz w:val="24"/>
          <w:lang w:val="da-DK"/>
        </w:rPr>
        <w:br/>
      </w:r>
      <w:hyperlink r:id="rId24" w:history="1">
        <w:r w:rsidRPr="0007239D">
          <w:rPr>
            <w:rStyle w:val="Hyperlink"/>
            <w:sz w:val="24"/>
            <w:lang w:val="da-DK"/>
          </w:rPr>
          <w:t>https://efsa.onlinelibrary.wiley.com/doi/abs/10.2903/j.efsa.2018.5263</w:t>
        </w:r>
      </w:hyperlink>
      <w:r w:rsidRPr="0007239D">
        <w:rPr>
          <w:rStyle w:val="Hyperlink"/>
          <w:sz w:val="24"/>
          <w:lang w:val="da-DK"/>
        </w:rPr>
        <w:t>.</w:t>
      </w:r>
    </w:p>
  </w:footnote>
  <w:footnote w:id="14">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"Strategic </w:t>
      </w:r>
      <w:proofErr w:type="spellStart"/>
      <w:r w:rsidRPr="0007239D">
        <w:rPr>
          <w:sz w:val="24"/>
          <w:lang w:val="da-DK"/>
        </w:rPr>
        <w:t>Dialogue</w:t>
      </w:r>
      <w:proofErr w:type="spellEnd"/>
      <w:r w:rsidRPr="0007239D">
        <w:rPr>
          <w:sz w:val="24"/>
          <w:lang w:val="da-DK"/>
        </w:rPr>
        <w:t xml:space="preserve"> on the Future of EU </w:t>
      </w:r>
      <w:proofErr w:type="spellStart"/>
      <w:r w:rsidRPr="0007239D">
        <w:rPr>
          <w:sz w:val="24"/>
          <w:lang w:val="da-DK"/>
        </w:rPr>
        <w:t>Agriculture</w:t>
      </w:r>
      <w:proofErr w:type="spellEnd"/>
      <w:r w:rsidRPr="0007239D">
        <w:rPr>
          <w:sz w:val="24"/>
          <w:lang w:val="da-DK"/>
        </w:rPr>
        <w:t xml:space="preserve"> – A </w:t>
      </w:r>
      <w:proofErr w:type="spellStart"/>
      <w:r w:rsidRPr="0007239D">
        <w:rPr>
          <w:sz w:val="24"/>
          <w:lang w:val="da-DK"/>
        </w:rPr>
        <w:t>shared</w:t>
      </w:r>
      <w:proofErr w:type="spellEnd"/>
      <w:r w:rsidRPr="0007239D">
        <w:rPr>
          <w:sz w:val="24"/>
          <w:lang w:val="da-DK"/>
        </w:rPr>
        <w:t xml:space="preserve"> </w:t>
      </w:r>
      <w:proofErr w:type="spellStart"/>
      <w:r w:rsidRPr="0007239D">
        <w:rPr>
          <w:sz w:val="24"/>
          <w:lang w:val="da-DK"/>
        </w:rPr>
        <w:t>prospect</w:t>
      </w:r>
      <w:proofErr w:type="spellEnd"/>
      <w:r w:rsidRPr="0007239D">
        <w:rPr>
          <w:sz w:val="24"/>
          <w:lang w:val="da-DK"/>
        </w:rPr>
        <w:t xml:space="preserve"> for </w:t>
      </w:r>
      <w:proofErr w:type="spellStart"/>
      <w:r w:rsidRPr="0007239D">
        <w:rPr>
          <w:sz w:val="24"/>
          <w:lang w:val="da-DK"/>
        </w:rPr>
        <w:t>farming</w:t>
      </w:r>
      <w:proofErr w:type="spellEnd"/>
      <w:r w:rsidRPr="0007239D">
        <w:rPr>
          <w:sz w:val="24"/>
          <w:lang w:val="da-DK"/>
        </w:rPr>
        <w:t xml:space="preserve"> and </w:t>
      </w:r>
      <w:proofErr w:type="spellStart"/>
      <w:r w:rsidRPr="0007239D">
        <w:rPr>
          <w:sz w:val="24"/>
          <w:lang w:val="da-DK"/>
        </w:rPr>
        <w:t>food</w:t>
      </w:r>
      <w:proofErr w:type="spellEnd"/>
      <w:r w:rsidRPr="0007239D">
        <w:rPr>
          <w:sz w:val="24"/>
          <w:lang w:val="da-DK"/>
        </w:rPr>
        <w:t xml:space="preserve"> in Europe", 2024, </w:t>
      </w:r>
      <w:hyperlink r:id="rId25" w:history="1">
        <w:r w:rsidRPr="0007239D">
          <w:rPr>
            <w:rStyle w:val="Hyperlink"/>
            <w:sz w:val="24"/>
            <w:lang w:val="da-DK"/>
          </w:rPr>
          <w:t>https://agriculture.ec.europa.eu/document/download/171329ff-0f50-4fa5-946f-aea11032172e_en?filename=strategic-dialogue-report-2024_en.pdf</w:t>
        </w:r>
      </w:hyperlink>
      <w:r w:rsidRPr="0007239D">
        <w:rPr>
          <w:rStyle w:val="Hyperlink"/>
          <w:sz w:val="24"/>
          <w:lang w:val="da-DK"/>
        </w:rPr>
        <w:t>.</w:t>
      </w:r>
    </w:p>
  </w:footnote>
  <w:footnote w:id="15">
    <w:p w:rsidR="00A50528" w:rsidRPr="0007239D" w:rsidRDefault="00A50528" w:rsidP="0007239D">
      <w:pPr>
        <w:pStyle w:val="NoSpacing"/>
        <w:ind w:left="567" w:hanging="567"/>
        <w:jc w:val="left"/>
        <w:rPr>
          <w:szCs w:val="20"/>
        </w:rPr>
      </w:pPr>
      <w:r w:rsidRPr="0007239D">
        <w:rPr>
          <w:rStyle w:val="FootnoteReference"/>
          <w:szCs w:val="20"/>
        </w:rPr>
        <w:footnoteRef/>
      </w:r>
      <w:r w:rsidR="0007239D" w:rsidRPr="0007239D">
        <w:t xml:space="preserve"> </w:t>
      </w:r>
      <w:r w:rsidR="0007239D" w:rsidRPr="0007239D">
        <w:tab/>
      </w:r>
      <w:r w:rsidRPr="0007239D">
        <w:t xml:space="preserve">A/HRC/34/48: Rapport fra den særlige rapportør om retten til fødevarer </w:t>
      </w:r>
      <w:hyperlink r:id="rId26" w:history="1">
        <w:r w:rsidRPr="0007239D">
          <w:rPr>
            <w:rStyle w:val="Hyperlink"/>
          </w:rPr>
          <w:t>https://www.ohchr.org/en/documents/thematic-reports/ahrc3448-report-special-rapporteur-right-food</w:t>
        </w:r>
      </w:hyperlink>
      <w:r w:rsidRPr="0007239D">
        <w:t>.</w:t>
      </w:r>
    </w:p>
  </w:footnote>
  <w:footnote w:id="16">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hyperlink r:id="rId27" w:history="1">
        <w:r w:rsidRPr="0007239D">
          <w:rPr>
            <w:rStyle w:val="Hyperlink"/>
            <w:sz w:val="24"/>
            <w:lang w:val="da-DK"/>
          </w:rPr>
          <w:t>https://indicators.report/targets/3-9/</w:t>
        </w:r>
      </w:hyperlink>
      <w:r w:rsidRPr="0007239D">
        <w:rPr>
          <w:rStyle w:val="Hyperlink"/>
          <w:sz w:val="24"/>
          <w:lang w:val="da-DK"/>
        </w:rPr>
        <w:t>.</w:t>
      </w:r>
    </w:p>
  </w:footnote>
  <w:footnote w:id="17">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Se: </w:t>
      </w:r>
      <w:hyperlink r:id="rId28" w:history="1">
        <w:r w:rsidRPr="0007239D">
          <w:rPr>
            <w:rStyle w:val="Hyperlink"/>
            <w:sz w:val="24"/>
            <w:lang w:val="da-DK"/>
          </w:rPr>
          <w:t>https://ec.europa.eu/commission/presscorner/detail/da/ip_22_7834</w:t>
        </w:r>
      </w:hyperlink>
    </w:p>
  </w:footnote>
  <w:footnote w:id="18">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color w:val="000000" w:themeColor="text1"/>
          <w:sz w:val="24"/>
          <w:lang w:val="da-DK"/>
        </w:rPr>
        <w:t xml:space="preserve"> </w:t>
      </w:r>
      <w:r w:rsidR="0007239D" w:rsidRPr="0007239D">
        <w:rPr>
          <w:color w:val="000000" w:themeColor="text1"/>
          <w:sz w:val="24"/>
          <w:lang w:val="da-DK"/>
        </w:rPr>
        <w:tab/>
      </w:r>
      <w:r w:rsidRPr="0007239D">
        <w:rPr>
          <w:color w:val="000000" w:themeColor="text1"/>
          <w:sz w:val="24"/>
          <w:lang w:val="da-DK"/>
        </w:rPr>
        <w:t>På COP15 i december 2022 blev der vedtaget en global ramme for biodiversitet under De Forenede Nationers konvention om den biologiske mangfoldighed, som omfatter et globalt mål om at reducere risikoen ved pesticider med mindst 50</w:t>
      </w:r>
      <w:r w:rsidRPr="0007239D">
        <w:rPr>
          <w:sz w:val="24"/>
          <w:lang w:val="da-DK"/>
        </w:rPr>
        <w:t> </w:t>
      </w:r>
      <w:r w:rsidRPr="0007239D">
        <w:rPr>
          <w:color w:val="000000" w:themeColor="text1"/>
          <w:sz w:val="24"/>
          <w:lang w:val="da-DK"/>
        </w:rPr>
        <w:t xml:space="preserve">% inden 2030 (se: </w:t>
      </w:r>
      <w:hyperlink r:id="rId29" w:history="1">
        <w:r w:rsidRPr="0007239D">
          <w:rPr>
            <w:rStyle w:val="Hyperlink"/>
            <w:sz w:val="24"/>
            <w:lang w:val="da-DK"/>
          </w:rPr>
          <w:t>https://ec.europa.eu/commission/presscorner/detail/da/ip_22_7834</w:t>
        </w:r>
      </w:hyperlink>
      <w:r w:rsidRPr="0007239D">
        <w:rPr>
          <w:sz w:val="24"/>
          <w:lang w:val="da-DK"/>
        </w:rPr>
        <w:t xml:space="preserve"> </w:t>
      </w:r>
    </w:p>
  </w:footnote>
  <w:footnote w:id="19">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color w:val="000000"/>
          <w:sz w:val="24"/>
          <w:lang w:val="da-DK"/>
        </w:rPr>
        <w:t xml:space="preserve"> </w:t>
      </w:r>
      <w:r w:rsidR="0007239D" w:rsidRPr="0007239D">
        <w:rPr>
          <w:color w:val="000000"/>
          <w:sz w:val="24"/>
          <w:lang w:val="da-DK"/>
        </w:rPr>
        <w:tab/>
      </w:r>
      <w:r w:rsidRPr="0007239D">
        <w:rPr>
          <w:color w:val="000000"/>
          <w:sz w:val="24"/>
          <w:lang w:val="da-DK"/>
        </w:rPr>
        <w:t xml:space="preserve">Kommissionens meddelelse af 23. juli 2019 med titlen "Intensivering af EU's indsats til beskyttelse og genopretning af verdens skove ", </w:t>
      </w:r>
      <w:hyperlink r:id="rId30" w:history="1">
        <w:r w:rsidRPr="0007239D">
          <w:rPr>
            <w:rStyle w:val="Hyperlink"/>
            <w:sz w:val="24"/>
            <w:lang w:val="da-DK"/>
          </w:rPr>
          <w:t>COM(2019)0352</w:t>
        </w:r>
      </w:hyperlink>
      <w:r w:rsidRPr="0007239D">
        <w:rPr>
          <w:color w:val="000000"/>
          <w:sz w:val="24"/>
          <w:lang w:val="da-DK"/>
        </w:rPr>
        <w:t>, s. 1.</w:t>
      </w:r>
    </w:p>
  </w:footnote>
  <w:footnote w:id="20">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proofErr w:type="spellStart"/>
      <w:r w:rsidRPr="0007239D">
        <w:rPr>
          <w:sz w:val="24"/>
          <w:lang w:val="da-DK"/>
        </w:rPr>
        <w:t>Idem</w:t>
      </w:r>
      <w:proofErr w:type="spellEnd"/>
      <w:r w:rsidRPr="0007239D">
        <w:rPr>
          <w:sz w:val="24"/>
          <w:lang w:val="da-DK"/>
        </w:rPr>
        <w:t>, s. 2.</w:t>
      </w:r>
    </w:p>
  </w:footnote>
  <w:footnote w:id="21">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color w:val="000000"/>
          <w:sz w:val="24"/>
          <w:lang w:val="da-DK"/>
        </w:rPr>
        <w:t xml:space="preserve"> </w:t>
      </w:r>
      <w:r w:rsidR="0007239D" w:rsidRPr="0007239D">
        <w:rPr>
          <w:color w:val="000000"/>
          <w:sz w:val="24"/>
          <w:lang w:val="da-DK"/>
        </w:rPr>
        <w:tab/>
      </w:r>
      <w:r w:rsidRPr="0007239D">
        <w:rPr>
          <w:color w:val="000000"/>
          <w:sz w:val="24"/>
          <w:lang w:val="da-DK"/>
        </w:rPr>
        <w:t xml:space="preserve">Se mål 15.2: </w:t>
      </w:r>
      <w:hyperlink r:id="rId31" w:history="1">
        <w:r w:rsidRPr="0007239D">
          <w:rPr>
            <w:rStyle w:val="Hyperlink"/>
            <w:sz w:val="24"/>
            <w:lang w:val="da-DK"/>
          </w:rPr>
          <w:t>https://www.un.org/sustainabledevelopment/biodiversity/</w:t>
        </w:r>
      </w:hyperlink>
      <w:r w:rsidRPr="0007239D">
        <w:rPr>
          <w:rStyle w:val="Hyperlink"/>
          <w:sz w:val="24"/>
          <w:lang w:val="da-DK"/>
        </w:rPr>
        <w:t>.</w:t>
      </w:r>
      <w:r w:rsidRPr="0007239D">
        <w:rPr>
          <w:color w:val="000000"/>
          <w:sz w:val="24"/>
          <w:lang w:val="da-DK"/>
        </w:rPr>
        <w:t xml:space="preserve"> </w:t>
      </w:r>
    </w:p>
  </w:footnote>
  <w:footnote w:id="22">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color w:val="000000"/>
          <w:sz w:val="24"/>
          <w:lang w:val="da-DK"/>
        </w:rPr>
        <w:t xml:space="preserve"> </w:t>
      </w:r>
      <w:r w:rsidR="0007239D" w:rsidRPr="0007239D">
        <w:rPr>
          <w:color w:val="000000"/>
          <w:sz w:val="24"/>
          <w:lang w:val="da-DK"/>
        </w:rPr>
        <w:tab/>
      </w:r>
      <w:r w:rsidRPr="0007239D">
        <w:rPr>
          <w:color w:val="000000"/>
          <w:sz w:val="24"/>
          <w:lang w:val="da-DK"/>
        </w:rPr>
        <w:t xml:space="preserve">Kommissionens meddelelse af 23. juli 2019 med titlen "Intensivering af EU's indsats til beskyttelse og genopretning af verdens skove", </w:t>
      </w:r>
      <w:hyperlink r:id="rId32" w:history="1">
        <w:r w:rsidRPr="0007239D">
          <w:rPr>
            <w:rStyle w:val="Hyperlink"/>
            <w:sz w:val="24"/>
            <w:lang w:val="da-DK"/>
          </w:rPr>
          <w:t>COM(2019)0352</w:t>
        </w:r>
      </w:hyperlink>
      <w:r w:rsidRPr="0007239D">
        <w:rPr>
          <w:color w:val="000000"/>
          <w:sz w:val="24"/>
          <w:lang w:val="da-DK"/>
        </w:rPr>
        <w:t>, s. 2.</w:t>
      </w:r>
    </w:p>
  </w:footnote>
  <w:footnote w:id="23">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Kommissionens meddelelse med titlen "Intensivering af EU's indsats for at beskytte og genoprette verdens skove" </w:t>
      </w:r>
      <w:hyperlink r:id="rId33" w:history="1">
        <w:r w:rsidRPr="0007239D">
          <w:rPr>
            <w:rStyle w:val="Hyperlink"/>
            <w:sz w:val="24"/>
            <w:lang w:val="da-DK"/>
          </w:rPr>
          <w:t>https://eur-lex.europa.eu/legal-content/DA/TXT/?qid=1565272554103&amp;uri=CELEX%3A52019DC0352</w:t>
        </w:r>
      </w:hyperlink>
      <w:r w:rsidRPr="0007239D">
        <w:rPr>
          <w:sz w:val="24"/>
          <w:lang w:val="da-DK"/>
        </w:rPr>
        <w:t>.</w:t>
      </w:r>
    </w:p>
  </w:footnote>
  <w:footnote w:id="24">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Meddelelse fra Kommissionen til Europa-Parlamentet, Rådet, Det Europæiske Økonomiske og Sociale Udvalg og Regionsudvalget: "EU's </w:t>
      </w:r>
      <w:proofErr w:type="spellStart"/>
      <w:r w:rsidRPr="0007239D">
        <w:rPr>
          <w:sz w:val="24"/>
          <w:lang w:val="da-DK"/>
        </w:rPr>
        <w:t>biodiversitetesstrategi</w:t>
      </w:r>
      <w:proofErr w:type="spellEnd"/>
      <w:r w:rsidRPr="0007239D">
        <w:rPr>
          <w:sz w:val="24"/>
          <w:lang w:val="da-DK"/>
        </w:rPr>
        <w:t xml:space="preserve"> for 2030 - Naturen skal bringes tilbage i vores liv" </w:t>
      </w:r>
      <w:hyperlink r:id="rId34" w:history="1">
        <w:r w:rsidRPr="0007239D">
          <w:rPr>
            <w:rStyle w:val="Hyperlink"/>
            <w:sz w:val="24"/>
            <w:lang w:val="da-DK"/>
          </w:rPr>
          <w:t>COM(2020)0380</w:t>
        </w:r>
      </w:hyperlink>
      <w:r w:rsidRPr="0007239D">
        <w:rPr>
          <w:rStyle w:val="Hyperlink"/>
          <w:sz w:val="24"/>
          <w:lang w:val="da-DK"/>
        </w:rPr>
        <w:t>.</w:t>
      </w:r>
    </w:p>
  </w:footnote>
  <w:footnote w:id="25">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International Service for the </w:t>
      </w:r>
      <w:proofErr w:type="spellStart"/>
      <w:r w:rsidRPr="0007239D">
        <w:rPr>
          <w:sz w:val="24"/>
          <w:lang w:val="da-DK"/>
        </w:rPr>
        <w:t>Acquisition</w:t>
      </w:r>
      <w:proofErr w:type="spellEnd"/>
      <w:r w:rsidRPr="0007239D">
        <w:rPr>
          <w:sz w:val="24"/>
          <w:lang w:val="da-DK"/>
        </w:rPr>
        <w:t xml:space="preserve"> of Agri-</w:t>
      </w:r>
      <w:proofErr w:type="spellStart"/>
      <w:r w:rsidRPr="0007239D">
        <w:rPr>
          <w:sz w:val="24"/>
          <w:lang w:val="da-DK"/>
        </w:rPr>
        <w:t>biotech</w:t>
      </w:r>
      <w:proofErr w:type="spellEnd"/>
      <w:r w:rsidRPr="0007239D">
        <w:rPr>
          <w:sz w:val="24"/>
          <w:lang w:val="da-DK"/>
        </w:rPr>
        <w:t xml:space="preserve"> Applications, "Global status of </w:t>
      </w:r>
      <w:proofErr w:type="spellStart"/>
      <w:r w:rsidRPr="0007239D">
        <w:rPr>
          <w:sz w:val="24"/>
          <w:lang w:val="da-DK"/>
        </w:rPr>
        <w:t>commercialized</w:t>
      </w:r>
      <w:proofErr w:type="spellEnd"/>
      <w:r w:rsidRPr="0007239D">
        <w:rPr>
          <w:sz w:val="24"/>
          <w:lang w:val="da-DK"/>
        </w:rPr>
        <w:t xml:space="preserve"> </w:t>
      </w:r>
      <w:proofErr w:type="spellStart"/>
      <w:r w:rsidRPr="0007239D">
        <w:rPr>
          <w:sz w:val="24"/>
          <w:lang w:val="da-DK"/>
        </w:rPr>
        <w:t>biotech</w:t>
      </w:r>
      <w:proofErr w:type="spellEnd"/>
      <w:r w:rsidRPr="0007239D">
        <w:rPr>
          <w:sz w:val="24"/>
          <w:lang w:val="da-DK"/>
        </w:rPr>
        <w:t xml:space="preserve">/GM </w:t>
      </w:r>
      <w:proofErr w:type="spellStart"/>
      <w:r w:rsidRPr="0007239D">
        <w:rPr>
          <w:sz w:val="24"/>
          <w:lang w:val="da-DK"/>
        </w:rPr>
        <w:t>crops</w:t>
      </w:r>
      <w:proofErr w:type="spellEnd"/>
      <w:r w:rsidRPr="0007239D">
        <w:rPr>
          <w:sz w:val="24"/>
          <w:lang w:val="da-DK"/>
        </w:rPr>
        <w:t xml:space="preserve"> in 2017: </w:t>
      </w:r>
      <w:proofErr w:type="spellStart"/>
      <w:r w:rsidRPr="0007239D">
        <w:rPr>
          <w:sz w:val="24"/>
          <w:lang w:val="da-DK"/>
        </w:rPr>
        <w:t>Biotech</w:t>
      </w:r>
      <w:proofErr w:type="spellEnd"/>
      <w:r w:rsidRPr="0007239D">
        <w:rPr>
          <w:sz w:val="24"/>
          <w:lang w:val="da-DK"/>
        </w:rPr>
        <w:t xml:space="preserve"> </w:t>
      </w:r>
      <w:proofErr w:type="spellStart"/>
      <w:r w:rsidRPr="0007239D">
        <w:rPr>
          <w:sz w:val="24"/>
          <w:lang w:val="da-DK"/>
        </w:rPr>
        <w:t>Crop</w:t>
      </w:r>
      <w:proofErr w:type="spellEnd"/>
      <w:r w:rsidRPr="0007239D">
        <w:rPr>
          <w:sz w:val="24"/>
          <w:lang w:val="da-DK"/>
        </w:rPr>
        <w:t xml:space="preserve"> Adoption </w:t>
      </w:r>
      <w:proofErr w:type="spellStart"/>
      <w:r w:rsidRPr="0007239D">
        <w:rPr>
          <w:sz w:val="24"/>
          <w:lang w:val="da-DK"/>
        </w:rPr>
        <w:t>Scalls</w:t>
      </w:r>
      <w:proofErr w:type="spellEnd"/>
      <w:r w:rsidRPr="0007239D">
        <w:rPr>
          <w:sz w:val="24"/>
          <w:lang w:val="da-DK"/>
        </w:rPr>
        <w:t xml:space="preserve"> as </w:t>
      </w:r>
      <w:proofErr w:type="spellStart"/>
      <w:r w:rsidRPr="0007239D">
        <w:rPr>
          <w:sz w:val="24"/>
          <w:lang w:val="da-DK"/>
        </w:rPr>
        <w:t>Economic</w:t>
      </w:r>
      <w:proofErr w:type="spellEnd"/>
      <w:r w:rsidRPr="0007239D">
        <w:rPr>
          <w:sz w:val="24"/>
          <w:lang w:val="da-DK"/>
        </w:rPr>
        <w:t xml:space="preserve"> </w:t>
      </w:r>
      <w:proofErr w:type="spellStart"/>
      <w:r w:rsidRPr="0007239D">
        <w:rPr>
          <w:sz w:val="24"/>
          <w:lang w:val="da-DK"/>
        </w:rPr>
        <w:t>Benefits</w:t>
      </w:r>
      <w:proofErr w:type="spellEnd"/>
      <w:r w:rsidRPr="0007239D">
        <w:rPr>
          <w:sz w:val="24"/>
          <w:lang w:val="da-DK"/>
        </w:rPr>
        <w:t xml:space="preserve"> </w:t>
      </w:r>
      <w:proofErr w:type="spellStart"/>
      <w:r w:rsidRPr="0007239D">
        <w:rPr>
          <w:sz w:val="24"/>
          <w:lang w:val="da-DK"/>
        </w:rPr>
        <w:t>Accumulate</w:t>
      </w:r>
      <w:proofErr w:type="spellEnd"/>
      <w:r w:rsidRPr="0007239D">
        <w:rPr>
          <w:sz w:val="24"/>
          <w:lang w:val="da-DK"/>
        </w:rPr>
        <w:t xml:space="preserve"> in 22 Years ", ISAAA Brief No. 53 (2017), s. 16 og 21, </w:t>
      </w:r>
      <w:hyperlink r:id="rId35" w:history="1">
        <w:r w:rsidRPr="0007239D">
          <w:rPr>
            <w:rStyle w:val="Hyperlink"/>
            <w:sz w:val="24"/>
            <w:lang w:val="da-DK"/>
          </w:rPr>
          <w:t>http://www.isaaa.org/resources/publications/briefs/53/download/isaaa-brief-53-2017.pdf</w:t>
        </w:r>
      </w:hyperlink>
      <w:r w:rsidRPr="0007239D">
        <w:rPr>
          <w:rStyle w:val="Hyperlink"/>
          <w:sz w:val="24"/>
          <w:lang w:val="da-DK"/>
        </w:rPr>
        <w:t>.</w:t>
      </w:r>
      <w:r w:rsidRPr="0007239D">
        <w:rPr>
          <w:sz w:val="24"/>
          <w:lang w:val="da-DK"/>
        </w:rPr>
        <w:t xml:space="preserve"> </w:t>
      </w:r>
    </w:p>
  </w:footnote>
  <w:footnote w:id="26">
    <w:p w:rsidR="00A50528" w:rsidRPr="0007239D" w:rsidRDefault="00A50528" w:rsidP="0007239D">
      <w:pPr>
        <w:pStyle w:val="FootnoteText"/>
        <w:ind w:left="567" w:hanging="567"/>
        <w:rPr>
          <w:sz w:val="24"/>
          <w:lang w:val="da-DK"/>
        </w:rPr>
      </w:pPr>
      <w:r w:rsidRPr="0007239D">
        <w:rPr>
          <w:rStyle w:val="FootnoteReference"/>
          <w:rFonts w:eastAsiaTheme="majorEastAsia"/>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Europa-Kommissionen - teknisk rapport 2013 - 063 med titlen "EU-forbrugets indvirkning på skovrydning: En omfattende analyse af EU-forbrugets indvirkning på skovrydning" </w:t>
      </w:r>
      <w:hyperlink r:id="rId36" w:history="1">
        <w:r w:rsidRPr="0007239D">
          <w:rPr>
            <w:rStyle w:val="Hyperlink"/>
            <w:sz w:val="24"/>
            <w:lang w:val="da-DK"/>
          </w:rPr>
          <w:t>https://op.europa.eu/en/publication-detail/-/publication/c1d3ef3e-d07e-4229-91e5-41001b47dba8/language-en,</w:t>
        </w:r>
      </w:hyperlink>
      <w:r w:rsidRPr="0007239D">
        <w:rPr>
          <w:sz w:val="24"/>
          <w:lang w:val="da-DK"/>
        </w:rPr>
        <w:t xml:space="preserve"> s. 23: Mellem 1990 og 2008 importerede Unionen vegetabilske og animalske produkter, som indirekte medførte en skovrydning på 90 000 km</w:t>
      </w:r>
      <w:r w:rsidRPr="0007239D">
        <w:rPr>
          <w:rStyle w:val="sup1"/>
          <w:color w:val="000000"/>
          <w:sz w:val="24"/>
          <w:lang w:val="da-DK"/>
        </w:rPr>
        <w:t>2</w:t>
      </w:r>
      <w:r w:rsidRPr="0007239D">
        <w:rPr>
          <w:sz w:val="24"/>
          <w:lang w:val="da-DK"/>
        </w:rPr>
        <w:t>. De vegetabilske produkter tegnede sig for 74 000 km</w:t>
      </w:r>
      <w:r w:rsidRPr="0007239D">
        <w:rPr>
          <w:rStyle w:val="sup1"/>
          <w:color w:val="000000"/>
          <w:sz w:val="24"/>
          <w:lang w:val="da-DK"/>
        </w:rPr>
        <w:t>2</w:t>
      </w:r>
      <w:r w:rsidRPr="0007239D">
        <w:rPr>
          <w:sz w:val="24"/>
          <w:lang w:val="da-DK"/>
        </w:rPr>
        <w:t xml:space="preserve"> (82 %) af dette, og heraf udgjorde de olieholdige afgrøder den største andel (52 000 km</w:t>
      </w:r>
      <w:r w:rsidRPr="0007239D">
        <w:rPr>
          <w:rStyle w:val="sup1"/>
          <w:color w:val="000000"/>
          <w:sz w:val="24"/>
          <w:lang w:val="da-DK"/>
        </w:rPr>
        <w:t>2</w:t>
      </w:r>
      <w:r w:rsidRPr="0007239D">
        <w:rPr>
          <w:sz w:val="24"/>
          <w:lang w:val="da-DK"/>
        </w:rPr>
        <w:t>). Sojabønner og sojakage tegnede sig for 82 % af dette (42 600 km</w:t>
      </w:r>
      <w:r w:rsidRPr="0007239D">
        <w:rPr>
          <w:rStyle w:val="sup1"/>
          <w:color w:val="000000"/>
          <w:sz w:val="24"/>
          <w:lang w:val="da-DK"/>
        </w:rPr>
        <w:t>2</w:t>
      </w:r>
      <w:r w:rsidRPr="0007239D">
        <w:rPr>
          <w:sz w:val="24"/>
          <w:lang w:val="da-DK"/>
        </w:rPr>
        <w:t>) svarende til 47 % af Unionens samlede import af indlejret skovrydning.</w:t>
      </w:r>
    </w:p>
  </w:footnote>
  <w:footnote w:id="27">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hyperlink r:id="rId37" w:history="1">
        <w:r w:rsidRPr="0007239D">
          <w:rPr>
            <w:rStyle w:val="Hyperlink"/>
            <w:sz w:val="24"/>
            <w:lang w:val="da-DK"/>
          </w:rPr>
          <w:t>https://commission.europa.eu/document/2c64e540-c07a-4376-a1da-368d289f4afe_en</w:t>
        </w:r>
      </w:hyperlink>
      <w:r w:rsidRPr="0007239D">
        <w:rPr>
          <w:sz w:val="24"/>
          <w:lang w:val="da-DK"/>
        </w:rPr>
        <w:t>.</w:t>
      </w:r>
    </w:p>
  </w:footnote>
  <w:footnote w:id="28">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29">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w:t>
      </w:r>
      <w:r w:rsidRPr="0007239D">
        <w:rPr>
          <w:color w:val="000000" w:themeColor="text1"/>
          <w:sz w:val="24"/>
          <w:lang w:val="da-DK"/>
        </w:rPr>
        <w:t> </w:t>
      </w:r>
      <w:hyperlink r:id="rId38" w:tgtFrame="Gives access to this document through its ELI URI." w:history="1">
        <w:r w:rsidRPr="0007239D">
          <w:rPr>
            <w:rStyle w:val="Hyperlink"/>
            <w:color w:val="0070C0"/>
            <w:sz w:val="24"/>
            <w:lang w:val="da-DK"/>
          </w:rPr>
          <w:t>http://data.europa.eu/eli/reg/2002/178/oj</w:t>
        </w:r>
      </w:hyperlink>
      <w:r w:rsidRPr="0007239D">
        <w:rPr>
          <w:sz w:val="24"/>
          <w:lang w:val="da-DK"/>
        </w:rPr>
        <w:t>).</w:t>
      </w:r>
    </w:p>
  </w:footnote>
  <w:footnote w:id="30">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 xml:space="preserve">På COP15 i december 2022 blev der vedtaget en global ramme for biodiversitet under De Forenede Nationers konvention om den biologiske mangfoldighed, som omfatter et globalt mål om at reducere risikoen ved pesticider med mindst 50 % inden 2030 (se: </w:t>
      </w:r>
      <w:hyperlink r:id="rId39" w:history="1">
        <w:r w:rsidRPr="0007239D">
          <w:rPr>
            <w:rStyle w:val="Hyperlink"/>
            <w:sz w:val="24"/>
            <w:lang w:val="da-DK"/>
          </w:rPr>
          <w:t>https://ec.europa.eu/commission/presscorner/detail/da/ip_22_7834</w:t>
        </w:r>
      </w:hyperlink>
    </w:p>
  </w:footnote>
  <w:footnote w:id="31">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hyperlink r:id="rId40" w:history="1">
        <w:r w:rsidRPr="0007239D">
          <w:rPr>
            <w:rStyle w:val="Hyperlink"/>
            <w:sz w:val="24"/>
            <w:lang w:val="da-DK"/>
          </w:rPr>
          <w:t>https://tillymetz.lu/wp-content/uploads/2020/09/Co-signed-letter-MEP-Metz.pdf</w:t>
        </w:r>
      </w:hyperlink>
      <w:r w:rsidRPr="0007239D">
        <w:rPr>
          <w:rStyle w:val="Hyperlink"/>
          <w:sz w:val="24"/>
          <w:lang w:val="da-DK"/>
        </w:rPr>
        <w:t>.</w:t>
      </w:r>
    </w:p>
  </w:footnote>
  <w:footnote w:id="32">
    <w:p w:rsidR="00A50528" w:rsidRPr="0007239D" w:rsidRDefault="00A50528" w:rsidP="0007239D">
      <w:pPr>
        <w:pStyle w:val="FootnoteText"/>
        <w:ind w:left="567" w:hanging="567"/>
        <w:rPr>
          <w:sz w:val="24"/>
          <w:lang w:val="da-DK"/>
        </w:rPr>
      </w:pPr>
      <w:r w:rsidRPr="0007239D">
        <w:rPr>
          <w:rStyle w:val="FootnoteReference"/>
          <w:sz w:val="24"/>
          <w:lang w:val="da-DK"/>
        </w:rPr>
        <w:footnoteRef/>
      </w:r>
      <w:r w:rsidR="0007239D" w:rsidRPr="0007239D">
        <w:rPr>
          <w:sz w:val="24"/>
          <w:lang w:val="da-DK"/>
        </w:rPr>
        <w:t xml:space="preserve"> </w:t>
      </w:r>
      <w:r w:rsidR="0007239D" w:rsidRPr="0007239D">
        <w:rPr>
          <w:sz w:val="24"/>
          <w:lang w:val="da-DK"/>
        </w:rPr>
        <w:tab/>
      </w:r>
      <w:r w:rsidRPr="0007239D">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3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DA"/>
    <w:docVar w:name="dvnumam" w:val="0"/>
    <w:docVar w:name="dvpe" w:val="772.013"/>
    <w:docVar w:name="dvtitre" w:val="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D105678/01 – 2025/2647(RSP))"/>
  </w:docVars>
  <w:rsids>
    <w:rsidRoot w:val="004741C7"/>
    <w:rsid w:val="00002272"/>
    <w:rsid w:val="00064002"/>
    <w:rsid w:val="000677B9"/>
    <w:rsid w:val="0007239D"/>
    <w:rsid w:val="000831BA"/>
    <w:rsid w:val="000A42CC"/>
    <w:rsid w:val="000E7DD9"/>
    <w:rsid w:val="0010095E"/>
    <w:rsid w:val="00125B37"/>
    <w:rsid w:val="00187494"/>
    <w:rsid w:val="001F32AE"/>
    <w:rsid w:val="0027020E"/>
    <w:rsid w:val="002767FF"/>
    <w:rsid w:val="002B18FE"/>
    <w:rsid w:val="002B5493"/>
    <w:rsid w:val="00304AAB"/>
    <w:rsid w:val="00343214"/>
    <w:rsid w:val="00361C00"/>
    <w:rsid w:val="00395FA1"/>
    <w:rsid w:val="003E15D4"/>
    <w:rsid w:val="00411CCE"/>
    <w:rsid w:val="0041666E"/>
    <w:rsid w:val="00421060"/>
    <w:rsid w:val="00471C19"/>
    <w:rsid w:val="004741C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FA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52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230"/>
    <w:rsid w:val="00D834A0"/>
    <w:rsid w:val="00D872DF"/>
    <w:rsid w:val="00D91E21"/>
    <w:rsid w:val="00DA7FCD"/>
    <w:rsid w:val="00DF0370"/>
    <w:rsid w:val="00E365E1"/>
    <w:rsid w:val="00E820A4"/>
    <w:rsid w:val="00EB006A"/>
    <w:rsid w:val="00EB4772"/>
    <w:rsid w:val="00EC7BA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246F3"/>
  <w15:chartTrackingRefBased/>
  <w15:docId w15:val="{B296D0C6-A73E-4CF3-BC80-1D872BA5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0528"/>
    <w:pPr>
      <w:spacing w:before="480" w:after="240"/>
    </w:pPr>
  </w:style>
  <w:style w:type="paragraph" w:customStyle="1" w:styleId="NormalHanging12a">
    <w:name w:val="NormalHanging12a"/>
    <w:basedOn w:val="Normal"/>
    <w:qFormat/>
    <w:rsid w:val="00A50528"/>
    <w:pPr>
      <w:spacing w:after="240"/>
      <w:ind w:left="567" w:hanging="567"/>
    </w:pPr>
  </w:style>
  <w:style w:type="character" w:styleId="Hyperlink">
    <w:name w:val="Hyperlink"/>
    <w:basedOn w:val="DefaultParagraphFont"/>
    <w:uiPriority w:val="99"/>
    <w:rsid w:val="00A50528"/>
    <w:rPr>
      <w:color w:val="0563C1" w:themeColor="hyperlink"/>
      <w:u w:val="single"/>
    </w:rPr>
  </w:style>
  <w:style w:type="paragraph" w:styleId="NoSpacing">
    <w:name w:val="No Spacing"/>
    <w:basedOn w:val="Normal"/>
    <w:uiPriority w:val="1"/>
    <w:qFormat/>
    <w:rsid w:val="00A50528"/>
    <w:pPr>
      <w:widowControl/>
      <w:jc w:val="both"/>
    </w:pPr>
    <w:rPr>
      <w:rFonts w:eastAsiaTheme="minorHAnsi"/>
      <w:szCs w:val="32"/>
      <w:lang w:eastAsia="en-US"/>
    </w:rPr>
  </w:style>
  <w:style w:type="character" w:customStyle="1" w:styleId="sup1">
    <w:name w:val="sup1"/>
    <w:basedOn w:val="DefaultParagraphFont"/>
    <w:rsid w:val="00A50528"/>
    <w:rPr>
      <w:sz w:val="19"/>
      <w:szCs w:val="19"/>
      <w:vertAlign w:val="superscript"/>
    </w:rPr>
  </w:style>
  <w:style w:type="character" w:styleId="FollowedHyperlink">
    <w:name w:val="FollowedHyperlink"/>
    <w:basedOn w:val="DefaultParagraphFont"/>
    <w:rsid w:val="00D74230"/>
    <w:rPr>
      <w:color w:val="954F72" w:themeColor="followedHyperlink"/>
      <w:u w:val="single"/>
    </w:rPr>
  </w:style>
  <w:style w:type="paragraph" w:styleId="BalloonText">
    <w:name w:val="Balloon Text"/>
    <w:basedOn w:val="Normal"/>
    <w:link w:val="BalloonTextChar"/>
    <w:rsid w:val="007C2FA8"/>
    <w:rPr>
      <w:rFonts w:ascii="Segoe UI" w:hAnsi="Segoe UI" w:cs="Segoe UI"/>
      <w:sz w:val="18"/>
      <w:szCs w:val="18"/>
    </w:rPr>
  </w:style>
  <w:style w:type="character" w:customStyle="1" w:styleId="BalloonTextChar">
    <w:name w:val="Balloon Text Char"/>
    <w:basedOn w:val="DefaultParagraphFont"/>
    <w:link w:val="BalloonText"/>
    <w:rsid w:val="007C2FA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da/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DA/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da/TXT/HTML/?uri=CELEX:52019DC0352&amp;from=da"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da/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DA/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da/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EN/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4E47A-35FB-483C-A317-C6DB87602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2552</Words>
  <Characters>15375</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2025-05-08T11:22:00Z</dcterms:created>
  <dcterms:modified xsi:type="dcterms:W3CDTF">2025-05-08T11:22:00Z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P10_TA-PROV(2025)0106_B10-0244_2025_</vt:lpwstr>
  </property>
  <property fmtid="{D5CDD505-2E9C-101B-9397-08002B2CF9AE}" pid="4" name="&lt;Type&gt;">
    <vt:lpwstr>RR</vt:lpwstr>
  </property>
</Properties>
</file>