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5EBC" w14:paraId="0A0BF435" w14:textId="77777777" w:rsidTr="0010095E">
        <w:trPr>
          <w:trHeight w:hRule="exact" w:val="1418"/>
        </w:trPr>
        <w:tc>
          <w:tcPr>
            <w:tcW w:w="6804" w:type="dxa"/>
            <w:shd w:val="clear" w:color="auto" w:fill="auto"/>
            <w:vAlign w:val="center"/>
          </w:tcPr>
          <w:p w14:paraId="322CC7C6" w14:textId="77777777" w:rsidR="00751A4A" w:rsidRPr="005D5EBC" w:rsidRDefault="00A76780" w:rsidP="0010095E">
            <w:pPr>
              <w:pStyle w:val="EPName"/>
            </w:pPr>
            <w:r w:rsidRPr="005D5EBC">
              <w:t>Ευρωπαϊκό Κοινοβούλιο</w:t>
            </w:r>
          </w:p>
          <w:p w14:paraId="7AF8CB85" w14:textId="77777777" w:rsidR="00751A4A" w:rsidRPr="005D5EBC" w:rsidRDefault="005F1B17" w:rsidP="005F1B17">
            <w:pPr>
              <w:pStyle w:val="EPTerm"/>
              <w:rPr>
                <w:rStyle w:val="HideTWBExt"/>
                <w:noProof w:val="0"/>
                <w:vanish w:val="0"/>
                <w:color w:val="auto"/>
              </w:rPr>
            </w:pPr>
            <w:r w:rsidRPr="005D5EBC">
              <w:t>2024</w:t>
            </w:r>
            <w:r w:rsidR="00817416" w:rsidRPr="005D5EBC">
              <w:t>-202</w:t>
            </w:r>
            <w:r w:rsidRPr="005D5EBC">
              <w:t>9</w:t>
            </w:r>
          </w:p>
        </w:tc>
        <w:tc>
          <w:tcPr>
            <w:tcW w:w="2268" w:type="dxa"/>
            <w:shd w:val="clear" w:color="auto" w:fill="auto"/>
          </w:tcPr>
          <w:p w14:paraId="35A4B04B" w14:textId="77777777" w:rsidR="00751A4A" w:rsidRPr="005D5EBC" w:rsidRDefault="00187494" w:rsidP="0010095E">
            <w:pPr>
              <w:pStyle w:val="EPLogo"/>
            </w:pPr>
            <w:r w:rsidRPr="005D5EBC">
              <w:rPr>
                <w:noProof/>
                <w:lang w:val="en-GB"/>
              </w:rPr>
              <w:drawing>
                <wp:inline distT="0" distB="0" distL="0" distR="0" wp14:anchorId="4DA91995" wp14:editId="6B4751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A44942" w14:textId="77777777" w:rsidR="00D058B8" w:rsidRPr="005D5EBC" w:rsidRDefault="00D058B8" w:rsidP="004C5D52">
      <w:pPr>
        <w:pStyle w:val="LineTop"/>
      </w:pPr>
    </w:p>
    <w:p w14:paraId="449B1EB3" w14:textId="77777777" w:rsidR="00680577" w:rsidRPr="005D5EBC" w:rsidRDefault="00A76780" w:rsidP="00680577">
      <w:pPr>
        <w:pStyle w:val="EPBodyTA1"/>
      </w:pPr>
      <w:r w:rsidRPr="005D5EBC">
        <w:t>ΚΕΙΜΕΝΑ ΠΟΥ ΕΓΚΡΙΘΗΚΑΝ</w:t>
      </w:r>
    </w:p>
    <w:p w14:paraId="0DF59BF0" w14:textId="77777777" w:rsidR="00D058B8" w:rsidRPr="005D5EBC" w:rsidRDefault="00D058B8" w:rsidP="00D058B8">
      <w:pPr>
        <w:pStyle w:val="LineBottom"/>
      </w:pPr>
    </w:p>
    <w:p w14:paraId="226BF0AD" w14:textId="77777777" w:rsidR="00A76780" w:rsidRPr="005D5EBC" w:rsidRDefault="00A76780" w:rsidP="00A76780">
      <w:pPr>
        <w:pStyle w:val="ATHeading1"/>
      </w:pPr>
      <w:bookmarkStart w:id="0" w:name="TANumber"/>
      <w:r w:rsidRPr="005D5EBC">
        <w:t>P10_TA(2025)0</w:t>
      </w:r>
      <w:r w:rsidR="005D5EBC" w:rsidRPr="005D5EBC">
        <w:t>106</w:t>
      </w:r>
      <w:bookmarkEnd w:id="0"/>
    </w:p>
    <w:p w14:paraId="21FCCFF3" w14:textId="77777777" w:rsidR="00A76780" w:rsidRPr="005D5EBC" w:rsidRDefault="00A61904" w:rsidP="00A76780">
      <w:pPr>
        <w:pStyle w:val="ATHeading2"/>
      </w:pPr>
      <w:r w:rsidRPr="005D5EBC">
        <w:t>Γενετικώς τροποποιημένη σόγια της σειράς MON 87705×MON 87708×MON 89788</w:t>
      </w:r>
    </w:p>
    <w:p w14:paraId="7AC27278" w14:textId="77777777" w:rsidR="00A76780" w:rsidRPr="005D5EBC" w:rsidRDefault="00A76780" w:rsidP="00A76780">
      <w:pPr>
        <w:rPr>
          <w:i/>
          <w:vanish/>
        </w:rPr>
      </w:pPr>
      <w:r w:rsidRPr="005D5EBC">
        <w:rPr>
          <w:i/>
        </w:rPr>
        <w:fldChar w:fldCharType="begin"/>
      </w:r>
      <w:r w:rsidRPr="005D5EBC">
        <w:rPr>
          <w:i/>
        </w:rPr>
        <w:instrText xml:space="preserve"> TC"(</w:instrText>
      </w:r>
      <w:bookmarkStart w:id="1" w:name="DocNumber"/>
      <w:r w:rsidRPr="005D5EBC">
        <w:rPr>
          <w:i/>
        </w:rPr>
        <w:instrText>B10-0244/2025</w:instrText>
      </w:r>
      <w:bookmarkEnd w:id="1"/>
      <w:r w:rsidRPr="005D5EBC">
        <w:rPr>
          <w:i/>
        </w:rPr>
        <w:instrText xml:space="preserve">)"\l3 \n&gt; \* MERGEFORMAT </w:instrText>
      </w:r>
      <w:r w:rsidRPr="005D5EBC">
        <w:rPr>
          <w:i/>
        </w:rPr>
        <w:fldChar w:fldCharType="end"/>
      </w:r>
    </w:p>
    <w:p w14:paraId="10AE5397" w14:textId="77777777" w:rsidR="00A76780" w:rsidRPr="005D5EBC" w:rsidRDefault="00A76780" w:rsidP="00A76780">
      <w:pPr>
        <w:rPr>
          <w:vanish/>
        </w:rPr>
      </w:pPr>
      <w:bookmarkStart w:id="2" w:name="PE"/>
      <w:r w:rsidRPr="005D5EBC">
        <w:rPr>
          <w:vanish/>
        </w:rPr>
        <w:t>PE772.013</w:t>
      </w:r>
      <w:bookmarkEnd w:id="2"/>
    </w:p>
    <w:p w14:paraId="0AC99436" w14:textId="77777777" w:rsidR="00A76780" w:rsidRPr="005D5EBC" w:rsidRDefault="00A76780" w:rsidP="00A76780">
      <w:pPr>
        <w:pStyle w:val="ATHeading3"/>
      </w:pPr>
      <w:bookmarkStart w:id="3" w:name="Sujet"/>
      <w:r w:rsidRPr="005D5EBC">
        <w:t xml:space="preserve">Ψήφισμα του Ευρωπαϊκού Κοινοβουλίου </w:t>
      </w:r>
      <w:r w:rsidR="00A61904" w:rsidRPr="005D5EBC">
        <w:t xml:space="preserve">της 8ης Μαΐου 2025 </w:t>
      </w:r>
      <w:r w:rsidRPr="005D5EBC">
        <w:t>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της σειράς MON 87705 × MON 87708 × MON 89788, σύμφωνα με τον κανονισμό (ΕΚ) αριθ. 1829/2003 του Ευρωπαϊκού Κοινοβουλίου και του Συμβουλίου</w:t>
      </w:r>
      <w:bookmarkEnd w:id="3"/>
      <w:r w:rsidRPr="005D5EBC">
        <w:t xml:space="preserve"> </w:t>
      </w:r>
      <w:bookmarkStart w:id="4" w:name="References"/>
      <w:r w:rsidRPr="005D5EBC">
        <w:t>(D105678/0</w:t>
      </w:r>
      <w:r w:rsidR="00A61904" w:rsidRPr="005D5EBC">
        <w:t>3</w:t>
      </w:r>
      <w:r w:rsidRPr="005D5EBC">
        <w:t xml:space="preserve"> – 2025/2647(RSP))</w:t>
      </w:r>
      <w:bookmarkEnd w:id="4"/>
    </w:p>
    <w:p w14:paraId="7247929D" w14:textId="77777777" w:rsidR="00E05E0B" w:rsidRPr="005D5EBC" w:rsidRDefault="00E05E0B" w:rsidP="00E05E0B">
      <w:pPr>
        <w:pStyle w:val="EPComma"/>
      </w:pPr>
      <w:bookmarkStart w:id="5" w:name="TextBodyBegin"/>
      <w:bookmarkEnd w:id="5"/>
      <w:r w:rsidRPr="005D5EBC">
        <w:rPr>
          <w:i/>
          <w:iCs/>
        </w:rPr>
        <w:t>Το Ευρωπαϊκό Κοινοβούλιο,</w:t>
      </w:r>
    </w:p>
    <w:p w14:paraId="3ED07750" w14:textId="77777777" w:rsidR="00E05E0B" w:rsidRPr="005D5EBC" w:rsidRDefault="00E05E0B" w:rsidP="00E05E0B">
      <w:pPr>
        <w:pStyle w:val="NormalHanging12a"/>
      </w:pPr>
      <w:r w:rsidRPr="005D5EBC">
        <w:t>–</w:t>
      </w:r>
      <w:r w:rsidRPr="005D5EBC">
        <w:tab/>
        <w:t>έχοντας υπόψη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της σειράς MON 87705 × MON 87708 × MON 89788, σύμφωνα με τον κανονισμό (ΕΚ) αριθ. 1829/2003 του Ευρωπαϊκού Κοινοβουλίου και του Συμβουλίου (D105678/03),</w:t>
      </w:r>
    </w:p>
    <w:p w14:paraId="5E7E0FA7" w14:textId="77777777" w:rsidR="00E05E0B" w:rsidRPr="005D5EBC" w:rsidRDefault="00E05E0B" w:rsidP="00E05E0B">
      <w:pPr>
        <w:pStyle w:val="NormalHanging12a"/>
      </w:pPr>
      <w:r w:rsidRPr="005D5EBC">
        <w:t>–</w:t>
      </w:r>
      <w:r w:rsidRPr="005D5EBC">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5D5EBC">
        <w:rPr>
          <w:rStyle w:val="FootnoteReference"/>
          <w:rFonts w:eastAsiaTheme="minorHAnsi"/>
        </w:rPr>
        <w:footnoteReference w:id="1"/>
      </w:r>
      <w:r w:rsidRPr="005D5EBC">
        <w:t>, και ειδικότερα το άρθρο 7 παράγραφος 3 και το άρθρο 19 παράγραφος 3,</w:t>
      </w:r>
    </w:p>
    <w:p w14:paraId="252B6079" w14:textId="77777777" w:rsidR="00E05E0B" w:rsidRPr="005D5EBC" w:rsidRDefault="00E05E0B" w:rsidP="00E05E0B">
      <w:pPr>
        <w:pStyle w:val="NormalHanging12a"/>
        <w:rPr>
          <w:szCs w:val="24"/>
        </w:rPr>
      </w:pPr>
      <w:r w:rsidRPr="005D5EBC">
        <w:t>–</w:t>
      </w:r>
      <w:r w:rsidRPr="005D5EBC">
        <w:tab/>
        <w:t xml:space="preserve">έχοντας υπόψη την </w:t>
      </w:r>
      <w:r w:rsidRPr="005D5EBC">
        <w:rPr>
          <w:shd w:val="clear" w:color="auto" w:fill="FFFFFF"/>
        </w:rPr>
        <w:t>ψηφοφορία στη μόνιμη επιτροπή φυτών, ζώων, τροφίμων και ζωοτροφών κατά το άρθρο 35 του κανονισμού (ΕΚ) αριθ. 1829/2003, της 28ης Φεβρουαρίου 2025, κατά την οποία δεν εκδόθηκε γνώμη</w:t>
      </w:r>
      <w:r w:rsidRPr="005D5EBC">
        <w:t>,</w:t>
      </w:r>
    </w:p>
    <w:p w14:paraId="0C20BD87" w14:textId="77777777" w:rsidR="00E05E0B" w:rsidRPr="005D5EBC" w:rsidRDefault="00E05E0B" w:rsidP="00E05E0B">
      <w:pPr>
        <w:pStyle w:val="NormalHanging12a"/>
      </w:pPr>
      <w:r w:rsidRPr="005D5EBC">
        <w:t>–</w:t>
      </w:r>
      <w:r w:rsidRPr="005D5EBC">
        <w:tab/>
        <w:t>έχοντας υπόψη το άρθρο 11 του κανονισμού (ΕE)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sidRPr="005D5EBC">
        <w:rPr>
          <w:rStyle w:val="FootnoteReference"/>
          <w:rFonts w:eastAsiaTheme="minorHAnsi"/>
        </w:rPr>
        <w:footnoteReference w:id="2"/>
      </w:r>
      <w:r w:rsidRPr="005D5EBC">
        <w:t>,</w:t>
      </w:r>
    </w:p>
    <w:p w14:paraId="5F13A707" w14:textId="77777777" w:rsidR="00E05E0B" w:rsidRPr="005D5EBC" w:rsidRDefault="00E05E0B" w:rsidP="00E05E0B">
      <w:pPr>
        <w:pStyle w:val="NormalHanging12a"/>
      </w:pPr>
      <w:r w:rsidRPr="005D5EBC">
        <w:t>–</w:t>
      </w:r>
      <w:r w:rsidRPr="005D5EBC">
        <w:tab/>
        <w:t xml:space="preserve">έχοντας υπόψη τη γνωμοδότηση που εκδόθηκε από την Ευρωπαϊκή Αρχή για την Ασφάλεια των Τροφίμων (EFSA) στις 2 Απριλίου 2020 και δημοσιεύθηκε στις </w:t>
      </w:r>
      <w:r w:rsidRPr="005D5EBC">
        <w:lastRenderedPageBreak/>
        <w:t>18</w:t>
      </w:r>
      <w:r w:rsidR="00FD42AC" w:rsidRPr="005D5EBC">
        <w:t> </w:t>
      </w:r>
      <w:r w:rsidRPr="005D5EBC">
        <w:t>Μαΐου 2020</w:t>
      </w:r>
      <w:r w:rsidRPr="005D5EBC">
        <w:rPr>
          <w:rStyle w:val="FootnoteReference"/>
          <w:rFonts w:eastAsiaTheme="minorHAnsi"/>
        </w:rPr>
        <w:footnoteReference w:id="3"/>
      </w:r>
      <w:r w:rsidRPr="005D5EBC">
        <w:t>,</w:t>
      </w:r>
    </w:p>
    <w:p w14:paraId="0FFBA039" w14:textId="77777777" w:rsidR="00E05E0B" w:rsidRPr="005D5EBC" w:rsidRDefault="00E05E0B" w:rsidP="00E05E0B">
      <w:pPr>
        <w:pStyle w:val="NormalHanging12a"/>
        <w:rPr>
          <w:szCs w:val="24"/>
        </w:rPr>
      </w:pPr>
      <w:r w:rsidRPr="005D5EBC">
        <w:rPr>
          <w:rFonts w:ascii="Symbol" w:hAnsi="Symbol"/>
        </w:rPr>
        <w:sym w:font="Symbol" w:char="F02D"/>
      </w:r>
      <w:r w:rsidRPr="005D5EBC">
        <w:rPr>
          <w:rFonts w:ascii="Symbol" w:hAnsi="Symbol"/>
        </w:rPr>
        <w:tab/>
      </w:r>
      <w:r w:rsidRPr="005D5EBC">
        <w:rPr>
          <w:shd w:val="clear" w:color="auto" w:fill="FFFFFF"/>
        </w:rPr>
        <w:t>έχοντας υπόψη τα προηγούμενα ψηφίσματά του που διατύπωναν αντίρρηση στην έγκριση γενετικώς τροποποιημένων οργανισμών (ΓΤΟ)</w:t>
      </w:r>
      <w:r w:rsidRPr="005D5EBC">
        <w:rPr>
          <w:rStyle w:val="FootnoteReference"/>
          <w:rFonts w:eastAsiaTheme="minorHAnsi"/>
          <w:szCs w:val="24"/>
          <w:shd w:val="clear" w:color="auto" w:fill="FFFFFF"/>
        </w:rPr>
        <w:footnoteReference w:id="4"/>
      </w:r>
      <w:r w:rsidRPr="005D5EBC">
        <w:rPr>
          <w:shd w:val="clear" w:color="auto" w:fill="FFFFFF"/>
        </w:rPr>
        <w:t>,</w:t>
      </w:r>
    </w:p>
    <w:p w14:paraId="433E54AB" w14:textId="77777777" w:rsidR="00E05E0B" w:rsidRPr="005D5EBC" w:rsidRDefault="00E05E0B" w:rsidP="00E05E0B">
      <w:pPr>
        <w:pStyle w:val="NormalHanging12a"/>
      </w:pPr>
      <w:r w:rsidRPr="005D5EBC">
        <w:lastRenderedPageBreak/>
        <w:t>–</w:t>
      </w:r>
      <w:r w:rsidRPr="005D5EBC">
        <w:tab/>
        <w:t>έχοντας υπόψη το άρθρο 115 παράγραφοι 2 και 3 του Κανονισμού του,</w:t>
      </w:r>
    </w:p>
    <w:p w14:paraId="4942F32C" w14:textId="77777777" w:rsidR="00E05E0B" w:rsidRPr="005D5EBC" w:rsidRDefault="00E05E0B" w:rsidP="00E05E0B">
      <w:pPr>
        <w:pStyle w:val="NormalHanging12a"/>
      </w:pPr>
      <w:r w:rsidRPr="005D5EBC">
        <w:t>–</w:t>
      </w:r>
      <w:r w:rsidRPr="005D5EBC">
        <w:tab/>
        <w:t>έχοντας υπόψη την πρόταση ψηφίσματος της Επιτροπής Περιβάλλοντος, Κλίματος και Ασφάλειας των Τροφίμων,</w:t>
      </w:r>
    </w:p>
    <w:p w14:paraId="2877AAAA" w14:textId="77777777" w:rsidR="00E05E0B" w:rsidRPr="005D5EBC" w:rsidRDefault="00E05E0B" w:rsidP="00E05E0B">
      <w:pPr>
        <w:pStyle w:val="NormalHanging12a"/>
      </w:pPr>
      <w:r w:rsidRPr="005D5EBC">
        <w:t>Α.</w:t>
      </w:r>
      <w:r w:rsidRPr="005D5EBC">
        <w:tab/>
        <w:t>λαμβάνοντας υπόψη ότι στις 11 Σεπτεμβρίου 2015 η Monsanto Europe S.A./N.V. υπέβαλε αίτηση, εξ ονόματος της Monsanto Company, με έδρα στις ΗΠΑ, στην αρμόδια εθνική αρχή των Κάτω Χωρών (</w:t>
      </w:r>
      <w:r w:rsidR="00A61904" w:rsidRPr="005D5EBC">
        <w:t>«</w:t>
      </w:r>
      <w:r w:rsidRPr="005D5EBC">
        <w:t>αίτηση</w:t>
      </w:r>
      <w:r w:rsidR="00A61904" w:rsidRPr="005D5EBC">
        <w:t>»</w:t>
      </w:r>
      <w:r w:rsidRPr="005D5EBC">
        <w:t xml:space="preserve">) για τη διάθεση στην αγορά τροφίμων, συστατικών τροφίμων και ζωοτροφών που περιέχουν, αποτελούνται ή παράγονται από γενετικώς τροποποιημένη σόγια της σειράς </w:t>
      </w:r>
      <w:bookmarkStart w:id="6" w:name="_Hlk183685905"/>
      <w:r w:rsidRPr="005D5EBC">
        <w:t>MON 87705 × MON 87708 × MON 89788</w:t>
      </w:r>
      <w:bookmarkEnd w:id="6"/>
      <w:r w:rsidRPr="005D5EBC">
        <w:t xml:space="preserve"> (</w:t>
      </w:r>
      <w:r w:rsidR="00A61904" w:rsidRPr="005D5EBC">
        <w:t>«</w:t>
      </w:r>
      <w:r w:rsidRPr="005D5EBC">
        <w:t>ΓΤ σόγια</w:t>
      </w:r>
      <w:r w:rsidR="00A61904" w:rsidRPr="005D5EBC">
        <w:t>»</w:t>
      </w:r>
      <w:r w:rsidRPr="005D5EBC">
        <w:t>), σύμφωνα με τα άρθρα 5 και 17 του κανονισμού (ΕΚ) αριθ. 1829/2003. Η αίτηση κάλυπτε επίσης τη διάθεση στην αγορά προϊόντων που περιέχουν ή αποτελούνται από τη ΓΤ σόγια και προορίζονται για χρήσεις διαφορετικές από τη χρήση σε τρόφιμα και ζωοτροφές, εξαιρουμένης της καλλιέργειας·</w:t>
      </w:r>
    </w:p>
    <w:p w14:paraId="11DB00C5" w14:textId="77777777" w:rsidR="00E05E0B" w:rsidRPr="005D5EBC" w:rsidRDefault="00E05E0B" w:rsidP="00E05E0B">
      <w:pPr>
        <w:pStyle w:val="NormalHanging12a"/>
      </w:pPr>
      <w:r w:rsidRPr="005D5EBC">
        <w:t xml:space="preserve">Β. </w:t>
      </w:r>
      <w:r w:rsidRPr="005D5EBC">
        <w:tab/>
        <w:t>λαμβάνοντας υπόψη ότι, στις 2 Απριλίου 2020, η EFSA εξέδωσε θετική γνώμη για τη ΓΤ σόγια, η οποία δημοσιεύθηκε στις 18 Μαΐου 2020· λαμβάνοντας υπόψη ότι η EFSA είχε εξετάσει όλα τα ερωτήματα και τις ανησυχίες που διατύπωσαν τα κράτη μέλη στο πλαίσιο της διαβούλευσης με τις εθνικές αρμόδιες αρχές σύμφωνα με το άρθρο 6 παράγραφος 4 και με το άρθρο 18 παράγραφος 4 του κανονισμού (ΕΚ) αριθ. 1829/2003·</w:t>
      </w:r>
    </w:p>
    <w:p w14:paraId="19B94436" w14:textId="77777777" w:rsidR="00E05E0B" w:rsidRPr="005D5EBC" w:rsidRDefault="00E05E0B" w:rsidP="00E05E0B">
      <w:pPr>
        <w:pStyle w:val="NormalHanging12a"/>
      </w:pPr>
      <w:r w:rsidRPr="005D5EBC">
        <w:lastRenderedPageBreak/>
        <w:t>Γ.</w:t>
      </w:r>
      <w:r w:rsidRPr="005D5EBC">
        <w:tab/>
        <w:t>λαμβάνοντας, ωστόσο, υπόψη ότι η EFSA δεν ήταν σε θέση να ολοκληρώσει την αξιολόγηση κινδύνου και να καταλήξει σε συμπέρασμα σχετικά με την ασφάλεια της ΓΤ σόγιας λόγω της απουσίας μελέτης 90 ημερών σχετικά με τη ΓΤ σόγια και της απουσίας σχεδίου παρακολούθησης μετά τη διάθεση στην αγορά, λαμβάνοντας υπόψη το τροποποιημένο προφίλ λιπαρών οξέων της σειράς ΓΤ σόγιας·</w:t>
      </w:r>
    </w:p>
    <w:p w14:paraId="737A7965" w14:textId="77777777" w:rsidR="00E05E0B" w:rsidRPr="005D5EBC" w:rsidRDefault="00E05E0B" w:rsidP="00E05E0B">
      <w:pPr>
        <w:pStyle w:val="NormalHanging12a"/>
      </w:pPr>
      <w:r w:rsidRPr="005D5EBC">
        <w:t xml:space="preserve">Δ. </w:t>
      </w:r>
      <w:r w:rsidRPr="005D5EBC">
        <w:tab/>
        <w:t>λαμβάνοντας υπόψη ότι στις 3 Οκτωβρίου 2024 η EFSA εξέδωσε δήλωση, η οποία δημοσιεύτηκε στις 28 Οκτωβρίου 2024, συμπληρώνοντας την επιστημονική γνώμη της της 2ας Απριλίου 2020, με βάση τα πρόσθετα στοιχεία που παρασχέθηκαν από τον αιτούντα</w:t>
      </w:r>
      <w:r w:rsidRPr="005D5EBC">
        <w:rPr>
          <w:rStyle w:val="FootnoteReference"/>
          <w:rFonts w:eastAsiaTheme="minorHAnsi"/>
        </w:rPr>
        <w:footnoteReference w:id="5"/>
      </w:r>
      <w:r w:rsidRPr="005D5EBC">
        <w:t xml:space="preserve">, η EFSA κατέληξε στο συμπέρασμα ότι η ΓΤ σόγια, όπως περιγράφεται στην αίτηση, είναι εξίσου ασφαλής με το συμβατικό ομόλογό της και τις δοκιμασμένες μη γενετικώς τροποποιημένες ποικιλίες αναφοράς σόγιας όσον αφορά τις πιθανές επιπτώσεις της στην υγεία των ανθρώπων και των ζώων και στο περιβάλλον. Η EFSA κατέληξε επίσης στο συμπέρασμα ότι η κατανάλωση ΓΤ </w:t>
      </w:r>
      <w:bookmarkStart w:id="7" w:name="_Hlk183443299"/>
      <w:r w:rsidRPr="005D5EBC">
        <w:t>σόγιας</w:t>
      </w:r>
      <w:bookmarkEnd w:id="7"/>
      <w:r w:rsidRPr="005D5EBC">
        <w:t xml:space="preserve"> δεν προκαλεί διατροφικές ανησυχίες·</w:t>
      </w:r>
    </w:p>
    <w:p w14:paraId="3C901738" w14:textId="77777777" w:rsidR="00E05E0B" w:rsidRPr="005D5EBC" w:rsidRDefault="00E05E0B" w:rsidP="00E05E0B">
      <w:pPr>
        <w:pStyle w:val="NormalHanging12a"/>
        <w:rPr>
          <w:color w:val="000000"/>
        </w:rPr>
      </w:pPr>
      <w:r w:rsidRPr="005D5EBC">
        <w:t>Ε.</w:t>
      </w:r>
      <w:r w:rsidRPr="005D5EBC">
        <w:tab/>
        <w:t>λαμβάνοντας υπόψη ότι η ΓΤ σόγια έχει τροποποιηθεί ώστε να είναι ανθεκτική στα ζιζανιοκτόνα με βάση τη γλυφοσάτη και τα ζιζανιοκτόνα dicamba και να μεταβάλει το προφίλ της σε λιπαρά οξέα·</w:t>
      </w:r>
    </w:p>
    <w:p w14:paraId="7ED79F2C" w14:textId="77777777" w:rsidR="00E05E0B" w:rsidRPr="005D5EBC" w:rsidRDefault="00E05E0B" w:rsidP="00E05E0B">
      <w:pPr>
        <w:pStyle w:val="NormalHanging12a"/>
        <w:ind w:left="284" w:hanging="284"/>
        <w:rPr>
          <w:b/>
          <w:i/>
        </w:rPr>
      </w:pPr>
      <w:r w:rsidRPr="005D5EBC">
        <w:rPr>
          <w:b/>
          <w:i/>
        </w:rPr>
        <w:t>Έλλειψη αξιολόγησης του συμπληρωματικού ζιζανιοκτόνου</w:t>
      </w:r>
    </w:p>
    <w:p w14:paraId="31026767" w14:textId="77777777" w:rsidR="00E05E0B" w:rsidRPr="005D5EBC" w:rsidRDefault="00E05E0B" w:rsidP="00E05E0B">
      <w:pPr>
        <w:pStyle w:val="NormalHanging12a"/>
        <w:ind w:left="720" w:hanging="720"/>
      </w:pPr>
      <w:r w:rsidRPr="005D5EBC">
        <w:t>ΣΤ.</w:t>
      </w:r>
      <w:r w:rsidRPr="005D5EBC">
        <w:tab/>
        <w:t>λαμβάνοντας υπόψη ότι ο εκτελεστικός κανονισμός (ΕΕ) αριθ. 503/2013</w:t>
      </w:r>
      <w:r w:rsidR="00FD42AC" w:rsidRPr="005D5EBC">
        <w:t xml:space="preserve"> της Επιτροπής</w:t>
      </w:r>
      <w:r w:rsidRPr="005D5EBC">
        <w:rPr>
          <w:rStyle w:val="FootnoteReference"/>
          <w:rFonts w:eastAsiaTheme="minorHAnsi"/>
        </w:rPr>
        <w:footnoteReference w:id="6"/>
      </w:r>
      <w:r w:rsidRPr="005D5EBC">
        <w:t xml:space="preserve"> απαιτεί αξιολόγηση του κατά πόσον οι αναμενόμενες γεωργικές πρακτικές επηρεάζουν το αποτέλεσμα των τελικών σημείων που εξετάστηκαν· λαμβάνοντας υπόψη ότι, σύμφωνα με τον εν λόγω εκτελεστικό κανονισμό, αυτό έχει ιδιαίτερη σημασία για τα ανθεκτικά στα ζιζανιοκτόνα φυτά·</w:t>
      </w:r>
    </w:p>
    <w:p w14:paraId="44459D2E" w14:textId="77777777" w:rsidR="00E05E0B" w:rsidRPr="005D5EBC" w:rsidRDefault="00E05E0B" w:rsidP="00E05E0B">
      <w:pPr>
        <w:pStyle w:val="NormalHanging12a"/>
        <w:ind w:left="720" w:hanging="720"/>
      </w:pPr>
      <w:r w:rsidRPr="005D5EBC">
        <w:t>Ζ.</w:t>
      </w:r>
      <w:r w:rsidRPr="005D5EBC">
        <w:tab/>
        <w:t xml:space="preserve">λαμβάνοντας υπόψη ότι στη συντριπτική τους πλειονότητα οι γενετικώς τροποποιημένες καλλιέργειες έχουν τροποποιηθεί γενετικώς ώστε να είναι ανθεκτικές σε ένα ή περισσότερα «συμπληρωματικά» ζιζανιοκτόνα που μπορούν να χρησιμοποιηθούν καθ’ όλη τη διάρκεια του κύκλου ζωής της καλλιέργειας, χωρίς να καταστρέφεται η καλλιέργεια, όπως θα συνέβαινε στην περίπτωση μιας καλλιέργειας που δεν είναι ανθεκτική στα ζιζανιοκτόνα· λαμβάνοντας υπόψη ότι διάφορες μελέτες καταδεικνύουν ότι η καλλιέργεια γενετικώς τροποποιημένων φυτών που είναι ανθεκτικά στα ζιζανιοκτόνα οδηγεί σε αυξημένη χρήση συμπληρωματικών </w:t>
      </w:r>
      <w:r w:rsidRPr="005D5EBC">
        <w:lastRenderedPageBreak/>
        <w:t>ζιζανιοκτόνων, κυρίως λόγω της εμφάνισης ζιζανίων ανθεκτικών στα ζιζανιοκτόνα</w:t>
      </w:r>
      <w:r w:rsidRPr="005D5EBC">
        <w:rPr>
          <w:rStyle w:val="FootnoteReference"/>
          <w:rFonts w:eastAsiaTheme="minorHAnsi"/>
        </w:rPr>
        <w:footnoteReference w:id="7"/>
      </w:r>
      <w:r w:rsidRPr="005D5EBC">
        <w:t>·</w:t>
      </w:r>
    </w:p>
    <w:p w14:paraId="3DABC17B" w14:textId="77777777" w:rsidR="00E05E0B" w:rsidRPr="005D5EBC" w:rsidRDefault="00E05E0B" w:rsidP="00E05E0B">
      <w:pPr>
        <w:pStyle w:val="NormalHanging12a"/>
        <w:ind w:left="720" w:hanging="720"/>
      </w:pPr>
      <w:r w:rsidRPr="005D5EBC">
        <w:t>Η.</w:t>
      </w:r>
      <w:r w:rsidRPr="005D5EBC">
        <w:tab/>
        <w:t>λαμβάνοντας υπόψη ότι οι ανθεκτικές στα ζιζανιοκτόνα ΓΤ καλλιέργειες εγκλωβίζουν τους γεωργούς σε ένα σύστημα διαχείρισης ζιζανίων που εξαρτάται σε μεγάλο βαθμό ή εξ ολοκλήρου από τα ζιζανιοκτόνα· λαμβάνοντας υπόψη ότι η αυξημένη εξάρτηση από συμπληρωματικά ζιζανιοκτόνα σε γεωργικές εκμεταλλεύσεις γενετικώς τροποποιημένης καλλιέργειας θα επιταχύνει την εμφάνιση και την εξάπλωση ζιζανίων ανθεκτικών στα εν λόγω ζιζανιοκτόνα και θα δημιουργήσει έτσι την ανάγκη για ακόμη μεγαλύτερη χρήση ζιζανιοκτόνων, καταλήγοντας σε έναν φαύλο κύκλο γνωστό ως «herbicide treadmill» («κυλιόμενος τάπητας ζιζανιοκτόνων»)·</w:t>
      </w:r>
    </w:p>
    <w:p w14:paraId="012A6860" w14:textId="77777777" w:rsidR="00E05E0B" w:rsidRPr="005D5EBC" w:rsidRDefault="00E05E0B" w:rsidP="00E05E0B">
      <w:pPr>
        <w:pStyle w:val="NormalHanging12a"/>
        <w:ind w:left="720" w:hanging="720"/>
      </w:pPr>
      <w:r w:rsidRPr="005D5EBC">
        <w:t>Θ.</w:t>
      </w:r>
      <w:r w:rsidRPr="005D5EBC">
        <w:tab/>
        <w:t>λαμβάνοντας υπόψη ότι οι δυσμενείς επιπτώσεις που απορρέουν από την υπερβολική εξάρτηση από ζιζανιοκτόνα θα οδηγήσουν σε επιδείνωση της υγείας του εδάφους, την ποιότητα των υδάτων και την υπέργεια και υπόγεια βιοποικιλότητα, και θα οδηγήσουν επίσης σε αυξημένη έκθεση των ανθρώπων και των ζώων, ενδεχομένως και με την αύξηση των καταλοίπων ζιζανιοκτόνων στα τρόφιμα και τις ζωοτροφές·</w:t>
      </w:r>
    </w:p>
    <w:p w14:paraId="52F2D270" w14:textId="77777777" w:rsidR="00E05E0B" w:rsidRPr="005D5EBC" w:rsidRDefault="00E05E0B" w:rsidP="00E05E0B">
      <w:pPr>
        <w:pStyle w:val="NormalHanging12a"/>
        <w:ind w:left="720" w:hanging="720"/>
        <w:rPr>
          <w:szCs w:val="24"/>
        </w:rPr>
      </w:pPr>
      <w:r w:rsidRPr="005D5EBC">
        <w:t xml:space="preserve">Ι. </w:t>
      </w:r>
      <w:r w:rsidRPr="005D5EBC">
        <w:tab/>
        <w:t xml:space="preserve">λαμβάνοντας υπόψη ότι το dicamba είναι εξαιρετικά ασταθές, γεγονός που σημαίνει ότι, μετά την εφαρμογή του, είναι επιρρεπές στη μετακίνηση στον αέρα, στη συνέχεια δε μετατοπίζεται με τον άνεμο ωσότου πέσει στο έδαφος, εκθέτοντας ανθρώπους και μη στοχευόμενα φυτά, αμπέλια, δέντρα και θάμνους σε δυνητικές και σοβαρές ζημίες, ιδίως όταν η έκθεση συμβαίνει επί σειρά ετών· </w:t>
      </w:r>
    </w:p>
    <w:p w14:paraId="487FE8EE" w14:textId="77777777" w:rsidR="00E05E0B" w:rsidRPr="005D5EBC" w:rsidRDefault="00E05E0B" w:rsidP="00E05E0B">
      <w:pPr>
        <w:pStyle w:val="NormalHanging12a"/>
        <w:ind w:left="720" w:hanging="720"/>
      </w:pPr>
      <w:r w:rsidRPr="005D5EBC">
        <w:t>ΙΑ.</w:t>
      </w:r>
      <w:r w:rsidRPr="005D5EBC">
        <w:tab/>
      </w:r>
      <w:r w:rsidRPr="005D5EBC">
        <w:rPr>
          <w:shd w:val="clear" w:color="auto" w:fill="FFFFFF"/>
        </w:rPr>
        <w:t>λαμβάνοντας υπόψη ότι μια μελέτη του 2020 από επιστήμονες της κυβέρνησης των Ηνωμένων Πολιτειών, που δημοσιεύθηκε στο αξιολογούμενο από ομοτίμους επιστημονικό περιοδικό International Journal of Epidemiology,</w:t>
      </w:r>
      <w:r w:rsidRPr="005D5EBC">
        <w:t xml:space="preserve"> περιλάμβανε τη διαπίστωση ότι η εκτεταμένη χρήση του dicamba αύξησε τον κίνδυνο ανάπτυξης καρκίνου του ήπατος και ενδοηπατικού χολαγγειοκαρκινώματος μεταξύ των ατόμων που ήταν υπεύθυνα για την εφαρμογή του ζιζανιοκτόνου· </w:t>
      </w:r>
    </w:p>
    <w:p w14:paraId="6E17DA62" w14:textId="77777777" w:rsidR="00E05E0B" w:rsidRPr="005D5EBC" w:rsidRDefault="00E05E0B" w:rsidP="00E05E0B">
      <w:pPr>
        <w:pStyle w:val="NormalHanging12a"/>
        <w:ind w:left="720" w:hanging="720"/>
      </w:pPr>
      <w:r w:rsidRPr="005D5EBC">
        <w:t>ΙΒ.</w:t>
      </w:r>
      <w:r w:rsidRPr="005D5EBC">
        <w:tab/>
        <w:t>λαμβάνοντας υπόψη ότι η μελέτη του 2020 αναφέρει ότι η έγκριση ΓΤ καλλιεργειών ανθεκτικών στο dicamba αναμένεται να οδηγήσει σε αυξημένη γεωργική χρήση του dicamba κατά τα επόμενα έτη</w:t>
      </w:r>
      <w:r w:rsidRPr="005D5EBC">
        <w:rPr>
          <w:vertAlign w:val="superscript"/>
        </w:rPr>
        <w:footnoteReference w:id="8"/>
      </w:r>
      <w:r w:rsidRPr="005D5EBC">
        <w:t xml:space="preserve"> και ότι το σύστημα δεδομένων σχετικά με τη χρήση φυτοφαρμάκων της HHRA επιβεβαιώνει ότι αυτό πράγματι συμβαίνει, με τη χρήση του dicamba να είναι 10πλάσια στις μεσοδυτικές πολιτείες των Ηνωμένων Πολιτειών </w:t>
      </w:r>
      <w:r w:rsidRPr="005D5EBC">
        <w:lastRenderedPageBreak/>
        <w:t>σε σύγκριση με μια δεκαετία πριν</w:t>
      </w:r>
      <w:r w:rsidRPr="005D5EBC">
        <w:rPr>
          <w:vertAlign w:val="superscript"/>
        </w:rPr>
        <w:footnoteReference w:id="9"/>
      </w:r>
      <w:r w:rsidRPr="005D5EBC">
        <w:t>·</w:t>
      </w:r>
    </w:p>
    <w:p w14:paraId="2421DF55" w14:textId="77777777" w:rsidR="00E05E0B" w:rsidRPr="005D5EBC" w:rsidRDefault="00E05E0B" w:rsidP="00E05E0B">
      <w:pPr>
        <w:pStyle w:val="NormalHanging12a"/>
        <w:ind w:left="720" w:hanging="720"/>
      </w:pPr>
      <w:r w:rsidRPr="005D5EBC">
        <w:t>ΙΓ.</w:t>
      </w:r>
      <w:r w:rsidRPr="005D5EBC">
        <w:tab/>
        <w:t>λαμβάνοντας υπόψη ότι εξακολουθούν να υφίστανται ερωτηματικά όσον αφορά την καρκινογόνο δράση της γλυφοσάτης· λαμβάνοντας υπόψη ότι τον Νοέμβριο του 2015 η EFSA κατέληξε στο συμπέρασμα ότι, κατά πάσα πιθανότητα, το γλυφοσάτ δεν είναι καρκινογόνο, και τον Μάρτιο του 2017 ο Ευρωπαϊκός Οργανισμός Χημικών Προϊόντων κατέληξε στο συμπέρασμα ότι δεν απαιτείται ταξινόμηση· λαμβάνοντας υπόψη ότι, αντιθέτως, το 2015 ο Διεθνής Οργανισμός Ερευνών για τον Καρκίνο —η ειδική υπηρεσία του Παγκόσμιου Οργανισμού Υγείας για τον καρκίνο— ταξινόμησε το γλυφοσάτ στις πιθανώς καρκινογόνους για τον άνθρωπο ουσίες· λαμβάνοντας υπόψη ότι σειρά από πρόσφατες επιστημονικές μελέτες αξιολογηθείσες από ομότιμους επιβεβαιώνουν τις καρκινογόνες ιδιότητες του γλυφοσάτ</w:t>
      </w:r>
      <w:r w:rsidRPr="005D5EBC">
        <w:rPr>
          <w:szCs w:val="24"/>
          <w:vertAlign w:val="superscript"/>
        </w:rPr>
        <w:footnoteReference w:id="10"/>
      </w:r>
      <w:r w:rsidRPr="005D5EBC">
        <w:t>·</w:t>
      </w:r>
    </w:p>
    <w:p w14:paraId="428191ED" w14:textId="77777777" w:rsidR="00E05E0B" w:rsidRPr="005D5EBC" w:rsidRDefault="00E05E0B" w:rsidP="00E05E0B">
      <w:pPr>
        <w:pStyle w:val="NormalHanging12a"/>
        <w:ind w:left="720" w:hanging="720"/>
      </w:pPr>
      <w:r w:rsidRPr="005D5EBC">
        <w:t>ΙΔ.</w:t>
      </w:r>
      <w:r w:rsidRPr="005D5EBC">
        <w:tab/>
        <w:t>λαμβάνοντας υπόψη ότι σε μελέτη που αξιολογήθηκε από ομότιμους διαπιστώθηκε ότι η γλυφοσάτη συσσωρεύεται σε ΓΤ σόγια, με αντίστοιχο αρνητικό αντίκτυπο στη διατροφική σύνθεση σε σύγκριση με τη μη ΓΤ σόγια</w:t>
      </w:r>
      <w:r w:rsidRPr="005D5EBC">
        <w:rPr>
          <w:vertAlign w:val="superscript"/>
        </w:rPr>
        <w:footnoteReference w:id="11"/>
      </w:r>
      <w:r w:rsidRPr="005D5EBC">
        <w:t>· λαμβάνοντας υπόψη ότι, στο πλαίσιο πιλοτικού έργου που πραγματοποιήθηκε στην Αργεντινή, διαπιστώθηκαν αναπάντεχα υψηλά επίπεδα καταλοίπων γλυφοσάτης σε ΓΤ σόγια</w:t>
      </w:r>
      <w:r w:rsidRPr="005D5EBC">
        <w:rPr>
          <w:vertAlign w:val="superscript"/>
        </w:rPr>
        <w:footnoteReference w:id="12"/>
      </w:r>
      <w:r w:rsidRPr="005D5EBC">
        <w:t>·</w:t>
      </w:r>
    </w:p>
    <w:p w14:paraId="7FC806F6" w14:textId="77777777" w:rsidR="00E05E0B" w:rsidRPr="005D5EBC" w:rsidRDefault="00E05E0B" w:rsidP="00E05E0B">
      <w:pPr>
        <w:pStyle w:val="NormalHanging12a"/>
        <w:ind w:left="720" w:hanging="720"/>
      </w:pPr>
      <w:r w:rsidRPr="005D5EBC">
        <w:t>ΙΕ.</w:t>
      </w:r>
      <w:r w:rsidRPr="005D5EBC">
        <w:tab/>
        <w:t>λαμβάνοντας υπόψη ότι, στα ΓΤ φυτά, ο τρόπος διάσπασης των συμπληρωματικών ζιζανιοκτόνων από το φυτό και η σύνθεση και, κατ’ επέκταση, η τοξικότητα των προϊόντων της διάσπασης («μεταβολίτες») ενδέχεται να καθορίζονται από την ίδια τη γενετική τροποποίηση</w:t>
      </w:r>
      <w:r w:rsidRPr="005D5EBC">
        <w:rPr>
          <w:szCs w:val="24"/>
          <w:vertAlign w:val="superscript"/>
        </w:rPr>
        <w:footnoteReference w:id="13"/>
      </w:r>
      <w:r w:rsidRPr="005D5EBC">
        <w:t>·</w:t>
      </w:r>
    </w:p>
    <w:p w14:paraId="37C011B7" w14:textId="77777777" w:rsidR="00E05E0B" w:rsidRPr="005D5EBC" w:rsidRDefault="00E05E0B" w:rsidP="00E05E0B">
      <w:pPr>
        <w:pStyle w:val="NormalHanging12a"/>
        <w:ind w:left="720" w:hanging="720"/>
      </w:pPr>
      <w:r w:rsidRPr="005D5EBC">
        <w:t>ΙΣΤ.</w:t>
      </w:r>
      <w:r w:rsidRPr="005D5EBC">
        <w:tab/>
        <w:t>λαμβάνοντας υπόψη ότι η αξιολόγηση των καταλοίπων ζιζανιοκτόνων και των μεταβολιτών τους που απαντούν σε ΓΤ φυτά θεωρείται ότι δεν εμπίπτει στο πεδίο αρμοδιοτήτων της ομάδας της EFSA για τους γενετικώς τροποποιημένους οργανισμούς, με αποτέλεσμα να μην διενεργείται τέτοια αξιολόγηση στο πλαίσιο της διαδικασίας χορήγησης άδειας για τους γενετικώς τροποποιημένους οργανισμούς·</w:t>
      </w:r>
    </w:p>
    <w:p w14:paraId="5E74672E" w14:textId="77777777" w:rsidR="00E05E0B" w:rsidRPr="005D5EBC" w:rsidRDefault="00E05E0B" w:rsidP="005D5EBC">
      <w:pPr>
        <w:pStyle w:val="NormalHanging12a"/>
        <w:ind w:left="0" w:firstLine="0"/>
        <w:rPr>
          <w:b/>
          <w:i/>
        </w:rPr>
      </w:pPr>
      <w:r w:rsidRPr="005D5EBC">
        <w:rPr>
          <w:b/>
          <w:i/>
        </w:rPr>
        <w:t>Εξασφάλιση ισότιμων όρων ανταγωνισμού σε παγκόσμιο επίπεδο και τήρηση των διεθνών υποχρεώσεων της Ένωσης</w:t>
      </w:r>
    </w:p>
    <w:p w14:paraId="32A7376A" w14:textId="77777777" w:rsidR="00E05E0B" w:rsidRPr="005D5EBC" w:rsidRDefault="00E05E0B" w:rsidP="00E05E0B">
      <w:pPr>
        <w:pStyle w:val="NormalHanging12a"/>
        <w:ind w:left="720" w:hanging="720"/>
      </w:pPr>
      <w:r w:rsidRPr="005D5EBC">
        <w:t>ΙΖ.</w:t>
      </w:r>
      <w:r w:rsidRPr="005D5EBC">
        <w:tab/>
        <w:t>λαμβάνοντας υπόψη ότι η καλλιέργεια ΓΤ σόγιας δεν επιτρέπεται στην Ένωση·</w:t>
      </w:r>
    </w:p>
    <w:p w14:paraId="54059FF8" w14:textId="77777777" w:rsidR="00E05E0B" w:rsidRPr="005D5EBC" w:rsidRDefault="00E05E0B" w:rsidP="00E05E0B">
      <w:pPr>
        <w:pStyle w:val="NormalHanging12a"/>
        <w:ind w:left="720" w:hanging="720"/>
      </w:pPr>
      <w:r w:rsidRPr="005D5EBC">
        <w:t>ΙΗ.</w:t>
      </w:r>
      <w:r w:rsidRPr="005D5EBC">
        <w:tab/>
        <w:t xml:space="preserve">λαμβάνοντας υπόψη ότι τα συμπεράσματα του στρατηγικού διαλόγου για το μέλλον </w:t>
      </w:r>
      <w:r w:rsidRPr="005D5EBC">
        <w:lastRenderedPageBreak/>
        <w:t>της γεωργίας της ΕΕ</w:t>
      </w:r>
      <w:r w:rsidRPr="005D5EBC">
        <w:rPr>
          <w:rStyle w:val="FootnoteReference"/>
          <w:rFonts w:eastAsiaTheme="minorHAnsi"/>
        </w:rPr>
        <w:footnoteReference w:id="14"/>
      </w:r>
      <w:r w:rsidRPr="005D5EBC">
        <w:t xml:space="preserve"> καλούν την Επιτροπή να επαναξιολογήσει την προσέγγισή της όσον αφορά την πρόσβαση στην αγορά για τις εισαγωγές και τις εξαγωγές γεωργικών ειδών διατροφής, δεδομένης της πρόκλησης που τίθεται από τα αποκλίνοντα πρότυπα της Ένωσης και των εμπορικών εταίρων της· λαμβάνοντας υπόψη ότι οι δικαιότερες εμπορικές σχέσεις, σε παγκόσμιο επίπεδο, που συνάδουν με τους στόχους για ένα υγιές περιβάλλον ήταν μία από τις κύριες απαιτήσεις των αγροτών κατά τη διάρκεια των διαδηλώσεων του 2023 και του 2024·</w:t>
      </w:r>
    </w:p>
    <w:p w14:paraId="76D6CB5A" w14:textId="77777777" w:rsidR="00E05E0B" w:rsidRPr="005D5EBC" w:rsidRDefault="00E05E0B" w:rsidP="00E05E0B">
      <w:pPr>
        <w:pStyle w:val="NormalHanging12a"/>
        <w:ind w:left="720" w:hanging="720"/>
      </w:pPr>
      <w:r w:rsidRPr="005D5EBC">
        <w:t>ΙΘ.</w:t>
      </w:r>
      <w:r w:rsidRPr="005D5EBC">
        <w:tab/>
        <w:t>λαμβάνοντας υπόψη ότι, σύμφωνα με έκθεση του 2017 του ειδικού εισηγητή των Ηνωμένων Εθνών για το δικαίωμα στη διατροφή, τα επικίνδυνα φυτοφάρμακα έχουν καταστροφικές επιπτώσεις στην υγεία, ιδίως στις αναπτυσσόμενες χώρες</w:t>
      </w:r>
      <w:r w:rsidRPr="005D5EBC">
        <w:rPr>
          <w:rStyle w:val="FootnoteReference"/>
          <w:rFonts w:eastAsiaTheme="minorHAnsi"/>
        </w:rPr>
        <w:footnoteReference w:id="15"/>
      </w:r>
      <w:r w:rsidRPr="005D5EBC">
        <w:t xml:space="preserve"> λαμβάνοντας υπόψη ότι ο στόχος βιώσιμης ανάπτυξης (ΣΒΑ) 3.9 των Ηνωμένων Εθνών αφορά τη σημαντική μείωση, έως το 2030, του αριθμού των θανάτων και ασθενειών λόγω επικίνδυνων χημικών ουσιών, καθώς και λόγω της ρύπανσης και μόλυνσης του αέρα, των υδάτων και του εδάφους</w:t>
      </w:r>
      <w:r w:rsidRPr="005D5EBC">
        <w:rPr>
          <w:rStyle w:val="FootnoteReference"/>
          <w:rFonts w:eastAsiaTheme="minorHAnsi"/>
        </w:rPr>
        <w:footnoteReference w:id="16"/>
      </w:r>
      <w:r w:rsidRPr="005D5EBC">
        <w:t>·</w:t>
      </w:r>
    </w:p>
    <w:p w14:paraId="294428DE" w14:textId="77777777" w:rsidR="00E05E0B" w:rsidRPr="005D5EBC" w:rsidRDefault="00E05E0B" w:rsidP="00E05E0B">
      <w:pPr>
        <w:pStyle w:val="NormalHanging12a"/>
        <w:ind w:left="720" w:hanging="720"/>
      </w:pPr>
      <w:r w:rsidRPr="005D5EBC">
        <w:t>Κ.</w:t>
      </w:r>
      <w:r w:rsidRPr="005D5EBC">
        <w:tab/>
        <w:t>λαμβάνοντας υπόψη ότι το παγκόσμιο πλαίσιο του Kunming-Montreal για τη βιοποικιλότητα («πλαίσιο Kunming-Montreal»), το οποίο συμφωνήθηκε στην COP15 της Σύμβασης των Ηνωμένων Εθνών για τη βιολογική ποικιλότητα (ΣΒΠ) τον Δεκέμβριο του 2022, περιλαμβάνει έναν παγκόσμιο στόχο για τη μείωση του κινδύνου των φυτοφαρμάκων κατά τουλάχιστον 50 % έως το 2030</w:t>
      </w:r>
      <w:r w:rsidRPr="005D5EBC">
        <w:rPr>
          <w:rStyle w:val="FootnoteReference"/>
          <w:rFonts w:eastAsiaTheme="minorHAnsi"/>
        </w:rPr>
        <w:footnoteReference w:id="17"/>
      </w:r>
      <w:r w:rsidRPr="005D5EBC">
        <w:t>·</w:t>
      </w:r>
    </w:p>
    <w:p w14:paraId="36E09927" w14:textId="77777777" w:rsidR="00E05E0B" w:rsidRPr="005D5EBC" w:rsidRDefault="00E05E0B" w:rsidP="00E05E0B">
      <w:pPr>
        <w:pStyle w:val="NormalHanging12a"/>
        <w:ind w:left="720" w:hanging="720"/>
      </w:pPr>
      <w:r w:rsidRPr="005D5EBC">
        <w:t>ΚΑ.</w:t>
      </w:r>
      <w:r w:rsidRPr="005D5EBC">
        <w:tab/>
        <w:t>λαμβάνοντας υπόψη ότι, σύμφωνα με τον κανονισμό (ΕΚ) αριθ. 1829/2003, τα γενετικώς τροποποιημένα τρόφιμα ή ζωοτροφές δεν πρέπει να έχουν δυσμενείς επιπτώσεις στην υγεία του ανθρώπου, στην υγεία των ζώων ή στο περιβάλλον, και ότι η Επιτροπή, κατά τη σύνταξη της απόφασής της, οφείλει να λαμβάνει υπόψη τυχόν συναφείς διατάξεις της ενωσιακής νομοθεσίας και άλλους κατά νόμο παράγοντες που αφορούν το υπό εξέταση ζήτημα· λαμβάνοντας υπόψη ότι στους εν λόγω κατά νόμο παράγοντες θα πρέπει να περιλαμβάνονται οι υποχρεώσεις της Ένωσης στο πλαίσιο των ΣΒΑ και της ΣΒΠ του ΟΗΕ·</w:t>
      </w:r>
    </w:p>
    <w:p w14:paraId="6160321A" w14:textId="77777777" w:rsidR="00E05E0B" w:rsidRPr="005D5EBC" w:rsidRDefault="00E05E0B" w:rsidP="00E05E0B">
      <w:pPr>
        <w:pStyle w:val="NormalHanging12a"/>
        <w:ind w:left="720" w:hanging="720"/>
      </w:pPr>
      <w:r w:rsidRPr="005D5EBC">
        <w:t>ΚΒ.</w:t>
      </w:r>
      <w:r w:rsidRPr="005D5EBC">
        <w:tab/>
        <w:t>λαμβάνοντας υπόψη ότι η έγκριση της ΓΤ σόγιας από την Ένωση δεν θα ήταν σύμφωνη με τις διεθνείς δεσμεύσεις για τη μείωση των φυτοφαρμάκων</w:t>
      </w:r>
      <w:r w:rsidRPr="005D5EBC">
        <w:rPr>
          <w:vertAlign w:val="superscript"/>
        </w:rPr>
        <w:footnoteReference w:id="18"/>
      </w:r>
      <w:r w:rsidRPr="005D5EBC">
        <w:t xml:space="preserve">, δεδομένης της αυξημένης έκθεσης του ανθρώπου και του περιβάλλοντος σε ζιζανιοκτόνα σε χώρες που καλλιεργούν ΓΤ καλλιέργειες ανθεκτικές σε ζιζανιοκτόνα, καθώς και των </w:t>
      </w:r>
      <w:r w:rsidRPr="005D5EBC">
        <w:lastRenderedPageBreak/>
        <w:t>δυνητικά σοβαρών σχετικών προβλημάτων υγείας·</w:t>
      </w:r>
    </w:p>
    <w:p w14:paraId="426EED7B" w14:textId="77777777" w:rsidR="00E05E0B" w:rsidRPr="005D5EBC" w:rsidRDefault="00E05E0B" w:rsidP="00E05E0B">
      <w:pPr>
        <w:pStyle w:val="NormalHanging12a"/>
        <w:ind w:left="720" w:hanging="720"/>
      </w:pPr>
      <w:r w:rsidRPr="005D5EBC">
        <w:t>ΚΓ.</w:t>
      </w:r>
      <w:r w:rsidRPr="005D5EBC">
        <w:tab/>
        <w:t>λαμβάνοντας υπόψη ότι η αποψίλωση των δασών αποτελεί σημαντική αιτία της μείωσης της βιοποικιλότητας· λαμβάνοντας υπόψη ότι οι εκπομπές από τη χρήση της γης και την αλλαγή της χρήσης της γης, κυρίως λόγω της αποψίλωσης, αποτελούν τη δεύτερη μεγαλύτερη αιτία της κλιματικής αλλαγής μετά την καύση ορυκτών καυσίμων</w:t>
      </w:r>
      <w:r w:rsidRPr="005D5EBC">
        <w:rPr>
          <w:szCs w:val="24"/>
          <w:vertAlign w:val="superscript"/>
        </w:rPr>
        <w:footnoteReference w:id="19"/>
      </w:r>
      <w:r w:rsidRPr="005D5EBC">
        <w:t>· λαμβάνοντας υπόψη ότι η Συμφωνία του Παρισιού για το κλίμα και το Στρατηγικό σχέδιο για τη βιοποικιλότητα για την περίοδο 2011-2020, που εγκρίθηκαν στο πλαίσιο της ΣΒΠ των Ηνωμένων Εθνών και των στόχων του Aichi για τη βιοποικιλότητα, προάγουν τις προσπάθειες για τη βιώσιμη διαχείριση, την προστασία και την αποκατάσταση των δασών</w:t>
      </w:r>
      <w:r w:rsidRPr="005D5EBC">
        <w:rPr>
          <w:szCs w:val="24"/>
          <w:vertAlign w:val="superscript"/>
        </w:rPr>
        <w:footnoteReference w:id="20"/>
      </w:r>
      <w:r w:rsidRPr="005D5EBC">
        <w:t>· λαμβάνοντας υπόψη ότι ο ΣΒΑ 15 των Ηνωμένων Εθνών περιλαμβάνει τον στόχο της ανάσχεσης της αποψίλωσης των δασών έως το 2020</w:t>
      </w:r>
      <w:r w:rsidRPr="005D5EBC">
        <w:rPr>
          <w:szCs w:val="24"/>
          <w:vertAlign w:val="superscript"/>
        </w:rPr>
        <w:footnoteReference w:id="21"/>
      </w:r>
      <w:r w:rsidRPr="005D5EBC">
        <w:t>· λαμβάνοντας υπόψη ότι τα δάση διαδραματίζουν πολυλειτουργικό ρόλο που στηρίζει την επίτευξη της πλειονότητας των ΣΒΑ των Ηνωμένων Εθνών</w:t>
      </w:r>
      <w:r w:rsidRPr="005D5EBC">
        <w:rPr>
          <w:szCs w:val="24"/>
          <w:vertAlign w:val="superscript"/>
        </w:rPr>
        <w:footnoteReference w:id="22"/>
      </w:r>
      <w:r w:rsidRPr="005D5EBC">
        <w:t>·</w:t>
      </w:r>
    </w:p>
    <w:p w14:paraId="34995FF3" w14:textId="77777777" w:rsidR="00E05E0B" w:rsidRPr="005D5EBC" w:rsidRDefault="00E05E0B" w:rsidP="00E05E0B">
      <w:pPr>
        <w:pStyle w:val="NormalHanging12a"/>
        <w:ind w:left="720" w:hanging="720"/>
      </w:pPr>
      <w:r w:rsidRPr="005D5EBC">
        <w:t>ΚΔ.</w:t>
      </w:r>
      <w:r w:rsidRPr="005D5EBC">
        <w:tab/>
        <w:t>λαμβάνοντας υπόψη ότι οι δασικές πυρκαγιές στον Αμαζόνιο οφείλονται στα υψηλά επίπεδα αποψίλωσης· λαμβάνοντας υπόψη ότι η Επιτροπή, σε ανακοίνωση που εξέδωσε το 2019, καθόρισε τη φιλοδοξία της να προστατεύσει και να αποκαταστήσει τα δάση του πλανήτη</w:t>
      </w:r>
      <w:r w:rsidRPr="005D5EBC">
        <w:rPr>
          <w:vertAlign w:val="superscript"/>
        </w:rPr>
        <w:footnoteReference w:id="23"/>
      </w:r>
      <w:r w:rsidRPr="005D5EBC">
        <w:t>· λαμβάνοντας υπόψη ότι η παγκόσμια προστασία της βιοποικιλότητας, συμπεριλαμβανομένων των δασών, αποτελεί βασικό στόχο της στρατηγικής της ΕΕ για τη βιοποικιλότητα</w:t>
      </w:r>
      <w:r w:rsidRPr="005D5EBC">
        <w:rPr>
          <w:vertAlign w:val="superscript"/>
        </w:rPr>
        <w:footnoteReference w:id="24"/>
      </w:r>
      <w:r w:rsidRPr="005D5EBC">
        <w:t>·</w:t>
      </w:r>
    </w:p>
    <w:p w14:paraId="7B02C610" w14:textId="77777777" w:rsidR="00E05E0B" w:rsidRPr="005D5EBC" w:rsidRDefault="00E05E0B" w:rsidP="00E05E0B">
      <w:pPr>
        <w:pStyle w:val="NormalHanging12a"/>
        <w:ind w:left="720" w:hanging="720"/>
      </w:pPr>
      <w:r w:rsidRPr="005D5EBC">
        <w:t>ΚΕ.</w:t>
      </w:r>
      <w:r w:rsidRPr="005D5EBC">
        <w:tab/>
        <w:t>λαμβάνοντας υπόψη ότι η παραγωγή σόγιας αποτελεί καθοριστικό παράγοντα της αποψίλωσης του Αμαζονίου, καθώς και των δασών του Cerrado και του Gran Chaco στη Νότια Αμερική· λαμβάνοντας υπόψη ότι το 97 % της σόγιας που καλλιεργείται στη Βραζιλία και το 100 % της σόγιας που καλλιεργείται στην Αργεντινή είναι ΓΤ σόγια</w:t>
      </w:r>
      <w:r w:rsidRPr="005D5EBC">
        <w:rPr>
          <w:szCs w:val="24"/>
          <w:vertAlign w:val="superscript"/>
        </w:rPr>
        <w:footnoteReference w:id="25"/>
      </w:r>
      <w:r w:rsidRPr="005D5EBC">
        <w:t>·</w:t>
      </w:r>
    </w:p>
    <w:p w14:paraId="34755D62" w14:textId="77777777" w:rsidR="00E05E0B" w:rsidRPr="005D5EBC" w:rsidRDefault="00E05E0B" w:rsidP="00E05E0B">
      <w:pPr>
        <w:pStyle w:val="NormalHanging12a"/>
        <w:ind w:left="720" w:hanging="720"/>
        <w:rPr>
          <w:szCs w:val="24"/>
        </w:rPr>
      </w:pPr>
      <w:r w:rsidRPr="005D5EBC">
        <w:t>ΚΣΤ.</w:t>
      </w:r>
      <w:r w:rsidRPr="005D5EBC">
        <w:tab/>
        <w:t>λαμβάνοντας υπόψη ότι, σύμφωνα με την ανάλυση της Επιτροπής, η σόγια αποτελεί ανέκαθεν όσον αφορά την Ένωση το προϊόν με τη μεγαλύτερη συμβολή στην αποψίλωση των δασών παγκοσμίως και στις συναφείς εκπομπές, καθώς αντιπροσωπεύει σχεδόν το ήμισυ της αποψίλωσης των δασών που ενσωματώνεται σε όλες τις εισαγωγές της Ένωσης</w:t>
      </w:r>
      <w:r w:rsidRPr="005D5EBC">
        <w:rPr>
          <w:szCs w:val="24"/>
          <w:vertAlign w:val="superscript"/>
        </w:rPr>
        <w:footnoteReference w:id="26"/>
      </w:r>
      <w:r w:rsidRPr="005D5EBC">
        <w:t>·</w:t>
      </w:r>
    </w:p>
    <w:p w14:paraId="158C3EF6" w14:textId="77777777" w:rsidR="00E05E0B" w:rsidRPr="005D5EBC" w:rsidRDefault="00E05E0B" w:rsidP="00E05E0B">
      <w:pPr>
        <w:pStyle w:val="NormalHanging12a"/>
        <w:ind w:left="284" w:hanging="284"/>
        <w:rPr>
          <w:b/>
          <w:i/>
        </w:rPr>
      </w:pPr>
      <w:r w:rsidRPr="005D5EBC">
        <w:rPr>
          <w:b/>
          <w:i/>
        </w:rPr>
        <w:t>Μείωση της εξάρτησης από εισαγόμενες ζωοτροφές</w:t>
      </w:r>
    </w:p>
    <w:p w14:paraId="40582C59" w14:textId="77777777" w:rsidR="00E05E0B" w:rsidRPr="005D5EBC" w:rsidRDefault="00E05E0B" w:rsidP="00E05E0B">
      <w:pPr>
        <w:pStyle w:val="NormalHanging12a"/>
        <w:ind w:left="720" w:hanging="720"/>
      </w:pPr>
      <w:r w:rsidRPr="005D5EBC">
        <w:t>ΚΖ.</w:t>
      </w:r>
      <w:r w:rsidRPr="005D5EBC">
        <w:tab/>
        <w:t xml:space="preserve">λαμβάνοντας υπόψη ότι ένα από τα διδάγματα της κρίσης </w:t>
      </w:r>
      <w:r w:rsidR="00FD42AC" w:rsidRPr="005D5EBC">
        <w:t xml:space="preserve">της </w:t>
      </w:r>
      <w:r w:rsidRPr="005D5EBC">
        <w:t>COVID-19 και του συνεχιζόμενου πολέμου στην Ουκρανία είναι η ανάγκη να τερματίσει η Ένωση τις εξαρτήσεις από ορισμένα κρίσιμα υλικά· λαμβάνοντας υπόψη ότι στην επιστολή ανάθεσης καθηκόντων προς τον Επίτροπο Christophe Hansen, η πρόεδρος της Επιτροπής Ursula von der Leyen του ζητεί να εξετάσει τρόπους μείωσης των εισαγωγών κρίσιμων βασικών προϊόντων</w:t>
      </w:r>
      <w:r w:rsidRPr="005D5EBC">
        <w:rPr>
          <w:rStyle w:val="FootnoteReference"/>
          <w:rFonts w:eastAsiaTheme="minorHAnsi"/>
        </w:rPr>
        <w:footnoteReference w:id="27"/>
      </w:r>
      <w:r w:rsidRPr="005D5EBC">
        <w:t xml:space="preserve">· </w:t>
      </w:r>
    </w:p>
    <w:p w14:paraId="11AA2907" w14:textId="77777777" w:rsidR="00E05E0B" w:rsidRPr="005D5EBC" w:rsidRDefault="00E05E0B" w:rsidP="00E05E0B">
      <w:pPr>
        <w:pStyle w:val="NormalHanging12a"/>
        <w:ind w:left="720" w:hanging="720"/>
      </w:pPr>
      <w:r w:rsidRPr="005D5EBC">
        <w:t>ΚΗ.</w:t>
      </w:r>
      <w:r w:rsidRPr="005D5EBC">
        <w:tab/>
        <w:t>λαμβάνοντας υπόψη ότι οι εμπορικές συμφωνίες παρέχουν κίνητρα για τις εισαγωγές στην Ένωση τροφίμων και ζωοτροφών που περιέχουν, αποτελούνται ή παράγονται από ΓΤΟ· καθώς και ότι η Βραζιλία και η Αργεντινή συγκαταλέγονται μεταξύ των μεγαλύτερων παραγωγών ΓΤΟ και χρηστών φυτοφαρμάκων παγκοσμίως, συμπεριλαμβανομένων των ΓΤΟ και των φυτοφαρμάκων που απαγορεύονται στην Ένωση για υγειονομικούς ή περιβαλλοντικούς λόγους·</w:t>
      </w:r>
    </w:p>
    <w:p w14:paraId="47F4AB16" w14:textId="77777777" w:rsidR="00E05E0B" w:rsidRPr="005D5EBC" w:rsidRDefault="00E05E0B" w:rsidP="00E05E0B">
      <w:pPr>
        <w:pStyle w:val="NormalHanging12a"/>
        <w:ind w:left="284" w:hanging="284"/>
        <w:rPr>
          <w:b/>
          <w:i/>
        </w:rPr>
      </w:pPr>
      <w:r w:rsidRPr="005D5EBC">
        <w:rPr>
          <w:b/>
          <w:i/>
        </w:rPr>
        <w:t>Μη δημοκρατική διαδικασία λήψης αποφάσεων</w:t>
      </w:r>
    </w:p>
    <w:p w14:paraId="10545804" w14:textId="77777777" w:rsidR="00E05E0B" w:rsidRPr="005D5EBC" w:rsidRDefault="00E05E0B" w:rsidP="00E05E0B">
      <w:pPr>
        <w:pStyle w:val="NormalHanging12a"/>
        <w:ind w:left="720" w:hanging="720"/>
      </w:pPr>
      <w:r w:rsidRPr="005D5EBC">
        <w:t>ΚΘ.</w:t>
      </w:r>
      <w:r w:rsidRPr="005D5EBC">
        <w:tab/>
        <w:t xml:space="preserve">λαμβάνοντας υπόψη ότι, κατά την όγδοη κοινοβουλευτική του περίοδο, το Κοινοβούλιο ενέκρινε συνολικά 36 ψηφίσματα που αντιτίθενται στη διάθεση στην αγορά ΓΤΟ για τρόφιμα και ζωοτροφές (33 ψηφίσματα) και στην καλλιέργεια ΓΤΟ στην Ένωση (τρία ψηφίσματα)· λαμβάνοντας υπόψη ότι, κατά την ένατη κοινοβουλευτική του περίοδο, το Κοινοβούλιο ενέκρινε 38 </w:t>
      </w:r>
      <w:r w:rsidR="00FD42AC" w:rsidRPr="005D5EBC">
        <w:t>ενστάσεις</w:t>
      </w:r>
      <w:r w:rsidRPr="005D5EBC">
        <w:t xml:space="preserve"> στη διάθεση ΓΤΟ στην αγορά και άλλα 10 ψηφίσματα που αντιτίθενται στη διάθεση ΓΤΟ στην αγορά ήδη κατά την τρέχουσα δέκατη κοινοβουλευτική περίοδο· </w:t>
      </w:r>
    </w:p>
    <w:p w14:paraId="0EC14FF2" w14:textId="77777777" w:rsidR="00E05E0B" w:rsidRPr="005D5EBC" w:rsidRDefault="00E05E0B" w:rsidP="00E05E0B">
      <w:pPr>
        <w:pStyle w:val="NormalHanging12a"/>
        <w:ind w:left="720" w:hanging="720"/>
      </w:pPr>
      <w:r w:rsidRPr="005D5EBC">
        <w:t>Λ.</w:t>
      </w:r>
      <w:r w:rsidRPr="005D5EBC">
        <w:tab/>
        <w:t>λαμβάνοντας υπόψη ότι η Επιτροπή εξακολουθεί να εγκρίνει ΓΤΟ, παρά το γεγονός ότι αναγνωρίζει και η ίδια την ύπαρξη δημοκρατικού ελλείμματος, την έλλειψη στήριξης από την πλευρά των κρατών μελών και τις ενστάσεις του Κοινοβουλίου·</w:t>
      </w:r>
    </w:p>
    <w:p w14:paraId="2924BD20" w14:textId="77777777" w:rsidR="00E05E0B" w:rsidRPr="005D5EBC" w:rsidRDefault="00E05E0B" w:rsidP="00E05E0B">
      <w:pPr>
        <w:pStyle w:val="NormalHanging12a"/>
        <w:ind w:left="720" w:hanging="720"/>
      </w:pPr>
      <w:r w:rsidRPr="005D5EBC">
        <w:t>ΛΑ.</w:t>
      </w:r>
      <w:r w:rsidRPr="005D5EBC">
        <w:tab/>
        <w:t>λαμβάνοντας υπόψη ότι δεν απαιτείται καμία τροποποίηση της νομοθεσίας ώστε η Επιτροπή να είναι σε θέση να μην εγκρίνει ΓΤΟ όταν δεν υπάρχει ειδική πλειοψηφία κρατών μελών υπέρ της έγκρισης στην επιτροπή προσφυγών</w:t>
      </w:r>
      <w:r w:rsidRPr="005D5EBC">
        <w:rPr>
          <w:rStyle w:val="FootnoteReference"/>
          <w:rFonts w:eastAsiaTheme="minorHAnsi"/>
        </w:rPr>
        <w:footnoteReference w:id="28"/>
      </w:r>
      <w:r w:rsidRPr="005D5EBC">
        <w:t>·</w:t>
      </w:r>
    </w:p>
    <w:p w14:paraId="01782FAC" w14:textId="77777777" w:rsidR="00E05E0B" w:rsidRPr="005D5EBC" w:rsidRDefault="00E05E0B" w:rsidP="00E05E0B">
      <w:pPr>
        <w:pStyle w:val="NormalHanging12a"/>
        <w:ind w:left="720" w:hanging="720"/>
      </w:pPr>
      <w:r w:rsidRPr="005D5EBC">
        <w:t>ΛΒ.</w:t>
      </w:r>
      <w:r w:rsidRPr="005D5EBC">
        <w:tab/>
        <w:t xml:space="preserve">λαμβάνοντας υπόψη ότι η ψηφοφορία της 28ης Φεβρουαρίου 2025 στη μόνιμη επιτροπή φυτών, ζώων, τροφίμων και ζωοτροφών, που αναφέρεται στο άρθρο 35 του κανονισμού (ΕΚ) αριθ. 1829/2003, δεν οδήγησε σε έκδοση γνωμοδότησης, κάτι που σημαίνει ότι η αδειοδότηση δεν υποστηρίχθηκε από μια ειδική πλειοψηφία των κρατών μελών·  </w:t>
      </w:r>
    </w:p>
    <w:p w14:paraId="7AC9920D" w14:textId="77777777" w:rsidR="00E05E0B" w:rsidRPr="005D5EBC" w:rsidRDefault="00E05E0B" w:rsidP="00E05E0B">
      <w:pPr>
        <w:pStyle w:val="NormalHanging12a"/>
        <w:ind w:left="720" w:hanging="720"/>
      </w:pPr>
      <w:r w:rsidRPr="005D5EBC">
        <w:t>1.</w:t>
      </w:r>
      <w:r w:rsidRPr="005D5EBC">
        <w:tab/>
        <w:t>κρίνει ότι το σχέδιο εκτελεστικής απόφασης της Επιτροπής υπερβαίνει τις εκτελεστικές αρμοδιότητες που προβλέπει ο κανονισμός (ΕΚ) αριθ. 1829/2003·</w:t>
      </w:r>
    </w:p>
    <w:p w14:paraId="21F50240" w14:textId="77777777" w:rsidR="00E05E0B" w:rsidRPr="005D5EBC" w:rsidRDefault="00E05E0B" w:rsidP="00E05E0B">
      <w:pPr>
        <w:pStyle w:val="NormalHanging12a"/>
        <w:ind w:left="720" w:hanging="720"/>
      </w:pPr>
      <w:r w:rsidRPr="005D5EBC">
        <w:t>2.</w:t>
      </w:r>
      <w:r w:rsidRPr="005D5EBC">
        <w:tab/>
        <w:t>κρίνει ότι το σχέδιο εκτελεστικής απόφασης της Επιτροπής δεν είναι σύμφωνο με το δίκαιο της Ένωσης, υπό την έννοια ότι δεν συνάδει με τον σκοπό του κανονισμού (ΕΚ) αριθ. 1829/2003, ο οποίος είναι, σύμφωνα με τις γενικές αρχές που καθορίζονται στον κανονισμό (ΕΚ) αριθ. 178/2002 του Ευρωπαϊκού Κοινοβουλίου και του Συμβουλίου</w:t>
      </w:r>
      <w:r w:rsidRPr="005D5EBC">
        <w:rPr>
          <w:rStyle w:val="FootnoteReference"/>
          <w:rFonts w:eastAsiaTheme="minorHAnsi"/>
        </w:rPr>
        <w:footnoteReference w:id="29"/>
      </w:r>
      <w:r w:rsidRPr="005D5EBC">
        <w:t>, να προσφέρει τη βάση για τη διασφάλιση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ΓΤ τρόφιμα και ζωοτροφές, εξασφαλίζοντας παράλληλα την αποτελεσματική λειτουργία της εσωτερικής αγοράς·</w:t>
      </w:r>
    </w:p>
    <w:p w14:paraId="4F640420" w14:textId="77777777" w:rsidR="00E05E0B" w:rsidRPr="005D5EBC" w:rsidRDefault="00E05E0B" w:rsidP="00E05E0B">
      <w:pPr>
        <w:pStyle w:val="NormalHanging12a"/>
        <w:ind w:left="720" w:hanging="720"/>
      </w:pPr>
      <w:r w:rsidRPr="005D5EBC">
        <w:t>3.</w:t>
      </w:r>
      <w:r w:rsidRPr="005D5EBC">
        <w:tab/>
        <w:t>ζητεί από την Επιτροπή να αποσύρει το σχέδιο εκτελεστικής απόφασής της και να υποβάλει νέο σχέδιο στην επιτροπή·</w:t>
      </w:r>
    </w:p>
    <w:p w14:paraId="4AFF2647" w14:textId="77777777" w:rsidR="00E05E0B" w:rsidRPr="005D5EBC" w:rsidRDefault="00E05E0B" w:rsidP="00E05E0B">
      <w:pPr>
        <w:pStyle w:val="NormalHanging12a"/>
        <w:ind w:left="720" w:hanging="720"/>
      </w:pPr>
      <w:r w:rsidRPr="005D5EBC">
        <w:t>4.</w:t>
      </w:r>
      <w:r w:rsidRPr="005D5EBC">
        <w:tab/>
        <w:t>καλεί την Επιτροπή, σύμφωνα με την προσέγγιση «Μία υγεία», να μην εγκρίνει την εισαγωγή ΓΤ καλλιεργειών ανθεκτικών στα ζιζανιοκτόνα, καθώς θα οδηγούσε σε αυξημένη χρήση συμπληρωματικών ζιζανιοκτόνων και, συνακόλουθα, σε αυξημένο κίνδυνο για τη βιοποικιλότητα, την ασφάλεια των τροφίμων και την υγεία των εργαζομένων·</w:t>
      </w:r>
    </w:p>
    <w:p w14:paraId="396C45CA" w14:textId="77777777" w:rsidR="00E05E0B" w:rsidRPr="005D5EBC" w:rsidRDefault="00E05E0B" w:rsidP="00E05E0B">
      <w:pPr>
        <w:pStyle w:val="NormalHanging12a"/>
        <w:ind w:left="720" w:hanging="720"/>
      </w:pPr>
      <w:r w:rsidRPr="005D5EBC">
        <w:t>5.</w:t>
      </w:r>
      <w:r w:rsidRPr="005D5EBC">
        <w:tab/>
        <w:t>επισημαίνει, στο πλαίσιο αυτό, ότι η έγκριση της εισαγωγής για χρήση σε τρόφιμα ή ζωοτροφές οποιουδήποτε ΓΤ φυτού που έχει καταστεί ανθεκτικό σε ζιζανιοκτόνα δεν συνάδει με τις διεθνείς δεσμεύσεις της Ένωσης στο πλαίσιο, μεταξύ άλλων, των ΣΒΑ των Ηνωμένων Εθνών και της Σύμβασης των Ηνωμένων Εθνών για τη βιολογική ποικιλότητα, συμπεριλαμβανομένου του πρόσφατα εγκριθέντος πλαισίου Kunming-Montreal</w:t>
      </w:r>
      <w:r w:rsidRPr="005D5EBC">
        <w:rPr>
          <w:rStyle w:val="FootnoteReference"/>
          <w:rFonts w:eastAsiaTheme="minorHAnsi"/>
        </w:rPr>
        <w:footnoteReference w:id="30"/>
      </w:r>
      <w:r w:rsidRPr="005D5EBC">
        <w:t>·</w:t>
      </w:r>
    </w:p>
    <w:p w14:paraId="09BE219D" w14:textId="77777777" w:rsidR="00E05E0B" w:rsidRPr="005D5EBC" w:rsidRDefault="00E05E0B" w:rsidP="00E05E0B">
      <w:pPr>
        <w:pStyle w:val="NormalHanging12a"/>
        <w:ind w:left="720" w:hanging="720"/>
      </w:pPr>
      <w:r w:rsidRPr="005D5EBC">
        <w:t>6.</w:t>
      </w:r>
      <w:r w:rsidRPr="005D5EBC">
        <w:tab/>
        <w:t>αναμένει από την Επιτροπή να υλοποιήσει επειγόντως τη δέσμευσή της να υποβάλει πρόταση για να διασφαλιστεί ότι οι επικίνδυνες χημικές ουσίες που απαγορεύονται στην Ένωση δεν παράγονται για εξαγωγή, καθώς και τη δέσμευσή της να διασφαλίσει την αμοιβαιότητα μέσω της καλύτερης ευθυγράμμισης των προτύπων εγχώριας παραγωγής με εκείνα που εφαρμόζονται στις εισαγωγές, ιδίως για τα φυτοφάρμακα·</w:t>
      </w:r>
    </w:p>
    <w:p w14:paraId="5E1C4599" w14:textId="77777777" w:rsidR="00E05E0B" w:rsidRPr="005D5EBC" w:rsidRDefault="00E05E0B" w:rsidP="00E05E0B">
      <w:pPr>
        <w:pStyle w:val="NormalHanging12a"/>
        <w:ind w:left="720" w:hanging="720"/>
      </w:pPr>
      <w:r w:rsidRPr="005D5EBC">
        <w:t>7.</w:t>
      </w:r>
      <w:r w:rsidRPr="005D5EBC">
        <w:tab/>
        <w:t>καλεί την Επιτροπή να διασφαλίσει τη σύγκλιση των προτύπων μεταξύ της Ένωσης και των εταίρων της στις διαπραγματεύσεις για συμφωνίες ελεύθερων συναλλαγών, προκειμένου να πληρούνται τα πρότυπα ασφάλειας της Ένωσης·</w:t>
      </w:r>
    </w:p>
    <w:p w14:paraId="7DA6D5F2" w14:textId="77777777" w:rsidR="00E05E0B" w:rsidRPr="005D5EBC" w:rsidRDefault="00E05E0B" w:rsidP="00E05E0B">
      <w:pPr>
        <w:pStyle w:val="NormalHanging12a"/>
        <w:ind w:left="720" w:hanging="720"/>
      </w:pPr>
      <w:r w:rsidRPr="005D5EBC">
        <w:t xml:space="preserve">8. </w:t>
      </w:r>
      <w:r w:rsidRPr="005D5EBC">
        <w:tab/>
        <w:t>επικροτεί την Επιτροπή διότι αναγνώρισε εν τέλει, σε επιστολή της με ημερομηνία 11 Σεπτεμβρίου 2020 προς τους βουλευτές, την ανάγκη να λαμβάνεται υπόψη η βιωσιμότητα κατά τη λήψη αποφάσεων για την έγκριση ΓΤΟ</w:t>
      </w:r>
      <w:r w:rsidRPr="005D5EBC">
        <w:rPr>
          <w:rStyle w:val="FootnoteReference"/>
          <w:rFonts w:eastAsiaTheme="minorHAnsi"/>
        </w:rPr>
        <w:footnoteReference w:id="31"/>
      </w:r>
      <w:r w:rsidRPr="005D5EBC">
        <w:t>· εκφράζει, ωστόσο, βαθύτατη απογοήτευση καθώς έκτοτε η Επιτροπή συνεχίζει να εγκρίνει ΓΤΟ για εισαγωγή στην Ένωση, παρά τις επανειλημμένες αντιρρήσεις του Κοινοβουλίου και το γεγονός ότι η πλειοψηφία των κρατών μελών ψηφίζει απορριπτικά·</w:t>
      </w:r>
    </w:p>
    <w:p w14:paraId="046A9D2E" w14:textId="77777777" w:rsidR="00E05E0B" w:rsidRPr="005D5EBC" w:rsidRDefault="00E05E0B" w:rsidP="00E05E0B">
      <w:pPr>
        <w:pStyle w:val="NormalHanging12a"/>
        <w:ind w:left="720" w:hanging="720"/>
      </w:pPr>
      <w:r w:rsidRPr="005D5EBC">
        <w:t>9.</w:t>
      </w:r>
      <w:r w:rsidRPr="005D5EBC">
        <w:tab/>
        <w:t>καλεί, για ακόμη μια φορά, την Επιτροπή να λάβει υπόψη τις υποχρεώσεις της Ένωσης στο πλαίσιο διεθνών συμφωνιών, όπως η συμφωνία του Παρισιού για το κλίμα, η ΣΒΠ και οι ΣΒΑ του ΟΗΕ· επαναλαμβάνει την έκκλησή του να συνοδεύονται τα σχέδια εκτελεστικών πράξεων από αιτιολογική έκθεση στην οποία να εξηγείται πώς συμμορφώνονται με την αρχή του μη βλάπτειν</w:t>
      </w:r>
      <w:r w:rsidRPr="005D5EBC">
        <w:rPr>
          <w:rStyle w:val="FootnoteReference"/>
          <w:rFonts w:eastAsiaTheme="minorHAnsi"/>
        </w:rPr>
        <w:footnoteReference w:id="32"/>
      </w:r>
      <w:r w:rsidRPr="005D5EBC">
        <w:t xml:space="preserve">· </w:t>
      </w:r>
    </w:p>
    <w:p w14:paraId="091C8F5C" w14:textId="77777777" w:rsidR="00045808" w:rsidRPr="005D5EBC" w:rsidRDefault="00E05E0B" w:rsidP="00045808">
      <w:pPr>
        <w:widowControl/>
        <w:ind w:left="720" w:hanging="720"/>
      </w:pPr>
      <w:r w:rsidRPr="005D5EBC">
        <w:t>10.</w:t>
      </w:r>
      <w:r w:rsidRPr="005D5EBC">
        <w:tab/>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14:paraId="27B45EE4" w14:textId="77777777" w:rsidR="00E365E1" w:rsidRPr="005D5EBC" w:rsidRDefault="00E365E1" w:rsidP="00A76780"/>
    <w:sectPr w:rsidR="00E365E1" w:rsidRPr="005D5EBC" w:rsidSect="0004580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64755" w14:textId="77777777" w:rsidR="00A76780" w:rsidRPr="00045808" w:rsidRDefault="00A76780">
      <w:r w:rsidRPr="00045808">
        <w:separator/>
      </w:r>
    </w:p>
  </w:endnote>
  <w:endnote w:type="continuationSeparator" w:id="0">
    <w:p w14:paraId="7EF955EE" w14:textId="77777777" w:rsidR="00A76780" w:rsidRPr="00045808" w:rsidRDefault="00A76780">
      <w:r w:rsidRPr="000458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B4B53" w14:textId="77777777" w:rsidR="00064002" w:rsidRPr="0004580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BF80A" w14:textId="77777777" w:rsidR="00064002" w:rsidRPr="0004580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FD35A" w14:textId="77777777" w:rsidR="00064002" w:rsidRPr="000458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A3AC9" w14:textId="77777777" w:rsidR="00A76780" w:rsidRPr="00045808" w:rsidRDefault="00A76780">
      <w:r w:rsidRPr="00045808">
        <w:separator/>
      </w:r>
    </w:p>
  </w:footnote>
  <w:footnote w:type="continuationSeparator" w:id="0">
    <w:p w14:paraId="5CBADC89" w14:textId="77777777" w:rsidR="00A76780" w:rsidRPr="00045808" w:rsidRDefault="00A76780">
      <w:r w:rsidRPr="00045808">
        <w:continuationSeparator/>
      </w:r>
    </w:p>
  </w:footnote>
  <w:footnote w:id="1">
    <w:p w14:paraId="630C6434" w14:textId="77777777" w:rsidR="00E05E0B" w:rsidRPr="00045808" w:rsidRDefault="00E05E0B" w:rsidP="00045808">
      <w:pPr>
        <w:pStyle w:val="FootnoteText"/>
        <w:ind w:left="567" w:hanging="567"/>
        <w:rPr>
          <w:sz w:val="24"/>
          <w:lang w:val="el-GR"/>
        </w:rPr>
      </w:pPr>
      <w:r w:rsidRPr="00045808">
        <w:rPr>
          <w:rStyle w:val="FootnoteReference"/>
          <w:rFonts w:eastAsiaTheme="minorHAnsi"/>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 xml:space="preserve">ΕΕ L 268 της 18.10.2003, σ. 1, ELI: </w:t>
      </w:r>
      <w:hyperlink r:id="rId1" w:history="1">
        <w:r w:rsidRPr="00045808">
          <w:rPr>
            <w:rStyle w:val="Hyperlink"/>
            <w:sz w:val="24"/>
            <w:lang w:val="el-GR"/>
          </w:rPr>
          <w:t>http://data.europa.eu/eli/reg/2003/1829/oj</w:t>
        </w:r>
      </w:hyperlink>
      <w:r w:rsidRPr="00045808">
        <w:rPr>
          <w:rStyle w:val="Hyperlink"/>
          <w:color w:val="000000" w:themeColor="text1"/>
          <w:sz w:val="24"/>
          <w:lang w:val="el-GR"/>
        </w:rPr>
        <w:t>.</w:t>
      </w:r>
    </w:p>
  </w:footnote>
  <w:footnote w:id="2">
    <w:p w14:paraId="6D6CF8E1" w14:textId="77777777" w:rsidR="00E05E0B" w:rsidRPr="00045808" w:rsidRDefault="00E05E0B" w:rsidP="00045808">
      <w:pPr>
        <w:pStyle w:val="FootnoteText"/>
        <w:ind w:left="567" w:hanging="567"/>
        <w:rPr>
          <w:sz w:val="24"/>
          <w:lang w:val="el-GR"/>
        </w:rPr>
      </w:pPr>
      <w:r w:rsidRPr="00045808">
        <w:rPr>
          <w:rStyle w:val="FootnoteReference"/>
          <w:rFonts w:eastAsiaTheme="minorHAnsi"/>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ΕΕ L 55 της 28.2.2011, σ. 13, ELI</w:t>
      </w:r>
      <w:r w:rsidRPr="00045808">
        <w:rPr>
          <w:rStyle w:val="Hyperlink"/>
          <w:sz w:val="24"/>
          <w:lang w:val="el-GR"/>
        </w:rPr>
        <w:t xml:space="preserve">: </w:t>
      </w:r>
      <w:hyperlink r:id="rId2" w:history="1">
        <w:r w:rsidRPr="00045808">
          <w:rPr>
            <w:rStyle w:val="Hyperlink"/>
            <w:sz w:val="24"/>
            <w:lang w:val="el-GR"/>
          </w:rPr>
          <w:t>http://data.europa.eu/eli/reg/2011/182/oj</w:t>
        </w:r>
      </w:hyperlink>
      <w:r w:rsidRPr="00045808">
        <w:rPr>
          <w:rStyle w:val="Hyperlink"/>
          <w:sz w:val="24"/>
          <w:lang w:val="el-GR"/>
        </w:rPr>
        <w:t>.</w:t>
      </w:r>
    </w:p>
  </w:footnote>
  <w:footnote w:id="3">
    <w:p w14:paraId="0894AF5A" w14:textId="77777777" w:rsidR="00E05E0B" w:rsidRPr="00045808" w:rsidRDefault="00E05E0B" w:rsidP="00045808">
      <w:pPr>
        <w:pStyle w:val="FootnoteText"/>
        <w:ind w:left="567" w:hanging="567"/>
        <w:rPr>
          <w:color w:val="000000" w:themeColor="text1"/>
          <w:sz w:val="24"/>
          <w:lang w:val="el-GR"/>
        </w:rPr>
      </w:pPr>
      <w:r w:rsidRPr="00045808">
        <w:rPr>
          <w:rStyle w:val="FootnoteReference"/>
          <w:rFonts w:eastAsiaTheme="minorHAnsi"/>
          <w:color w:val="000000" w:themeColor="text1"/>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 xml:space="preserve">Επιστημονική γνώμη της ομάδας της EFSA για τους γενετικώς τροποποιημένους οργανισμούς σχετικά με την αξιολόγηση της γενετικώς τροποποιημένης σόγιας της σειράς MON 87705 × MON 87708 × MON 89788, για χρήση σε τρόφιμα και ζωοτροφές βάσει του </w:t>
      </w:r>
      <w:r w:rsidRPr="00CB2EFD">
        <w:rPr>
          <w:sz w:val="24"/>
          <w:lang w:val="el-GR"/>
        </w:rPr>
        <w:t>κανονισμού (ΕΚ) αριθ. 1829/2003</w:t>
      </w:r>
      <w:r w:rsidRPr="00045808">
        <w:rPr>
          <w:sz w:val="24"/>
          <w:lang w:val="el-GR"/>
        </w:rPr>
        <w:t xml:space="preserve"> (αίτηση EFSA-GMO-NL-2015-126), </w:t>
      </w:r>
      <w:r w:rsidR="00A61904">
        <w:rPr>
          <w:sz w:val="24"/>
          <w:lang w:val="el-GR"/>
        </w:rPr>
        <w:t>π</w:t>
      </w:r>
      <w:r w:rsidRPr="00045808">
        <w:rPr>
          <w:sz w:val="24"/>
          <w:lang w:val="el-GR"/>
        </w:rPr>
        <w:t xml:space="preserve">εριοδική έκδοση EFSA 2020 18(5):e06111, </w:t>
      </w:r>
      <w:hyperlink r:id="rId3" w:history="1">
        <w:r w:rsidRPr="00045808">
          <w:rPr>
            <w:rStyle w:val="Hyperlink"/>
            <w:sz w:val="24"/>
            <w:lang w:val="el-GR"/>
          </w:rPr>
          <w:t>https://doi.org/10.2903/j.efsa.2020.6111</w:t>
        </w:r>
      </w:hyperlink>
      <w:r w:rsidRPr="00045808">
        <w:rPr>
          <w:rStyle w:val="Hyperlink"/>
          <w:sz w:val="24"/>
          <w:lang w:val="el-GR"/>
        </w:rPr>
        <w:t>.</w:t>
      </w:r>
    </w:p>
  </w:footnote>
  <w:footnote w:id="4">
    <w:p w14:paraId="4B17BA7B" w14:textId="77777777" w:rsidR="00E05E0B" w:rsidRPr="00045808" w:rsidRDefault="00E05E0B" w:rsidP="00045808">
      <w:pPr>
        <w:pStyle w:val="FootnoteText"/>
        <w:ind w:left="567" w:hanging="567"/>
        <w:rPr>
          <w:color w:val="000000" w:themeColor="text1"/>
          <w:sz w:val="24"/>
          <w:vertAlign w:val="superscript"/>
          <w:lang w:val="el-GR"/>
        </w:rPr>
      </w:pPr>
      <w:r w:rsidRPr="00045808">
        <w:rPr>
          <w:rStyle w:val="FootnoteReference"/>
          <w:rFonts w:eastAsiaTheme="minorHAnsi"/>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Κατά την όγδοη κοινοβουλευτική περίοδο, το Κοινοβούλιο ενέκρινε 36 ψηφίσματα και, κατά την ένατη κοινοβουλευτική του περίοδο, το Κοινοβούλιο ενέκρινε 38 ψηφίσματα που αντιτίθενται στην έγκριση ΓΤΟ.</w:t>
      </w:r>
      <w:r w:rsidRPr="00045808">
        <w:rPr>
          <w:color w:val="000000" w:themeColor="text1"/>
          <w:sz w:val="24"/>
          <w:lang w:val="el-GR"/>
        </w:rPr>
        <w:t xml:space="preserve"> Επιπλέον, κατά την ένατη κοινοβουλευτική του περίοδο, το Κοινοβούλιο ενέκρινε τα ακόλουθα ψηφίσματα:</w:t>
      </w:r>
    </w:p>
    <w:p w14:paraId="6859CFA8" w14:textId="77777777" w:rsidR="00E05E0B" w:rsidRPr="00045808" w:rsidRDefault="00E05E0B" w:rsidP="005D5EBC">
      <w:pPr>
        <w:pStyle w:val="FootnoteText"/>
        <w:ind w:left="1134" w:hanging="567"/>
        <w:rPr>
          <w:color w:val="000000" w:themeColor="text1"/>
          <w:sz w:val="24"/>
          <w:vertAlign w:val="superscript"/>
          <w:lang w:val="el-GR"/>
        </w:rPr>
      </w:pPr>
      <w:r w:rsidRPr="00045808">
        <w:rPr>
          <w:color w:val="000000" w:themeColor="text1"/>
          <w:sz w:val="24"/>
          <w:lang w:val="el-GR"/>
        </w:rPr>
        <w:t>–</w:t>
      </w:r>
      <w:r w:rsidRPr="00045808">
        <w:rPr>
          <w:color w:val="000000" w:themeColor="text1"/>
          <w:sz w:val="24"/>
          <w:lang w:val="el-GR"/>
        </w:rPr>
        <w:tab/>
        <w:t xml:space="preserve">Ψήφισμα του Ευρωπαϊκού Κοινοβουλίου της 26ης Νοεμβρίου 2024 σχετικά με την εκτελεστική απόφαση (ΕΕ) 2024/2628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NK603 σύμφωνα με τον κανονισμό (ΕΚ) αριθ. 1829/2003 του Ευρωπαϊκού Κοινοβουλίου και του Συμβουλίου  (ΕΕ C, C/2025/1797, 4.4.2025, ELI: </w:t>
      </w:r>
      <w:hyperlink r:id="rId4" w:history="1">
        <w:r w:rsidRPr="00045808">
          <w:rPr>
            <w:rStyle w:val="Hyperlink"/>
            <w:sz w:val="24"/>
            <w:lang w:val="el-GR"/>
          </w:rPr>
          <w:t>http://data.europa.eu/eli/C/2025/1797/oj</w:t>
        </w:r>
      </w:hyperlink>
      <w:r w:rsidRPr="00045808">
        <w:rPr>
          <w:color w:val="000000" w:themeColor="text1"/>
          <w:sz w:val="24"/>
          <w:lang w:val="el-GR"/>
        </w:rPr>
        <w:t>).</w:t>
      </w:r>
    </w:p>
    <w:p w14:paraId="58804B1A" w14:textId="77777777" w:rsidR="00E05E0B" w:rsidRPr="00045808" w:rsidRDefault="00E05E0B" w:rsidP="005D5EBC">
      <w:pPr>
        <w:pStyle w:val="FootnoteText"/>
        <w:ind w:left="1134" w:hanging="567"/>
        <w:rPr>
          <w:color w:val="000000" w:themeColor="text1"/>
          <w:sz w:val="24"/>
          <w:vertAlign w:val="superscript"/>
          <w:lang w:val="el-GR"/>
        </w:rPr>
      </w:pPr>
      <w:r w:rsidRPr="00045808">
        <w:rPr>
          <w:color w:val="000000" w:themeColor="text1"/>
          <w:sz w:val="24"/>
          <w:lang w:val="el-GR"/>
        </w:rPr>
        <w:t>–</w:t>
      </w:r>
      <w:r w:rsidRPr="00045808">
        <w:rPr>
          <w:color w:val="000000" w:themeColor="text1"/>
          <w:sz w:val="24"/>
          <w:lang w:val="el-GR"/>
        </w:rPr>
        <w:tab/>
        <w:t xml:space="preserve">Ψήφισμα του Ευρωπαϊκού Κοινοβουλίου της 26ης Νοεμβρίου 2024 σχετικά με την εκτελεστική απόφαση (ΕΕ) 2024/2627 της Επιτροπής για την έγκριση της διάθεσης στην αγορά προϊόντων που περιέχουν, αποτελούνται ή παράγονται από γενετικώς τροποποιημένο βαμβάκι COT102, σύμφωνα με τον κανονισμό (ΕΚ) αριθ. 1829/2003 του Ευρωπαϊκού Κοινοβουλίου και του Συμβουλίου (ΕΕ C, C/2025/1798, 4.4.2025, ELI: </w:t>
      </w:r>
      <w:hyperlink r:id="rId5" w:history="1">
        <w:r w:rsidRPr="00045808">
          <w:rPr>
            <w:rStyle w:val="Hyperlink"/>
            <w:sz w:val="24"/>
            <w:lang w:val="el-GR"/>
          </w:rPr>
          <w:t>http://data.europa.eu/eli/C/2025/1798/oj</w:t>
        </w:r>
      </w:hyperlink>
      <w:r w:rsidRPr="00045808">
        <w:rPr>
          <w:color w:val="000000" w:themeColor="text1"/>
          <w:sz w:val="24"/>
          <w:lang w:val="el-GR"/>
        </w:rPr>
        <w:t>).</w:t>
      </w:r>
    </w:p>
    <w:p w14:paraId="4CCE13F0" w14:textId="77777777" w:rsidR="00E05E0B" w:rsidRPr="00045808" w:rsidRDefault="00E05E0B" w:rsidP="005D5EBC">
      <w:pPr>
        <w:pStyle w:val="FootnoteText"/>
        <w:ind w:left="1134" w:hanging="567"/>
        <w:rPr>
          <w:color w:val="000000" w:themeColor="text1"/>
          <w:sz w:val="24"/>
          <w:vertAlign w:val="superscript"/>
          <w:lang w:val="el-GR"/>
        </w:rPr>
      </w:pPr>
      <w:r w:rsidRPr="00045808">
        <w:rPr>
          <w:color w:val="000000" w:themeColor="text1"/>
          <w:sz w:val="24"/>
          <w:lang w:val="el-GR"/>
        </w:rPr>
        <w:t>–</w:t>
      </w:r>
      <w:r w:rsidRPr="00045808">
        <w:rPr>
          <w:color w:val="000000" w:themeColor="text1"/>
          <w:sz w:val="24"/>
          <w:lang w:val="el-GR"/>
        </w:rPr>
        <w:tab/>
        <w:t xml:space="preserve">Ψήφισμα του Ευρωπαϊκού Κοινοβουλίου της 26ης Νοεμβρίου 2024 σχετικά με την εκτελεστική απόφαση (ΕΕ) 2024/2629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MON 88017 × 59122 και από οκτώ από τους επιμέρους συνδυασμούς του σύμφωνα με τον κανονισμό (ΕΚ) αριθ. 1829/2003 του Ευρωπαϊκού Κοινοβουλίου και του Συμβουλίου (ΕΕ C, C/2025/1799, 4.4.2025, ELI: </w:t>
      </w:r>
      <w:hyperlink r:id="rId6" w:history="1">
        <w:r w:rsidRPr="00045808">
          <w:rPr>
            <w:rStyle w:val="Hyperlink"/>
            <w:sz w:val="24"/>
            <w:lang w:val="el-GR"/>
          </w:rPr>
          <w:t>http://data.europa.eu/eli/C/2025/1799/oj</w:t>
        </w:r>
      </w:hyperlink>
      <w:r w:rsidRPr="00045808">
        <w:rPr>
          <w:color w:val="000000" w:themeColor="text1"/>
          <w:sz w:val="24"/>
          <w:lang w:val="el-GR"/>
        </w:rPr>
        <w:t>).</w:t>
      </w:r>
    </w:p>
    <w:p w14:paraId="18DFC2D2" w14:textId="77777777" w:rsidR="00E05E0B" w:rsidRPr="00045808" w:rsidRDefault="00E05E0B" w:rsidP="005D5EBC">
      <w:pPr>
        <w:pStyle w:val="FootnoteText"/>
        <w:ind w:left="1134" w:hanging="567"/>
        <w:rPr>
          <w:color w:val="000000" w:themeColor="text1"/>
          <w:sz w:val="24"/>
          <w:vertAlign w:val="superscript"/>
          <w:lang w:val="el-GR"/>
        </w:rPr>
      </w:pPr>
      <w:r w:rsidRPr="00045808">
        <w:rPr>
          <w:color w:val="000000" w:themeColor="text1"/>
          <w:sz w:val="24"/>
          <w:lang w:val="el-GR"/>
        </w:rPr>
        <w:t>–</w:t>
      </w:r>
      <w:r w:rsidRPr="00045808">
        <w:rPr>
          <w:color w:val="000000" w:themeColor="text1"/>
          <w:sz w:val="24"/>
          <w:lang w:val="el-GR"/>
        </w:rPr>
        <w:tab/>
        <w:t xml:space="preserve">Ψήφισμα του Ευρωπαϊκού Κοινοβουλίου της 26ης Νοεμβρίου 2024 σχετικά με την εκτελεστική απόφαση (ΕΕ) 2024/1828 της Επιτροπής για την ανανέωση της έγκρισης της διάθεσης στην αγορά ζωοτροφών που περιέχουν γενετικώς τροποποιημένο αραβόσιτο MON 810 ή αποτελούνται από αυτόν και τροφίμων και ζωοτροφών που παράγονται από γενετικώς τροποποιημένο αραβόσιτο MON 810, σύμφωνα με τον κανονισμό (ΕΚ) αριθ. 1829/2003 του Ευρωπαϊκού Κοινοβουλίου και του Συμβουλίου, και για την κατάργηση της εκτελεστικής απόφασης (ΕΕ) 2017/1207 της Επιτροπής (ΕΕ C, C/2025/1800, 4.4.2025, ELI: </w:t>
      </w:r>
      <w:hyperlink r:id="rId7" w:history="1">
        <w:r w:rsidRPr="00045808">
          <w:rPr>
            <w:rStyle w:val="Hyperlink"/>
            <w:sz w:val="24"/>
            <w:lang w:val="el-GR"/>
          </w:rPr>
          <w:t>http://data.europa.eu/eli/C/2025/1800/oj</w:t>
        </w:r>
      </w:hyperlink>
      <w:r w:rsidRPr="00045808">
        <w:rPr>
          <w:color w:val="000000" w:themeColor="text1"/>
          <w:sz w:val="24"/>
          <w:lang w:val="el-GR"/>
        </w:rPr>
        <w:t>).</w:t>
      </w:r>
    </w:p>
    <w:p w14:paraId="5B41A397" w14:textId="77777777" w:rsidR="00E05E0B" w:rsidRPr="00045808" w:rsidRDefault="00E05E0B" w:rsidP="005D5EBC">
      <w:pPr>
        <w:pStyle w:val="FootnoteText"/>
        <w:ind w:left="1134" w:hanging="567"/>
        <w:rPr>
          <w:color w:val="000000" w:themeColor="text1"/>
          <w:sz w:val="24"/>
          <w:vertAlign w:val="superscript"/>
          <w:lang w:val="el-GR"/>
        </w:rPr>
      </w:pPr>
      <w:r w:rsidRPr="00045808">
        <w:rPr>
          <w:color w:val="000000" w:themeColor="text1"/>
          <w:sz w:val="24"/>
          <w:lang w:val="el-GR"/>
        </w:rPr>
        <w:t>–</w:t>
      </w:r>
      <w:r w:rsidRPr="00045808">
        <w:rPr>
          <w:color w:val="000000" w:themeColor="text1"/>
          <w:sz w:val="24"/>
          <w:lang w:val="el-GR"/>
        </w:rPr>
        <w:tab/>
        <w:t xml:space="preserve">Ψήφισμα του Ευρωπαϊκού Κοινοβουλίου της 26ης Νοεμβρίου 2024 σχετικά με την εκτελεστική απόφαση (ΕΕ) 2024/1822 της Επιτροπής για την έγκριση της διάθεσης στην αγορά προϊόντων που περιέχουν, αποτελούνται ή παράγονται από γενετικώς τροποποιημένο αραβόσιτο DP915635, σύμφωνα με τον κανονισμό (ΕΚ) αριθ. 1829/2003 του Ευρωπαϊκού Κοινοβουλίου και του Συμβουλίου (ΕΕ C, C/2025/1801, 4.4.2025, ELI: </w:t>
      </w:r>
      <w:hyperlink r:id="rId8" w:history="1">
        <w:r w:rsidRPr="00045808">
          <w:rPr>
            <w:rStyle w:val="Hyperlink"/>
            <w:sz w:val="24"/>
            <w:lang w:val="el-GR"/>
          </w:rPr>
          <w:t>http://data.europa.eu/eli/C/2025/1801/oj</w:t>
        </w:r>
      </w:hyperlink>
      <w:r w:rsidRPr="00045808">
        <w:rPr>
          <w:color w:val="000000" w:themeColor="text1"/>
          <w:sz w:val="24"/>
          <w:lang w:val="el-GR"/>
        </w:rPr>
        <w:t>).</w:t>
      </w:r>
    </w:p>
    <w:p w14:paraId="002DC5A1" w14:textId="77777777" w:rsidR="00E05E0B" w:rsidRPr="00045808" w:rsidRDefault="00E05E0B" w:rsidP="005D5EBC">
      <w:pPr>
        <w:pStyle w:val="FootnoteText"/>
        <w:ind w:left="1134" w:hanging="567"/>
        <w:rPr>
          <w:color w:val="000000" w:themeColor="text1"/>
          <w:sz w:val="24"/>
          <w:vertAlign w:val="superscript"/>
          <w:lang w:val="el-GR"/>
        </w:rPr>
      </w:pPr>
      <w:r w:rsidRPr="00045808">
        <w:rPr>
          <w:color w:val="000000" w:themeColor="text1"/>
          <w:sz w:val="24"/>
          <w:lang w:val="el-GR"/>
        </w:rPr>
        <w:t>–</w:t>
      </w:r>
      <w:r w:rsidRPr="00045808">
        <w:rPr>
          <w:color w:val="000000" w:themeColor="text1"/>
          <w:sz w:val="24"/>
          <w:lang w:val="el-GR"/>
        </w:rPr>
        <w:tab/>
        <w:t xml:space="preserve">Ψήφισμα του Ευρωπαϊκού Κοινοβουλίου της 26ης Νοεμβρίου 2024 σχετικά με την εκτελεστική απόφαση (ΕΕ) 2024/1826 της Επιτροπής για την έγκριση της διάθεσης στην αγορά προϊόντων που περιέχουν, αποτελούνται ή παράγονται από γενετικώς τροποποιημένο αραβόσιτο DP23211, σύμφωνα με τον κανονισμό (ΕΚ) αριθ. 1829/2003 του Ευρωπαϊκού Κοινοβουλίου και του Συμβουλίου (ΕΕ C, C/2025/1802, 4.4.2025, ELI: </w:t>
      </w:r>
      <w:hyperlink r:id="rId9" w:history="1">
        <w:r w:rsidRPr="00045808">
          <w:rPr>
            <w:rStyle w:val="Hyperlink"/>
            <w:sz w:val="24"/>
            <w:lang w:val="el-GR"/>
          </w:rPr>
          <w:t>http://data.europa.eu/eli/C/2025/1802/oj</w:t>
        </w:r>
      </w:hyperlink>
      <w:r w:rsidRPr="00045808">
        <w:rPr>
          <w:color w:val="000000" w:themeColor="text1"/>
          <w:sz w:val="24"/>
          <w:lang w:val="el-GR"/>
        </w:rPr>
        <w:t>).</w:t>
      </w:r>
    </w:p>
    <w:p w14:paraId="770368EF" w14:textId="77777777" w:rsidR="00E05E0B" w:rsidRPr="00045808" w:rsidRDefault="00E05E0B" w:rsidP="005D5EBC">
      <w:pPr>
        <w:pStyle w:val="FootnoteText"/>
        <w:ind w:left="1134" w:hanging="567"/>
        <w:rPr>
          <w:color w:val="000000" w:themeColor="text1"/>
          <w:sz w:val="24"/>
          <w:vertAlign w:val="superscript"/>
          <w:lang w:val="el-GR"/>
        </w:rPr>
      </w:pPr>
      <w:r w:rsidRPr="00045808">
        <w:rPr>
          <w:color w:val="000000" w:themeColor="text1"/>
          <w:sz w:val="24"/>
          <w:lang w:val="el-GR"/>
        </w:rPr>
        <w:t>–</w:t>
      </w:r>
      <w:r w:rsidRPr="00045808">
        <w:rPr>
          <w:color w:val="000000" w:themeColor="text1"/>
          <w:sz w:val="24"/>
          <w:lang w:val="el-GR"/>
        </w:rPr>
        <w:tab/>
        <w:t xml:space="preserve">Ψήφισμα του Ευρωπαϊκού Κοινοβουλίου της 26ης Νοεμβρίου 2024 σχετικά με την εκτελεστική απόφαση (ΕΕ) 2024/2618 της Επιτροπής για την έγκριση της διάθεσης στην αγορά προϊόντων που περιέχουν, αποτελούνται ή παράγονται από γενετικώς τροποποιημένο αραβόσιτο DP202216, σύμφωνα με τον κανονισμό (ΕΚ) αριθ. 1829/2003 του Ευρωπαϊκού Κοινοβουλίου και του Συμβουλίου (ΕΕ C, C/2025/1803, 4.4.2025, ELI: </w:t>
      </w:r>
      <w:hyperlink r:id="rId10" w:history="1">
        <w:r w:rsidRPr="00045808">
          <w:rPr>
            <w:rStyle w:val="Hyperlink"/>
            <w:sz w:val="24"/>
            <w:lang w:val="el-GR"/>
          </w:rPr>
          <w:t>http://data.europa.eu/eli/C/2025/1803/oj</w:t>
        </w:r>
      </w:hyperlink>
      <w:r w:rsidRPr="00045808">
        <w:rPr>
          <w:color w:val="000000" w:themeColor="text1"/>
          <w:sz w:val="24"/>
          <w:lang w:val="el-GR"/>
        </w:rPr>
        <w:t>).</w:t>
      </w:r>
    </w:p>
    <w:p w14:paraId="58DD828C" w14:textId="77777777" w:rsidR="00E05E0B" w:rsidRPr="00045808" w:rsidRDefault="00E05E0B" w:rsidP="005D5EBC">
      <w:pPr>
        <w:pStyle w:val="FootnoteText"/>
        <w:ind w:left="1134" w:hanging="567"/>
        <w:rPr>
          <w:color w:val="000000" w:themeColor="text1"/>
          <w:sz w:val="24"/>
          <w:vertAlign w:val="superscript"/>
          <w:lang w:val="el-GR"/>
        </w:rPr>
      </w:pPr>
      <w:r w:rsidRPr="00045808">
        <w:rPr>
          <w:color w:val="000000" w:themeColor="text1"/>
          <w:sz w:val="24"/>
          <w:lang w:val="el-GR"/>
        </w:rPr>
        <w:t>–</w:t>
      </w:r>
      <w:r w:rsidRPr="00045808">
        <w:rPr>
          <w:color w:val="000000" w:themeColor="text1"/>
          <w:sz w:val="24"/>
          <w:lang w:val="el-GR"/>
        </w:rPr>
        <w:tab/>
        <w:t xml:space="preserve">Ψήφισμα του Ευρωπαϊκού Κοινοβουλίου της 26ης Νοεμβρίου 2024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94804, σύμφωνα με τον κανονισμό (ΕΚ) αριθ. 1829/2003 του Ευρωπαϊκού Κοινοβουλίου και του Συμβουλίου (ΕΕ C, C/2025/1804, 4.4.2025, ELI: </w:t>
      </w:r>
      <w:hyperlink r:id="rId11" w:history="1">
        <w:r w:rsidRPr="00045808">
          <w:rPr>
            <w:rStyle w:val="Hyperlink"/>
            <w:sz w:val="24"/>
            <w:lang w:val="el-GR"/>
          </w:rPr>
          <w:t>http://data.europa.eu/eli/C/2025/1804/oj</w:t>
        </w:r>
      </w:hyperlink>
      <w:r w:rsidRPr="00045808">
        <w:rPr>
          <w:color w:val="000000" w:themeColor="text1"/>
          <w:sz w:val="24"/>
          <w:lang w:val="el-GR"/>
        </w:rPr>
        <w:t>).</w:t>
      </w:r>
    </w:p>
    <w:p w14:paraId="44E62879" w14:textId="77777777" w:rsidR="00E05E0B" w:rsidRPr="00045808" w:rsidRDefault="00E05E0B" w:rsidP="005D5EBC">
      <w:pPr>
        <w:pStyle w:val="FootnoteText"/>
        <w:ind w:left="1134" w:hanging="567"/>
        <w:rPr>
          <w:sz w:val="24"/>
          <w:vertAlign w:val="superscript"/>
          <w:lang w:val="el-GR"/>
        </w:rPr>
      </w:pPr>
      <w:r w:rsidRPr="00045808">
        <w:rPr>
          <w:color w:val="000000" w:themeColor="text1"/>
          <w:sz w:val="24"/>
          <w:lang w:val="el-GR"/>
        </w:rPr>
        <w:t>–</w:t>
      </w:r>
      <w:r w:rsidRPr="00045808">
        <w:rPr>
          <w:color w:val="000000" w:themeColor="text1"/>
          <w:sz w:val="24"/>
          <w:lang w:val="el-GR"/>
        </w:rPr>
        <w:tab/>
      </w:r>
      <w:r w:rsidRPr="00045808">
        <w:rPr>
          <w:sz w:val="24"/>
          <w:lang w:val="el-GR"/>
        </w:rPr>
        <w:t>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DP910521, σύμφωνα με τον κανονισμό (ΕΚ) αριθ. 1829/2003 του Ευρωπαϊκού Κοινοβουλίου και του Συμβουλίου (</w:t>
      </w:r>
      <w:r w:rsidRPr="00045808">
        <w:rPr>
          <w:color w:val="000000" w:themeColor="text1"/>
          <w:sz w:val="24"/>
          <w:lang w:val="el-GR"/>
        </w:rPr>
        <w:t>P10_TA(2025)0014</w:t>
      </w:r>
      <w:r w:rsidRPr="00045808">
        <w:rPr>
          <w:sz w:val="24"/>
          <w:lang w:val="el-GR"/>
        </w:rPr>
        <w:t>).</w:t>
      </w:r>
    </w:p>
    <w:p w14:paraId="4CAB8E36" w14:textId="77777777" w:rsidR="00E05E0B" w:rsidRPr="00045808" w:rsidRDefault="00E05E0B" w:rsidP="005D5EBC">
      <w:pPr>
        <w:pStyle w:val="FootnoteText"/>
        <w:ind w:left="1134" w:hanging="567"/>
        <w:rPr>
          <w:sz w:val="24"/>
          <w:lang w:val="el-GR"/>
        </w:rPr>
      </w:pPr>
      <w:r w:rsidRPr="00045808">
        <w:rPr>
          <w:color w:val="000000" w:themeColor="text1"/>
          <w:sz w:val="24"/>
          <w:lang w:val="el-GR"/>
        </w:rPr>
        <w:t>–</w:t>
      </w:r>
      <w:r w:rsidRPr="00045808">
        <w:rPr>
          <w:color w:val="000000" w:themeColor="text1"/>
          <w:sz w:val="24"/>
          <w:lang w:val="el-GR"/>
        </w:rPr>
        <w:tab/>
        <w:t>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95275, σύμφωνα με τον κανονισμό (ΕΚ) αριθ. 1829/2003 του Ευρωπαϊκού Κοινοβουλίου και του Συμβουλίου (P10_TA(2025)0015).</w:t>
      </w:r>
    </w:p>
  </w:footnote>
  <w:footnote w:id="5">
    <w:p w14:paraId="6C7B88CD" w14:textId="77777777" w:rsidR="00E05E0B" w:rsidRPr="00045808" w:rsidRDefault="00E05E0B" w:rsidP="00045808">
      <w:pPr>
        <w:pStyle w:val="FootnoteText"/>
        <w:ind w:left="567" w:hanging="567"/>
        <w:rPr>
          <w:sz w:val="24"/>
          <w:lang w:val="el-GR"/>
        </w:rPr>
      </w:pPr>
      <w:r w:rsidRPr="00045808">
        <w:rPr>
          <w:rStyle w:val="FootnoteReference"/>
          <w:rFonts w:eastAsiaTheme="minorHAnsi"/>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Ομάδα της EFSA για τους γενετικώς τροποποιημένους οργανισμούς, «Δήλωση που συμπληρώνει την επιστημονική γνώμη της EFSA σχετικά με την αίτηση (EFSA-GMO-NL-2015-126) για την έγκριση τροφίμων και ζωοτροφών που περιέχουν, αποτελούνται και παράγονται από γενετικώς τροποποιημένη σόγια MON 87705 × MON 87708 × MON 89788</w:t>
      </w:r>
      <w:r w:rsidR="00A61904">
        <w:rPr>
          <w:sz w:val="24"/>
          <w:lang w:val="el-GR"/>
        </w:rPr>
        <w:t>,</w:t>
      </w:r>
      <w:r w:rsidRPr="00045808">
        <w:rPr>
          <w:sz w:val="24"/>
          <w:lang w:val="el-GR"/>
        </w:rPr>
        <w:t xml:space="preserve"> </w:t>
      </w:r>
      <w:r w:rsidR="00A61904">
        <w:rPr>
          <w:sz w:val="24"/>
          <w:lang w:val="el-GR"/>
        </w:rPr>
        <w:t>π</w:t>
      </w:r>
      <w:r w:rsidRPr="00045808">
        <w:rPr>
          <w:sz w:val="24"/>
          <w:lang w:val="el-GR"/>
        </w:rPr>
        <w:t xml:space="preserve">εριοδική έκδοση EFSA 2024;22(10):e9061, </w:t>
      </w:r>
      <w:hyperlink r:id="rId12" w:history="1">
        <w:r w:rsidRPr="00045808">
          <w:rPr>
            <w:rStyle w:val="Hyperlink"/>
            <w:sz w:val="24"/>
            <w:lang w:val="el-GR"/>
          </w:rPr>
          <w:t>https://doi.org/10.2903/j.efsa.2024.9061</w:t>
        </w:r>
      </w:hyperlink>
      <w:r w:rsidRPr="00045808">
        <w:rPr>
          <w:sz w:val="24"/>
          <w:lang w:val="el-GR"/>
        </w:rPr>
        <w:t>.</w:t>
      </w:r>
    </w:p>
  </w:footnote>
  <w:footnote w:id="6">
    <w:p w14:paraId="5A3C22D9" w14:textId="77777777" w:rsidR="00E05E0B" w:rsidRPr="00045808" w:rsidRDefault="00E05E0B" w:rsidP="00045808">
      <w:pPr>
        <w:pStyle w:val="FootnoteText"/>
        <w:ind w:left="567" w:hanging="567"/>
        <w:rPr>
          <w:sz w:val="24"/>
          <w:lang w:val="el-GR"/>
        </w:rPr>
      </w:pPr>
      <w:r w:rsidRPr="00045808">
        <w:rPr>
          <w:rStyle w:val="FootnoteReference"/>
          <w:rFonts w:eastAsiaTheme="minorHAnsi"/>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Εκτελεστικός κανονισμός (ΕΕ) αριθ. 503/2013 της Επιτροπής, της 3ης Απριλίου 2013, σχετικά με τις αιτήσεις έγκρισης γενετικώς τροποποιημένων τροφίμων και ζωοτροφών, σύμφωνα με τον κανονισμό (ΕΚ) αριθ. 1829/2003 του Ευρωπαϊκού Κοινοβουλίου και του Συμβουλίου, και την τροποποίηση των κανονισμών της Επιτροπής (ΕΚ) αριθ. 641/2004 και (ΕΚ) αριθ. 1981/2006 (ΕΕ L 157 της 8.6.2013, σ. 1, ELI:</w:t>
      </w:r>
      <w:r w:rsidRPr="00045808">
        <w:rPr>
          <w:color w:val="000000" w:themeColor="text1"/>
          <w:sz w:val="24"/>
          <w:lang w:val="el-GR"/>
        </w:rPr>
        <w:t xml:space="preserve"> </w:t>
      </w:r>
      <w:hyperlink r:id="rId13" w:tgtFrame="Gives access to this document through its ELI URI." w:history="1">
        <w:r w:rsidRPr="00045808">
          <w:rPr>
            <w:rStyle w:val="Hyperlink"/>
            <w:color w:val="0070C0"/>
            <w:sz w:val="24"/>
            <w:lang w:val="el-GR"/>
          </w:rPr>
          <w:t>http://data.europa.eu/eli/reg_impl/2013/503/oj</w:t>
        </w:r>
      </w:hyperlink>
      <w:r w:rsidRPr="00045808">
        <w:rPr>
          <w:rStyle w:val="Hyperlink"/>
          <w:color w:val="000000" w:themeColor="text1"/>
          <w:sz w:val="24"/>
          <w:lang w:val="el-GR"/>
        </w:rPr>
        <w:t>).</w:t>
      </w:r>
    </w:p>
  </w:footnote>
  <w:footnote w:id="7">
    <w:p w14:paraId="5011BAC5" w14:textId="77777777" w:rsidR="00E05E0B" w:rsidRPr="00045808" w:rsidRDefault="00E05E0B" w:rsidP="00045808">
      <w:pPr>
        <w:pStyle w:val="FootnoteText"/>
        <w:ind w:left="567" w:hanging="567"/>
        <w:rPr>
          <w:sz w:val="24"/>
          <w:lang w:val="el-GR"/>
        </w:rPr>
      </w:pPr>
      <w:r w:rsidRPr="00045808">
        <w:rPr>
          <w:rStyle w:val="FootnoteReference"/>
          <w:rFonts w:eastAsiaTheme="minorHAnsi"/>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 xml:space="preserve">Βλ. για παράδειγμα Bonny, S., «Genetically Modified Herbicide-Tolerant Crops, Weeds, and Herbicides: Overview and Impact» (Γενετικώς τροποποιημένες καλλιέργειες ανθεκτικές στα ζιζανιοκτόνα, ζιζάνια και ζιζανιοκτόνα: επισκόπηση και αντίκτυπος), Environmental Management, Ιανουάριος 2016, 57(1), σ. 31-48, </w:t>
      </w:r>
      <w:hyperlink r:id="rId14" w:history="1">
        <w:r w:rsidRPr="00045808">
          <w:rPr>
            <w:rStyle w:val="Hyperlink"/>
            <w:sz w:val="24"/>
            <w:lang w:val="el-GR"/>
          </w:rPr>
          <w:t>https://www.ncbi.nlm.nih.gov/pubmed/26296738</w:t>
        </w:r>
      </w:hyperlink>
      <w:r w:rsidRPr="00045808">
        <w:rPr>
          <w:rStyle w:val="Hyperlink"/>
          <w:sz w:val="24"/>
          <w:lang w:val="el-GR"/>
        </w:rPr>
        <w:t>,</w:t>
      </w:r>
      <w:r w:rsidRPr="00045808">
        <w:rPr>
          <w:sz w:val="24"/>
          <w:lang w:val="el-GR"/>
        </w:rPr>
        <w:t xml:space="preserve"> και Benbrook, C.M., «Impacts of genetically engineered crops on pesticide use in the U.S. – the first sixteen years» (Επιπτώσεις των γενετικώς τροποποιημένων καλλιεργειών στη χρήση φυτοφαρμάκων στις ΗΠΑ – τα πρώτα 16 χρόνια), Environmental Sciences Europe, 28 Σεπτεμβρίου 2012, Τόμος 24(1), </w:t>
      </w:r>
      <w:hyperlink r:id="rId15" w:history="1">
        <w:r w:rsidRPr="00045808">
          <w:rPr>
            <w:rStyle w:val="Hyperlink"/>
            <w:sz w:val="24"/>
            <w:lang w:val="el-GR"/>
          </w:rPr>
          <w:t>https://enveurope.springeropen.com/articles/10.1186/2190-4715-24-24</w:t>
        </w:r>
      </w:hyperlink>
      <w:r w:rsidRPr="00045808">
        <w:rPr>
          <w:sz w:val="24"/>
          <w:lang w:val="el-GR"/>
        </w:rPr>
        <w:t xml:space="preserve">.  </w:t>
      </w:r>
    </w:p>
  </w:footnote>
  <w:footnote w:id="8">
    <w:p w14:paraId="5336EC89" w14:textId="77777777" w:rsidR="00E05E0B" w:rsidRPr="00045808" w:rsidRDefault="00E05E0B" w:rsidP="00045808">
      <w:pPr>
        <w:pStyle w:val="FootnoteText"/>
        <w:ind w:left="567" w:hanging="567"/>
        <w:rPr>
          <w:sz w:val="24"/>
          <w:lang w:val="el-GR"/>
        </w:rPr>
      </w:pPr>
      <w:r w:rsidRPr="00045808">
        <w:rPr>
          <w:rStyle w:val="FootnoteReference"/>
          <w:rFonts w:eastAsiaTheme="majorEastAsia"/>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 xml:space="preserve">Lerro, C.C., Hofmann, J.N., Andreotti, G., Koutros, S., Parks, C.G., Blair, A., Albert, P.S., Lubin, J.H., Sandler, D.P., Beane Freeman, L.E., ‘Dicamba use and cancer incidence in the agricultural health study: an updated analysis», International Journal of Epidemiology, Αύγουστος 2020· 49(4), σ. 1326-1337,  </w:t>
      </w:r>
      <w:hyperlink r:id="rId16" w:history="1">
        <w:r w:rsidRPr="00045808">
          <w:rPr>
            <w:rStyle w:val="Hyperlink"/>
            <w:sz w:val="24"/>
            <w:lang w:val="el-GR"/>
          </w:rPr>
          <w:t>https://academic.oup.com/ije/advance-article-abstract/doi/10.1093/ije/dyaa066/5827818?redirectedFrom=fulltext</w:t>
        </w:r>
      </w:hyperlink>
      <w:r w:rsidRPr="00045808">
        <w:rPr>
          <w:rStyle w:val="Hyperlink"/>
          <w:sz w:val="24"/>
          <w:lang w:val="el-GR"/>
        </w:rPr>
        <w:t>.</w:t>
      </w:r>
    </w:p>
  </w:footnote>
  <w:footnote w:id="9">
    <w:p w14:paraId="7D1D1CDB" w14:textId="77777777" w:rsidR="00E05E0B" w:rsidRPr="00045808" w:rsidRDefault="00E05E0B" w:rsidP="00045808">
      <w:pPr>
        <w:pStyle w:val="FootnoteText"/>
        <w:ind w:left="567" w:hanging="567"/>
        <w:rPr>
          <w:sz w:val="24"/>
          <w:lang w:val="el-GR"/>
        </w:rPr>
      </w:pPr>
      <w:r w:rsidRPr="00045808">
        <w:rPr>
          <w:rStyle w:val="FootnoteReference"/>
          <w:rFonts w:eastAsiaTheme="majorEastAsia"/>
          <w:sz w:val="24"/>
          <w:lang w:val="el-GR"/>
        </w:rPr>
        <w:footnoteRef/>
      </w:r>
      <w:r w:rsidR="00045808" w:rsidRPr="00045808">
        <w:rPr>
          <w:sz w:val="24"/>
          <w:lang w:val="el-GR"/>
        </w:rPr>
        <w:t xml:space="preserve"> </w:t>
      </w:r>
      <w:r w:rsidR="00045808" w:rsidRPr="00045808">
        <w:rPr>
          <w:sz w:val="24"/>
          <w:lang w:val="el-GR"/>
        </w:rPr>
        <w:tab/>
      </w:r>
      <w:hyperlink r:id="rId17" w:history="1">
        <w:r w:rsidRPr="00045808">
          <w:rPr>
            <w:rStyle w:val="Hyperlink"/>
            <w:sz w:val="24"/>
            <w:lang w:val="el-GR"/>
          </w:rPr>
          <w:t>https://hh-ra.org/projects/measuring-pesticide-use/interactive-herbicide-use-tables/</w:t>
        </w:r>
      </w:hyperlink>
      <w:r w:rsidRPr="00045808">
        <w:rPr>
          <w:rStyle w:val="Hyperlink"/>
          <w:sz w:val="24"/>
          <w:lang w:val="el-GR"/>
        </w:rPr>
        <w:t>.</w:t>
      </w:r>
    </w:p>
  </w:footnote>
  <w:footnote w:id="10">
    <w:p w14:paraId="60E8FCA3" w14:textId="77777777" w:rsidR="00E05E0B" w:rsidRPr="00045808" w:rsidRDefault="00E05E0B" w:rsidP="00045808">
      <w:pPr>
        <w:pStyle w:val="FootnoteText"/>
        <w:ind w:left="567" w:hanging="567"/>
        <w:rPr>
          <w:sz w:val="24"/>
          <w:vertAlign w:val="superscript"/>
          <w:lang w:val="el-GR"/>
        </w:rPr>
      </w:pPr>
      <w:r w:rsidRPr="00045808">
        <w:rPr>
          <w:rStyle w:val="FootnoteReference"/>
          <w:rFonts w:eastAsiaTheme="majorEastAsia"/>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 xml:space="preserve">Βλέπε, για παράδειγμα: </w:t>
      </w:r>
      <w:hyperlink r:id="rId18" w:history="1">
        <w:r w:rsidRPr="00045808">
          <w:rPr>
            <w:rStyle w:val="Hyperlink"/>
            <w:sz w:val="24"/>
            <w:lang w:val="el-GR"/>
          </w:rPr>
          <w:t>https://www.sciencedirect.com/science/article/pii/S1383574218300887</w:t>
        </w:r>
      </w:hyperlink>
      <w:r w:rsidRPr="00045808">
        <w:rPr>
          <w:rStyle w:val="Hyperlink"/>
          <w:sz w:val="24"/>
          <w:lang w:val="el-GR"/>
        </w:rPr>
        <w:t>,</w:t>
      </w:r>
      <w:r w:rsidRPr="00045808">
        <w:rPr>
          <w:sz w:val="24"/>
          <w:lang w:val="el-GR"/>
        </w:rPr>
        <w:t xml:space="preserve"> </w:t>
      </w:r>
    </w:p>
    <w:p w14:paraId="6530D573" w14:textId="77777777" w:rsidR="00E05E0B" w:rsidRPr="00045808" w:rsidRDefault="00045808" w:rsidP="00045808">
      <w:pPr>
        <w:pStyle w:val="FootnoteText"/>
        <w:ind w:left="567" w:hanging="567"/>
        <w:rPr>
          <w:sz w:val="24"/>
          <w:vertAlign w:val="superscript"/>
          <w:lang w:val="el-GR"/>
        </w:rPr>
      </w:pPr>
      <w:r w:rsidRPr="00045808">
        <w:rPr>
          <w:sz w:val="24"/>
          <w:lang w:val="el-GR"/>
        </w:rPr>
        <w:t xml:space="preserve"> </w:t>
      </w:r>
      <w:r w:rsidRPr="00045808">
        <w:rPr>
          <w:sz w:val="24"/>
          <w:lang w:val="el-GR"/>
        </w:rPr>
        <w:tab/>
      </w:r>
      <w:hyperlink r:id="rId19" w:history="1">
        <w:r w:rsidR="00E05E0B" w:rsidRPr="00045808">
          <w:rPr>
            <w:rStyle w:val="Hyperlink"/>
            <w:sz w:val="24"/>
            <w:lang w:val="el-GR"/>
          </w:rPr>
          <w:t>https://academic.oup.com/ije/advance-article/doi/10.1093/ije/dyz017/5382278</w:t>
        </w:r>
      </w:hyperlink>
      <w:r w:rsidR="00E05E0B" w:rsidRPr="00045808">
        <w:rPr>
          <w:rStyle w:val="Hyperlink"/>
          <w:sz w:val="24"/>
          <w:lang w:val="el-GR"/>
        </w:rPr>
        <w:t>,</w:t>
      </w:r>
      <w:r w:rsidR="00E05E0B" w:rsidRPr="00045808">
        <w:rPr>
          <w:sz w:val="24"/>
          <w:lang w:val="el-GR"/>
        </w:rPr>
        <w:t xml:space="preserve"> </w:t>
      </w:r>
    </w:p>
    <w:p w14:paraId="1D798D9F" w14:textId="77777777" w:rsidR="00E05E0B" w:rsidRPr="005D5EBC" w:rsidRDefault="00045808" w:rsidP="00045808">
      <w:pPr>
        <w:pStyle w:val="FootnoteText"/>
        <w:ind w:left="567" w:hanging="567"/>
        <w:rPr>
          <w:sz w:val="24"/>
          <w:vertAlign w:val="superscript"/>
          <w:lang w:val="en-GB"/>
        </w:rPr>
      </w:pPr>
      <w:r w:rsidRPr="00045808">
        <w:rPr>
          <w:sz w:val="24"/>
          <w:lang w:val="el-GR"/>
        </w:rPr>
        <w:t xml:space="preserve"> </w:t>
      </w:r>
      <w:r w:rsidRPr="00045808">
        <w:rPr>
          <w:sz w:val="24"/>
          <w:lang w:val="el-GR"/>
        </w:rPr>
        <w:tab/>
      </w:r>
      <w:hyperlink r:id="rId20" w:history="1">
        <w:r w:rsidR="00E05E0B" w:rsidRPr="005D5EBC">
          <w:rPr>
            <w:rStyle w:val="Hyperlink"/>
            <w:sz w:val="24"/>
            <w:lang w:val="en-GB"/>
          </w:rPr>
          <w:t>https://journals.plos.org/plosone/article?id=10.1371/journal.pone.0219610</w:t>
        </w:r>
      </w:hyperlink>
      <w:r w:rsidR="00E05E0B" w:rsidRPr="005D5EBC">
        <w:rPr>
          <w:sz w:val="24"/>
          <w:lang w:val="en-GB"/>
        </w:rPr>
        <w:t xml:space="preserve"> and</w:t>
      </w:r>
    </w:p>
    <w:p w14:paraId="5B3AD55E" w14:textId="77777777" w:rsidR="00E05E0B" w:rsidRPr="005D5EBC" w:rsidRDefault="00045808" w:rsidP="00045808">
      <w:pPr>
        <w:pStyle w:val="FootnoteText"/>
        <w:ind w:left="567" w:hanging="567"/>
        <w:rPr>
          <w:sz w:val="24"/>
          <w:lang w:val="en-GB"/>
        </w:rPr>
      </w:pPr>
      <w:r w:rsidRPr="005D5EBC">
        <w:rPr>
          <w:sz w:val="24"/>
          <w:lang w:val="en-GB"/>
        </w:rPr>
        <w:t xml:space="preserve"> </w:t>
      </w:r>
      <w:r w:rsidRPr="005D5EBC">
        <w:rPr>
          <w:sz w:val="24"/>
          <w:lang w:val="en-GB"/>
        </w:rPr>
        <w:tab/>
      </w:r>
      <w:hyperlink r:id="rId21" w:history="1">
        <w:r w:rsidR="00E05E0B" w:rsidRPr="005D5EBC">
          <w:rPr>
            <w:rStyle w:val="Hyperlink"/>
            <w:sz w:val="24"/>
            <w:lang w:val="en-GB"/>
          </w:rPr>
          <w:t>https://www.ncbi.nlm.nih.gov/pmc/articles/PMC6612199/</w:t>
        </w:r>
      </w:hyperlink>
      <w:r w:rsidR="00E05E0B" w:rsidRPr="005D5EBC">
        <w:rPr>
          <w:sz w:val="24"/>
          <w:lang w:val="en-GB"/>
        </w:rPr>
        <w:t>.</w:t>
      </w:r>
    </w:p>
  </w:footnote>
  <w:footnote w:id="11">
    <w:p w14:paraId="7B18515C" w14:textId="77777777" w:rsidR="00E05E0B" w:rsidRPr="005D5EBC" w:rsidRDefault="00E05E0B" w:rsidP="00045808">
      <w:pPr>
        <w:pStyle w:val="FootnoteText"/>
        <w:ind w:left="567" w:hanging="567"/>
        <w:rPr>
          <w:sz w:val="24"/>
          <w:lang w:val="en-GB"/>
        </w:rPr>
      </w:pPr>
      <w:r w:rsidRPr="00045808">
        <w:rPr>
          <w:rStyle w:val="FootnoteReference"/>
          <w:rFonts w:eastAsiaTheme="majorEastAsia"/>
          <w:sz w:val="24"/>
          <w:lang w:val="el-GR"/>
        </w:rPr>
        <w:footnoteRef/>
      </w:r>
      <w:r w:rsidR="00045808" w:rsidRPr="005D5EBC">
        <w:rPr>
          <w:sz w:val="24"/>
          <w:lang w:val="en-GB"/>
        </w:rPr>
        <w:t xml:space="preserve"> </w:t>
      </w:r>
      <w:r w:rsidR="00045808" w:rsidRPr="005D5EBC">
        <w:rPr>
          <w:sz w:val="24"/>
          <w:lang w:val="en-GB"/>
        </w:rPr>
        <w:tab/>
      </w:r>
      <w:hyperlink r:id="rId22" w:history="1">
        <w:r w:rsidRPr="005D5EBC">
          <w:rPr>
            <w:rStyle w:val="Hyperlink"/>
            <w:sz w:val="24"/>
            <w:lang w:val="en-GB"/>
          </w:rPr>
          <w:t>https://www.ncbi.nlm.nih.gov/pubmed/24491722</w:t>
        </w:r>
      </w:hyperlink>
      <w:r w:rsidRPr="005D5EBC">
        <w:rPr>
          <w:rStyle w:val="Hyperlink"/>
          <w:sz w:val="24"/>
          <w:lang w:val="en-GB"/>
        </w:rPr>
        <w:t>.</w:t>
      </w:r>
      <w:r w:rsidRPr="005D5EBC">
        <w:rPr>
          <w:sz w:val="24"/>
          <w:lang w:val="en-GB"/>
        </w:rPr>
        <w:t xml:space="preserve"> </w:t>
      </w:r>
    </w:p>
  </w:footnote>
  <w:footnote w:id="12">
    <w:p w14:paraId="6EF62AEF" w14:textId="77777777" w:rsidR="00E05E0B" w:rsidRPr="005D5EBC" w:rsidRDefault="00E05E0B" w:rsidP="00045808">
      <w:pPr>
        <w:pStyle w:val="FootnoteText"/>
        <w:ind w:left="567" w:hanging="567"/>
        <w:rPr>
          <w:sz w:val="24"/>
          <w:lang w:val="en-GB"/>
        </w:rPr>
      </w:pPr>
      <w:r w:rsidRPr="00045808">
        <w:rPr>
          <w:rStyle w:val="FootnoteReference"/>
          <w:rFonts w:eastAsiaTheme="majorEastAsia"/>
          <w:sz w:val="24"/>
          <w:lang w:val="el-GR"/>
        </w:rPr>
        <w:footnoteRef/>
      </w:r>
      <w:r w:rsidR="00045808" w:rsidRPr="005D5EBC">
        <w:rPr>
          <w:sz w:val="24"/>
          <w:lang w:val="en-GB"/>
        </w:rPr>
        <w:t xml:space="preserve"> </w:t>
      </w:r>
      <w:r w:rsidR="00045808" w:rsidRPr="005D5EBC">
        <w:rPr>
          <w:sz w:val="24"/>
          <w:lang w:val="en-GB"/>
        </w:rPr>
        <w:tab/>
      </w:r>
      <w:hyperlink r:id="rId23" w:history="1">
        <w:r w:rsidRPr="005D5EBC">
          <w:rPr>
            <w:rStyle w:val="Hyperlink"/>
            <w:sz w:val="24"/>
            <w:lang w:val="en-GB"/>
          </w:rPr>
          <w:t>https://www.testbiotech.org/en/resource/high-levels-residues-spraying-glyphosate-found-soybeans-argentina/</w:t>
        </w:r>
      </w:hyperlink>
    </w:p>
  </w:footnote>
  <w:footnote w:id="13">
    <w:p w14:paraId="74D9FE0B" w14:textId="77777777" w:rsidR="00E05E0B" w:rsidRPr="00045808" w:rsidRDefault="00E05E0B" w:rsidP="00045808">
      <w:pPr>
        <w:pStyle w:val="FootnoteText"/>
        <w:ind w:left="567" w:hanging="567"/>
        <w:rPr>
          <w:sz w:val="24"/>
          <w:lang w:val="el-GR"/>
        </w:rPr>
      </w:pPr>
      <w:r w:rsidRPr="00045808">
        <w:rPr>
          <w:rStyle w:val="FootnoteReference"/>
          <w:rFonts w:eastAsiaTheme="majorEastAsia"/>
          <w:sz w:val="24"/>
          <w:lang w:val="el-GR"/>
        </w:rPr>
        <w:footnoteRef/>
      </w:r>
      <w:r w:rsidR="00045808" w:rsidRPr="005D5EBC">
        <w:rPr>
          <w:sz w:val="24"/>
          <w:lang w:val="en-GB"/>
        </w:rPr>
        <w:t xml:space="preserve"> </w:t>
      </w:r>
      <w:r w:rsidR="00045808" w:rsidRPr="005D5EBC">
        <w:rPr>
          <w:sz w:val="24"/>
          <w:lang w:val="en-GB"/>
        </w:rPr>
        <w:tab/>
      </w:r>
      <w:r w:rsidRPr="00045808">
        <w:rPr>
          <w:sz w:val="24"/>
          <w:lang w:val="el-GR"/>
        </w:rPr>
        <w:t>Αυτό</w:t>
      </w:r>
      <w:r w:rsidRPr="005D5EBC">
        <w:rPr>
          <w:sz w:val="24"/>
          <w:lang w:val="en-GB"/>
        </w:rPr>
        <w:t xml:space="preserve"> </w:t>
      </w:r>
      <w:r w:rsidRPr="00045808">
        <w:rPr>
          <w:sz w:val="24"/>
          <w:lang w:val="el-GR"/>
        </w:rPr>
        <w:t>ισχύει</w:t>
      </w:r>
      <w:r w:rsidRPr="005D5EBC">
        <w:rPr>
          <w:sz w:val="24"/>
          <w:lang w:val="en-GB"/>
        </w:rPr>
        <w:t xml:space="preserve"> </w:t>
      </w:r>
      <w:r w:rsidRPr="00045808">
        <w:rPr>
          <w:sz w:val="24"/>
          <w:lang w:val="el-GR"/>
        </w:rPr>
        <w:t>όντως</w:t>
      </w:r>
      <w:r w:rsidRPr="005D5EBC">
        <w:rPr>
          <w:sz w:val="24"/>
          <w:lang w:val="en-GB"/>
        </w:rPr>
        <w:t xml:space="preserve"> </w:t>
      </w:r>
      <w:r w:rsidRPr="00045808">
        <w:rPr>
          <w:sz w:val="24"/>
          <w:lang w:val="el-GR"/>
        </w:rPr>
        <w:t>στην</w:t>
      </w:r>
      <w:r w:rsidRPr="005D5EBC">
        <w:rPr>
          <w:sz w:val="24"/>
          <w:lang w:val="en-GB"/>
        </w:rPr>
        <w:t xml:space="preserve"> </w:t>
      </w:r>
      <w:r w:rsidRPr="00045808">
        <w:rPr>
          <w:sz w:val="24"/>
          <w:lang w:val="el-GR"/>
        </w:rPr>
        <w:t>περίπτωση</w:t>
      </w:r>
      <w:r w:rsidRPr="005D5EBC">
        <w:rPr>
          <w:sz w:val="24"/>
          <w:lang w:val="en-GB"/>
        </w:rPr>
        <w:t xml:space="preserve"> </w:t>
      </w:r>
      <w:r w:rsidRPr="00045808">
        <w:rPr>
          <w:sz w:val="24"/>
          <w:lang w:val="el-GR"/>
        </w:rPr>
        <w:t>της</w:t>
      </w:r>
      <w:r w:rsidRPr="005D5EBC">
        <w:rPr>
          <w:sz w:val="24"/>
          <w:lang w:val="en-GB"/>
        </w:rPr>
        <w:t xml:space="preserve"> </w:t>
      </w:r>
      <w:r w:rsidRPr="00045808">
        <w:rPr>
          <w:sz w:val="24"/>
          <w:lang w:val="el-GR"/>
        </w:rPr>
        <w:t>γλυφοσάτης</w:t>
      </w:r>
      <w:r w:rsidRPr="005D5EBC">
        <w:rPr>
          <w:sz w:val="24"/>
          <w:lang w:val="en-GB"/>
        </w:rPr>
        <w:t xml:space="preserve">, </w:t>
      </w:r>
      <w:r w:rsidRPr="00045808">
        <w:rPr>
          <w:sz w:val="24"/>
          <w:lang w:val="el-GR"/>
        </w:rPr>
        <w:t>όπως</w:t>
      </w:r>
      <w:r w:rsidRPr="005D5EBC">
        <w:rPr>
          <w:sz w:val="24"/>
          <w:lang w:val="en-GB"/>
        </w:rPr>
        <w:t xml:space="preserve"> </w:t>
      </w:r>
      <w:r w:rsidRPr="00045808">
        <w:rPr>
          <w:sz w:val="24"/>
          <w:lang w:val="el-GR"/>
        </w:rPr>
        <w:t>αναφέρεται</w:t>
      </w:r>
      <w:r w:rsidRPr="005D5EBC">
        <w:rPr>
          <w:sz w:val="24"/>
          <w:lang w:val="en-GB"/>
        </w:rPr>
        <w:t xml:space="preserve"> </w:t>
      </w:r>
      <w:r w:rsidRPr="00045808">
        <w:rPr>
          <w:sz w:val="24"/>
          <w:lang w:val="el-GR"/>
        </w:rPr>
        <w:t>στη</w:t>
      </w:r>
      <w:r w:rsidRPr="005D5EBC">
        <w:rPr>
          <w:sz w:val="24"/>
          <w:lang w:val="en-GB"/>
        </w:rPr>
        <w:t xml:space="preserve"> </w:t>
      </w:r>
      <w:r w:rsidRPr="00045808">
        <w:rPr>
          <w:sz w:val="24"/>
          <w:lang w:val="el-GR"/>
        </w:rPr>
        <w:t>δημοσίευση</w:t>
      </w:r>
      <w:r w:rsidRPr="005D5EBC">
        <w:rPr>
          <w:sz w:val="24"/>
          <w:lang w:val="en-GB"/>
        </w:rPr>
        <w:t xml:space="preserve"> </w:t>
      </w:r>
      <w:r w:rsidRPr="00045808">
        <w:rPr>
          <w:sz w:val="24"/>
          <w:lang w:val="el-GR"/>
        </w:rPr>
        <w:t>της</w:t>
      </w:r>
      <w:r w:rsidRPr="005D5EBC">
        <w:rPr>
          <w:sz w:val="24"/>
          <w:lang w:val="en-GB"/>
        </w:rPr>
        <w:t xml:space="preserve"> EFSA «Review of the existing maximum residue levels for glyphosate according to Article 12 of Regulation (EC) No 396/2005» (</w:t>
      </w:r>
      <w:r w:rsidRPr="00045808">
        <w:rPr>
          <w:sz w:val="24"/>
          <w:lang w:val="el-GR"/>
        </w:rPr>
        <w:t>Αξιολόγηση</w:t>
      </w:r>
      <w:r w:rsidRPr="005D5EBC">
        <w:rPr>
          <w:sz w:val="24"/>
          <w:lang w:val="en-GB"/>
        </w:rPr>
        <w:t xml:space="preserve"> </w:t>
      </w:r>
      <w:r w:rsidRPr="00045808">
        <w:rPr>
          <w:sz w:val="24"/>
          <w:lang w:val="el-GR"/>
        </w:rPr>
        <w:t>των</w:t>
      </w:r>
      <w:r w:rsidRPr="005D5EBC">
        <w:rPr>
          <w:sz w:val="24"/>
          <w:lang w:val="en-GB"/>
        </w:rPr>
        <w:t xml:space="preserve"> </w:t>
      </w:r>
      <w:r w:rsidRPr="00045808">
        <w:rPr>
          <w:sz w:val="24"/>
          <w:lang w:val="el-GR"/>
        </w:rPr>
        <w:t>υφιστάμενων</w:t>
      </w:r>
      <w:r w:rsidRPr="005D5EBC">
        <w:rPr>
          <w:sz w:val="24"/>
          <w:lang w:val="en-GB"/>
        </w:rPr>
        <w:t xml:space="preserve"> </w:t>
      </w:r>
      <w:r w:rsidRPr="00045808">
        <w:rPr>
          <w:sz w:val="24"/>
          <w:lang w:val="el-GR"/>
        </w:rPr>
        <w:t>ανώτατων</w:t>
      </w:r>
      <w:r w:rsidRPr="005D5EBC">
        <w:rPr>
          <w:sz w:val="24"/>
          <w:lang w:val="en-GB"/>
        </w:rPr>
        <w:t xml:space="preserve"> </w:t>
      </w:r>
      <w:r w:rsidRPr="00045808">
        <w:rPr>
          <w:sz w:val="24"/>
          <w:lang w:val="el-GR"/>
        </w:rPr>
        <w:t>ορίων</w:t>
      </w:r>
      <w:r w:rsidRPr="005D5EBC">
        <w:rPr>
          <w:sz w:val="24"/>
          <w:lang w:val="en-GB"/>
        </w:rPr>
        <w:t xml:space="preserve"> </w:t>
      </w:r>
      <w:r w:rsidRPr="00045808">
        <w:rPr>
          <w:sz w:val="24"/>
          <w:lang w:val="el-GR"/>
        </w:rPr>
        <w:t>καταλοίπων</w:t>
      </w:r>
      <w:r w:rsidRPr="005D5EBC">
        <w:rPr>
          <w:sz w:val="24"/>
          <w:lang w:val="en-GB"/>
        </w:rPr>
        <w:t xml:space="preserve"> </w:t>
      </w:r>
      <w:r w:rsidRPr="00045808">
        <w:rPr>
          <w:sz w:val="24"/>
          <w:lang w:val="el-GR"/>
        </w:rPr>
        <w:t>για</w:t>
      </w:r>
      <w:r w:rsidRPr="005D5EBC">
        <w:rPr>
          <w:sz w:val="24"/>
          <w:lang w:val="en-GB"/>
        </w:rPr>
        <w:t xml:space="preserve"> </w:t>
      </w:r>
      <w:r w:rsidRPr="00045808">
        <w:rPr>
          <w:sz w:val="24"/>
          <w:lang w:val="el-GR"/>
        </w:rPr>
        <w:t>τη</w:t>
      </w:r>
      <w:r w:rsidRPr="005D5EBC">
        <w:rPr>
          <w:sz w:val="24"/>
          <w:lang w:val="en-GB"/>
        </w:rPr>
        <w:t xml:space="preserve"> </w:t>
      </w:r>
      <w:r w:rsidRPr="00045808">
        <w:rPr>
          <w:sz w:val="24"/>
          <w:lang w:val="el-GR"/>
        </w:rPr>
        <w:t>γλυφοσάτη</w:t>
      </w:r>
      <w:r w:rsidRPr="005D5EBC">
        <w:rPr>
          <w:sz w:val="24"/>
          <w:lang w:val="en-GB"/>
        </w:rPr>
        <w:t xml:space="preserve"> </w:t>
      </w:r>
      <w:r w:rsidRPr="00045808">
        <w:rPr>
          <w:sz w:val="24"/>
          <w:lang w:val="el-GR"/>
        </w:rPr>
        <w:t>σύμφωνα</w:t>
      </w:r>
      <w:r w:rsidRPr="005D5EBC">
        <w:rPr>
          <w:sz w:val="24"/>
          <w:lang w:val="en-GB"/>
        </w:rPr>
        <w:t xml:space="preserve"> </w:t>
      </w:r>
      <w:r w:rsidRPr="00045808">
        <w:rPr>
          <w:sz w:val="24"/>
          <w:lang w:val="el-GR"/>
        </w:rPr>
        <w:t>με</w:t>
      </w:r>
      <w:r w:rsidRPr="005D5EBC">
        <w:rPr>
          <w:sz w:val="24"/>
          <w:lang w:val="en-GB"/>
        </w:rPr>
        <w:t xml:space="preserve"> </w:t>
      </w:r>
      <w:r w:rsidRPr="00045808">
        <w:rPr>
          <w:sz w:val="24"/>
          <w:lang w:val="el-GR"/>
        </w:rPr>
        <w:t>το</w:t>
      </w:r>
      <w:r w:rsidRPr="005D5EBC">
        <w:rPr>
          <w:sz w:val="24"/>
          <w:lang w:val="en-GB"/>
        </w:rPr>
        <w:t xml:space="preserve"> </w:t>
      </w:r>
      <w:r w:rsidRPr="00045808">
        <w:rPr>
          <w:sz w:val="24"/>
          <w:lang w:val="el-GR"/>
        </w:rPr>
        <w:t>άρθρο</w:t>
      </w:r>
      <w:r w:rsidRPr="005D5EBC">
        <w:rPr>
          <w:sz w:val="24"/>
          <w:lang w:val="en-GB"/>
        </w:rPr>
        <w:t xml:space="preserve"> 12 </w:t>
      </w:r>
      <w:r w:rsidRPr="00045808">
        <w:rPr>
          <w:sz w:val="24"/>
          <w:lang w:val="el-GR"/>
        </w:rPr>
        <w:t>του</w:t>
      </w:r>
      <w:r w:rsidRPr="005D5EBC">
        <w:rPr>
          <w:sz w:val="24"/>
          <w:lang w:val="en-GB"/>
        </w:rPr>
        <w:t xml:space="preserve"> </w:t>
      </w:r>
      <w:r w:rsidRPr="00CB2EFD">
        <w:rPr>
          <w:sz w:val="24"/>
          <w:lang w:val="el-GR"/>
        </w:rPr>
        <w:t>κανονισμού</w:t>
      </w:r>
      <w:r w:rsidRPr="00CB2EFD">
        <w:rPr>
          <w:sz w:val="24"/>
          <w:lang w:val="en-GB"/>
        </w:rPr>
        <w:t xml:space="preserve"> (</w:t>
      </w:r>
      <w:r w:rsidRPr="00CB2EFD">
        <w:rPr>
          <w:sz w:val="24"/>
          <w:lang w:val="el-GR"/>
        </w:rPr>
        <w:t>ΕΚ</w:t>
      </w:r>
      <w:r w:rsidRPr="00CB2EFD">
        <w:rPr>
          <w:sz w:val="24"/>
          <w:lang w:val="en-GB"/>
        </w:rPr>
        <w:t xml:space="preserve">) </w:t>
      </w:r>
      <w:r w:rsidRPr="00CB2EFD">
        <w:rPr>
          <w:sz w:val="24"/>
          <w:lang w:val="el-GR"/>
        </w:rPr>
        <w:t>αριθ</w:t>
      </w:r>
      <w:r w:rsidRPr="00CB2EFD">
        <w:rPr>
          <w:sz w:val="24"/>
          <w:lang w:val="en-GB"/>
        </w:rPr>
        <w:t xml:space="preserve">. </w:t>
      </w:r>
      <w:r w:rsidRPr="00CB2EFD">
        <w:rPr>
          <w:sz w:val="24"/>
          <w:lang w:val="el-GR"/>
        </w:rPr>
        <w:t>396/2005)</w:t>
      </w:r>
      <w:r w:rsidRPr="00045808">
        <w:rPr>
          <w:sz w:val="24"/>
          <w:lang w:val="el-GR"/>
        </w:rPr>
        <w:t xml:space="preserve">, </w:t>
      </w:r>
      <w:r w:rsidR="00A61904">
        <w:rPr>
          <w:sz w:val="24"/>
          <w:lang w:val="el-GR"/>
        </w:rPr>
        <w:t>π</w:t>
      </w:r>
      <w:r w:rsidRPr="00045808">
        <w:rPr>
          <w:sz w:val="24"/>
          <w:lang w:val="el-GR"/>
        </w:rPr>
        <w:t>εριοδική έκδοση EFSA 2018·16(5):e05263, σ. 12, ,</w:t>
      </w:r>
      <w:r w:rsidRPr="00045808">
        <w:rPr>
          <w:rStyle w:val="Hyperlink"/>
          <w:sz w:val="24"/>
          <w:lang w:val="el-GR"/>
        </w:rPr>
        <w:t xml:space="preserve"> </w:t>
      </w:r>
      <w:hyperlink r:id="rId24" w:history="1">
        <w:r w:rsidRPr="00045808">
          <w:rPr>
            <w:rStyle w:val="Hyperlink"/>
            <w:sz w:val="24"/>
            <w:lang w:val="el-GR"/>
          </w:rPr>
          <w:t>https://efsa.onlinelibrary.wiley.com/doi/abs/10.2903/j.efsa.2018.5263</w:t>
        </w:r>
      </w:hyperlink>
      <w:r w:rsidRPr="00045808">
        <w:rPr>
          <w:rStyle w:val="Hyperlink"/>
          <w:sz w:val="24"/>
          <w:lang w:val="el-GR"/>
        </w:rPr>
        <w:t>.</w:t>
      </w:r>
    </w:p>
  </w:footnote>
  <w:footnote w:id="14">
    <w:p w14:paraId="69F3E980" w14:textId="77777777" w:rsidR="00E05E0B" w:rsidRPr="00045808" w:rsidRDefault="00E05E0B" w:rsidP="00045808">
      <w:pPr>
        <w:pStyle w:val="FootnoteText"/>
        <w:ind w:left="567" w:hanging="567"/>
        <w:rPr>
          <w:sz w:val="24"/>
          <w:lang w:val="el-GR"/>
        </w:rPr>
      </w:pPr>
      <w:r w:rsidRPr="00045808">
        <w:rPr>
          <w:rStyle w:val="FootnoteReference"/>
          <w:rFonts w:eastAsiaTheme="minorHAnsi"/>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 xml:space="preserve">«Strategic Dialogue on the Future of EU Agriculture – A shared prospect for farming and food in Europe» (Στρατηγικός διάλογος για το μέλλον της γεωργίας της ΕΕ – Μια κοινή προοπτική για τη γεωργία και τα τρόφιμα στην Ευρώπη), 2024, </w:t>
      </w:r>
      <w:hyperlink r:id="rId25" w:history="1">
        <w:r w:rsidRPr="00045808">
          <w:rPr>
            <w:rStyle w:val="Hyperlink"/>
            <w:sz w:val="24"/>
            <w:lang w:val="el-GR"/>
          </w:rPr>
          <w:t>https://agriculture.ec.europa.eu/document/download/171329ff-0f50-4fa5-946f-aea11032172e_en?filename=strategic-dialogue-report-2024_en.pdf</w:t>
        </w:r>
      </w:hyperlink>
      <w:r w:rsidRPr="00045808">
        <w:rPr>
          <w:rStyle w:val="Hyperlink"/>
          <w:sz w:val="24"/>
          <w:lang w:val="el-GR"/>
        </w:rPr>
        <w:t>.</w:t>
      </w:r>
    </w:p>
  </w:footnote>
  <w:footnote w:id="15">
    <w:p w14:paraId="4D51B6EE" w14:textId="77777777" w:rsidR="00E05E0B" w:rsidRPr="00045808" w:rsidRDefault="00E05E0B" w:rsidP="00045808">
      <w:pPr>
        <w:pStyle w:val="NoSpacing"/>
        <w:ind w:left="567" w:hanging="567"/>
        <w:jc w:val="left"/>
        <w:rPr>
          <w:szCs w:val="20"/>
        </w:rPr>
      </w:pPr>
      <w:r w:rsidRPr="00045808">
        <w:rPr>
          <w:rStyle w:val="FootnoteReference"/>
          <w:szCs w:val="20"/>
        </w:rPr>
        <w:footnoteRef/>
      </w:r>
      <w:r w:rsidR="00045808" w:rsidRPr="00045808">
        <w:t xml:space="preserve"> </w:t>
      </w:r>
      <w:r w:rsidR="00045808" w:rsidRPr="00045808">
        <w:tab/>
      </w:r>
      <w:r w:rsidRPr="00045808">
        <w:t xml:space="preserve">A/HRC/34/48: Έκθεση του Ειδικού Εισηγητή για το δικαίωμα στη διατροφή </w:t>
      </w:r>
      <w:hyperlink r:id="rId26" w:history="1">
        <w:r w:rsidRPr="00045808">
          <w:rPr>
            <w:rStyle w:val="Hyperlink"/>
          </w:rPr>
          <w:t>https://www.ohchr.org/en/documents/thematic-reports/ahrc3448-report-special-rapporteur-right-food</w:t>
        </w:r>
      </w:hyperlink>
      <w:r w:rsidRPr="00045808">
        <w:t>.</w:t>
      </w:r>
    </w:p>
  </w:footnote>
  <w:footnote w:id="16">
    <w:p w14:paraId="52E3A3B9" w14:textId="77777777" w:rsidR="00E05E0B" w:rsidRPr="00045808" w:rsidRDefault="00E05E0B" w:rsidP="00045808">
      <w:pPr>
        <w:pStyle w:val="FootnoteText"/>
        <w:ind w:left="567" w:hanging="567"/>
        <w:rPr>
          <w:sz w:val="24"/>
          <w:lang w:val="el-GR"/>
        </w:rPr>
      </w:pPr>
      <w:r w:rsidRPr="00045808">
        <w:rPr>
          <w:rStyle w:val="FootnoteReference"/>
          <w:rFonts w:eastAsiaTheme="minorHAnsi"/>
          <w:sz w:val="24"/>
          <w:lang w:val="el-GR"/>
        </w:rPr>
        <w:footnoteRef/>
      </w:r>
      <w:r w:rsidR="00045808" w:rsidRPr="00045808">
        <w:rPr>
          <w:sz w:val="24"/>
          <w:lang w:val="el-GR"/>
        </w:rPr>
        <w:t xml:space="preserve"> </w:t>
      </w:r>
      <w:r w:rsidR="00045808" w:rsidRPr="00045808">
        <w:rPr>
          <w:sz w:val="24"/>
          <w:lang w:val="el-GR"/>
        </w:rPr>
        <w:tab/>
      </w:r>
      <w:hyperlink r:id="rId27" w:history="1">
        <w:r w:rsidRPr="00045808">
          <w:rPr>
            <w:rStyle w:val="Hyperlink"/>
            <w:sz w:val="24"/>
            <w:lang w:val="el-GR"/>
          </w:rPr>
          <w:t>https://indicators.report/targets/3-9/</w:t>
        </w:r>
      </w:hyperlink>
      <w:r w:rsidRPr="00045808">
        <w:rPr>
          <w:rStyle w:val="Hyperlink"/>
          <w:sz w:val="24"/>
          <w:lang w:val="el-GR"/>
        </w:rPr>
        <w:t>.</w:t>
      </w:r>
    </w:p>
  </w:footnote>
  <w:footnote w:id="17">
    <w:p w14:paraId="020CD331" w14:textId="77777777" w:rsidR="00E05E0B" w:rsidRPr="00045808" w:rsidRDefault="00E05E0B" w:rsidP="00045808">
      <w:pPr>
        <w:pStyle w:val="FootnoteText"/>
        <w:ind w:left="567" w:hanging="567"/>
        <w:rPr>
          <w:sz w:val="24"/>
          <w:lang w:val="el-GR"/>
        </w:rPr>
      </w:pPr>
      <w:r w:rsidRPr="00045808">
        <w:rPr>
          <w:rStyle w:val="FootnoteReference"/>
          <w:rFonts w:eastAsiaTheme="minorHAnsi"/>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 xml:space="preserve">βλ.: </w:t>
      </w:r>
      <w:hyperlink r:id="rId28" w:history="1">
        <w:r w:rsidRPr="00045808">
          <w:rPr>
            <w:rStyle w:val="Hyperlink"/>
            <w:sz w:val="24"/>
            <w:lang w:val="el-GR"/>
          </w:rPr>
          <w:t>https://ec.europa.eu/commission/presscorner/detail/el/ip_22_7834</w:t>
        </w:r>
      </w:hyperlink>
      <w:r w:rsidRPr="00045808">
        <w:rPr>
          <w:sz w:val="24"/>
          <w:lang w:val="el-GR"/>
        </w:rPr>
        <w:t>.</w:t>
      </w:r>
    </w:p>
  </w:footnote>
  <w:footnote w:id="18">
    <w:p w14:paraId="410EB041" w14:textId="77777777" w:rsidR="00E05E0B" w:rsidRPr="00045808" w:rsidRDefault="00E05E0B" w:rsidP="00045808">
      <w:pPr>
        <w:pStyle w:val="FootnoteText"/>
        <w:ind w:left="567" w:hanging="567"/>
        <w:rPr>
          <w:sz w:val="24"/>
          <w:lang w:val="el-GR"/>
        </w:rPr>
      </w:pPr>
      <w:r w:rsidRPr="00045808">
        <w:rPr>
          <w:rStyle w:val="FootnoteReference"/>
          <w:rFonts w:eastAsiaTheme="majorEastAsia"/>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Τον Δεκέμβριο του 2022 συμφωνήθηκε ένα παγκόσμιο πλαίσιο για τη βιοποικιλότητα στην COP15 της Σύμβασης των Ηνωμένων Εθνών για τη βιολογική ποικιλότητα, το οποίο περιλαμβάνει έναν παγκόσμιο στόχο για τη μείωση του κινδύνου από τα φυτοφάρμακα κατά τουλάχιστον 50 % έως το 2030 (βλ.:</w:t>
      </w:r>
      <w:r w:rsidRPr="00045808">
        <w:rPr>
          <w:color w:val="000000" w:themeColor="text1"/>
          <w:sz w:val="24"/>
          <w:lang w:val="el-GR"/>
        </w:rPr>
        <w:t xml:space="preserve"> </w:t>
      </w:r>
      <w:hyperlink r:id="rId29" w:history="1">
        <w:r w:rsidRPr="00045808">
          <w:rPr>
            <w:rStyle w:val="Hyperlink"/>
            <w:sz w:val="24"/>
            <w:lang w:val="el-GR"/>
          </w:rPr>
          <w:t>https://ec.europa.eu/commission/presscorner/detail/el/ip_22_7834</w:t>
        </w:r>
      </w:hyperlink>
      <w:r w:rsidRPr="00045808">
        <w:rPr>
          <w:sz w:val="24"/>
          <w:lang w:val="el-GR"/>
        </w:rPr>
        <w:t xml:space="preserve">). </w:t>
      </w:r>
    </w:p>
  </w:footnote>
  <w:footnote w:id="19">
    <w:p w14:paraId="6B8C82F5" w14:textId="77777777" w:rsidR="00E05E0B" w:rsidRPr="00045808" w:rsidRDefault="00E05E0B" w:rsidP="00045808">
      <w:pPr>
        <w:pStyle w:val="FootnoteText"/>
        <w:ind w:left="567" w:hanging="567"/>
        <w:rPr>
          <w:sz w:val="24"/>
          <w:lang w:val="el-GR"/>
        </w:rPr>
      </w:pPr>
      <w:r w:rsidRPr="00045808">
        <w:rPr>
          <w:rStyle w:val="FootnoteReference"/>
          <w:rFonts w:eastAsiaTheme="majorEastAsia"/>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Ανακοίνωση της Επιτροπής, της 23ης Ιουλίου 2019, με τίτλο «Εντατικοποίηση της δράσης της ΕΕ για την προστασία και την αποκατάσταση των δασών του πλανήτη»,</w:t>
      </w:r>
      <w:r w:rsidRPr="00045808">
        <w:rPr>
          <w:color w:val="000000"/>
          <w:sz w:val="24"/>
          <w:lang w:val="el-GR"/>
        </w:rPr>
        <w:t xml:space="preserve"> </w:t>
      </w:r>
      <w:r w:rsidR="00A61904" w:rsidRPr="005D5EBC">
        <w:t>COM</w:t>
      </w:r>
      <w:r w:rsidR="00A61904" w:rsidRPr="005D5EBC">
        <w:rPr>
          <w:lang w:val="el-GR"/>
        </w:rPr>
        <w:t>(2019)0352</w:t>
      </w:r>
      <w:r w:rsidRPr="00045808">
        <w:rPr>
          <w:color w:val="000000"/>
          <w:sz w:val="24"/>
          <w:lang w:val="el-GR"/>
        </w:rPr>
        <w:t xml:space="preserve">, </w:t>
      </w:r>
      <w:r w:rsidRPr="00045808">
        <w:rPr>
          <w:sz w:val="24"/>
          <w:lang w:val="el-GR"/>
        </w:rPr>
        <w:t>σ. 1</w:t>
      </w:r>
      <w:r w:rsidR="00A61904">
        <w:rPr>
          <w:sz w:val="24"/>
          <w:lang w:val="el-GR"/>
        </w:rPr>
        <w:t xml:space="preserve">: </w:t>
      </w:r>
      <w:hyperlink r:id="rId30" w:history="1">
        <w:r w:rsidR="00A61904" w:rsidRPr="005D5EBC">
          <w:rPr>
            <w:rStyle w:val="Hyperlink"/>
            <w:sz w:val="24"/>
            <w:szCs w:val="24"/>
          </w:rPr>
          <w:t>https</w:t>
        </w:r>
        <w:r w:rsidR="00A61904" w:rsidRPr="005D5EBC">
          <w:rPr>
            <w:rStyle w:val="Hyperlink"/>
            <w:sz w:val="24"/>
            <w:szCs w:val="24"/>
            <w:lang w:val="el-GR"/>
          </w:rPr>
          <w:t>://</w:t>
        </w:r>
        <w:r w:rsidR="00A61904" w:rsidRPr="005D5EBC">
          <w:rPr>
            <w:rStyle w:val="Hyperlink"/>
            <w:sz w:val="24"/>
            <w:szCs w:val="24"/>
          </w:rPr>
          <w:t>eur</w:t>
        </w:r>
        <w:r w:rsidR="00A61904" w:rsidRPr="005D5EBC">
          <w:rPr>
            <w:rStyle w:val="Hyperlink"/>
            <w:sz w:val="24"/>
            <w:szCs w:val="24"/>
            <w:lang w:val="el-GR"/>
          </w:rPr>
          <w:t>-</w:t>
        </w:r>
        <w:r w:rsidR="00A61904" w:rsidRPr="005D5EBC">
          <w:rPr>
            <w:rStyle w:val="Hyperlink"/>
            <w:sz w:val="24"/>
            <w:szCs w:val="24"/>
          </w:rPr>
          <w:t>lex</w:t>
        </w:r>
        <w:r w:rsidR="00A61904" w:rsidRPr="005D5EBC">
          <w:rPr>
            <w:rStyle w:val="Hyperlink"/>
            <w:sz w:val="24"/>
            <w:szCs w:val="24"/>
            <w:lang w:val="el-GR"/>
          </w:rPr>
          <w:t>.</w:t>
        </w:r>
        <w:r w:rsidR="00A61904" w:rsidRPr="005D5EBC">
          <w:rPr>
            <w:rStyle w:val="Hyperlink"/>
            <w:sz w:val="24"/>
            <w:szCs w:val="24"/>
          </w:rPr>
          <w:t>europa</w:t>
        </w:r>
        <w:r w:rsidR="00A61904" w:rsidRPr="005D5EBC">
          <w:rPr>
            <w:rStyle w:val="Hyperlink"/>
            <w:sz w:val="24"/>
            <w:szCs w:val="24"/>
            <w:lang w:val="el-GR"/>
          </w:rPr>
          <w:t>.</w:t>
        </w:r>
        <w:r w:rsidR="00A61904" w:rsidRPr="005D5EBC">
          <w:rPr>
            <w:rStyle w:val="Hyperlink"/>
            <w:sz w:val="24"/>
            <w:szCs w:val="24"/>
          </w:rPr>
          <w:t>eu</w:t>
        </w:r>
        <w:r w:rsidR="00A61904" w:rsidRPr="005D5EBC">
          <w:rPr>
            <w:rStyle w:val="Hyperlink"/>
            <w:sz w:val="24"/>
            <w:szCs w:val="24"/>
            <w:lang w:val="el-GR"/>
          </w:rPr>
          <w:t>/</w:t>
        </w:r>
        <w:r w:rsidR="00A61904" w:rsidRPr="005D5EBC">
          <w:rPr>
            <w:rStyle w:val="Hyperlink"/>
            <w:sz w:val="24"/>
            <w:szCs w:val="24"/>
          </w:rPr>
          <w:t>legal</w:t>
        </w:r>
        <w:r w:rsidR="00A61904" w:rsidRPr="005D5EBC">
          <w:rPr>
            <w:rStyle w:val="Hyperlink"/>
            <w:sz w:val="24"/>
            <w:szCs w:val="24"/>
            <w:lang w:val="el-GR"/>
          </w:rPr>
          <w:t>-</w:t>
        </w:r>
        <w:r w:rsidR="00A61904" w:rsidRPr="005D5EBC">
          <w:rPr>
            <w:rStyle w:val="Hyperlink"/>
            <w:sz w:val="24"/>
            <w:szCs w:val="24"/>
          </w:rPr>
          <w:t>content</w:t>
        </w:r>
        <w:r w:rsidR="00A61904" w:rsidRPr="005D5EBC">
          <w:rPr>
            <w:rStyle w:val="Hyperlink"/>
            <w:sz w:val="24"/>
            <w:szCs w:val="24"/>
            <w:lang w:val="el-GR"/>
          </w:rPr>
          <w:t>/</w:t>
        </w:r>
        <w:r w:rsidR="00A61904" w:rsidRPr="005D5EBC">
          <w:rPr>
            <w:rStyle w:val="Hyperlink"/>
            <w:sz w:val="24"/>
            <w:szCs w:val="24"/>
          </w:rPr>
          <w:t>EN</w:t>
        </w:r>
        <w:r w:rsidR="00A61904" w:rsidRPr="005D5EBC">
          <w:rPr>
            <w:rStyle w:val="Hyperlink"/>
            <w:sz w:val="24"/>
            <w:szCs w:val="24"/>
            <w:lang w:val="el-GR"/>
          </w:rPr>
          <w:t>/</w:t>
        </w:r>
        <w:r w:rsidR="00A61904" w:rsidRPr="005D5EBC">
          <w:rPr>
            <w:rStyle w:val="Hyperlink"/>
            <w:sz w:val="24"/>
            <w:szCs w:val="24"/>
          </w:rPr>
          <w:t>TXT</w:t>
        </w:r>
        <w:r w:rsidR="00A61904" w:rsidRPr="005D5EBC">
          <w:rPr>
            <w:rStyle w:val="Hyperlink"/>
            <w:sz w:val="24"/>
            <w:szCs w:val="24"/>
            <w:lang w:val="el-GR"/>
          </w:rPr>
          <w:t>/?</w:t>
        </w:r>
        <w:r w:rsidR="00A61904" w:rsidRPr="005D5EBC">
          <w:rPr>
            <w:rStyle w:val="Hyperlink"/>
            <w:sz w:val="24"/>
            <w:szCs w:val="24"/>
          </w:rPr>
          <w:t>uri</w:t>
        </w:r>
        <w:r w:rsidR="00A61904" w:rsidRPr="005D5EBC">
          <w:rPr>
            <w:rStyle w:val="Hyperlink"/>
            <w:sz w:val="24"/>
            <w:szCs w:val="24"/>
            <w:lang w:val="el-GR"/>
          </w:rPr>
          <w:t>=</w:t>
        </w:r>
        <w:r w:rsidR="00A61904" w:rsidRPr="005D5EBC">
          <w:rPr>
            <w:rStyle w:val="Hyperlink"/>
            <w:sz w:val="24"/>
            <w:szCs w:val="24"/>
          </w:rPr>
          <w:t>celex</w:t>
        </w:r>
        <w:r w:rsidR="00A61904" w:rsidRPr="005D5EBC">
          <w:rPr>
            <w:rStyle w:val="Hyperlink"/>
            <w:sz w:val="24"/>
            <w:szCs w:val="24"/>
            <w:lang w:val="el-GR"/>
          </w:rPr>
          <w:t>:52019</w:t>
        </w:r>
        <w:r w:rsidR="00A61904" w:rsidRPr="005D5EBC">
          <w:rPr>
            <w:rStyle w:val="Hyperlink"/>
            <w:sz w:val="24"/>
            <w:szCs w:val="24"/>
          </w:rPr>
          <w:t>DC</w:t>
        </w:r>
        <w:r w:rsidR="00A61904" w:rsidRPr="005D5EBC">
          <w:rPr>
            <w:rStyle w:val="Hyperlink"/>
            <w:sz w:val="24"/>
            <w:szCs w:val="24"/>
            <w:lang w:val="el-GR"/>
          </w:rPr>
          <w:t>0352</w:t>
        </w:r>
      </w:hyperlink>
      <w:r w:rsidRPr="00045808">
        <w:rPr>
          <w:sz w:val="24"/>
          <w:lang w:val="el-GR"/>
        </w:rPr>
        <w:t>.</w:t>
      </w:r>
    </w:p>
  </w:footnote>
  <w:footnote w:id="20">
    <w:p w14:paraId="0888DD94" w14:textId="77777777" w:rsidR="00E05E0B" w:rsidRPr="00045808" w:rsidRDefault="00E05E0B" w:rsidP="00045808">
      <w:pPr>
        <w:pStyle w:val="FootnoteText"/>
        <w:ind w:left="567" w:hanging="567"/>
        <w:rPr>
          <w:sz w:val="24"/>
          <w:lang w:val="el-GR"/>
        </w:rPr>
      </w:pPr>
      <w:r w:rsidRPr="00045808">
        <w:rPr>
          <w:rStyle w:val="FootnoteReference"/>
          <w:rFonts w:eastAsiaTheme="majorEastAsia"/>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Ομοίως, σ. 2.</w:t>
      </w:r>
    </w:p>
  </w:footnote>
  <w:footnote w:id="21">
    <w:p w14:paraId="05A931E3" w14:textId="77777777" w:rsidR="00E05E0B" w:rsidRPr="00045808" w:rsidRDefault="00E05E0B" w:rsidP="00045808">
      <w:pPr>
        <w:pStyle w:val="FootnoteText"/>
        <w:ind w:left="567" w:hanging="567"/>
        <w:rPr>
          <w:sz w:val="24"/>
          <w:lang w:val="el-GR"/>
        </w:rPr>
      </w:pPr>
      <w:r w:rsidRPr="00045808">
        <w:rPr>
          <w:rStyle w:val="FootnoteReference"/>
          <w:rFonts w:eastAsiaTheme="majorEastAsia"/>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Βλ. στόχο 15.2:</w:t>
      </w:r>
      <w:r w:rsidRPr="00045808">
        <w:rPr>
          <w:color w:val="000000"/>
          <w:sz w:val="24"/>
          <w:lang w:val="el-GR"/>
        </w:rPr>
        <w:t xml:space="preserve"> </w:t>
      </w:r>
      <w:hyperlink r:id="rId31" w:history="1">
        <w:r w:rsidRPr="00045808">
          <w:rPr>
            <w:rStyle w:val="Hyperlink"/>
            <w:sz w:val="24"/>
            <w:lang w:val="el-GR"/>
          </w:rPr>
          <w:t>https://www.un.org/sustainabledevelopment/biodiversity/</w:t>
        </w:r>
      </w:hyperlink>
      <w:r w:rsidRPr="00045808">
        <w:rPr>
          <w:rStyle w:val="Hyperlink"/>
          <w:sz w:val="24"/>
          <w:lang w:val="el-GR"/>
        </w:rPr>
        <w:t>.</w:t>
      </w:r>
      <w:r w:rsidRPr="00045808">
        <w:rPr>
          <w:color w:val="000000"/>
          <w:sz w:val="24"/>
          <w:lang w:val="el-GR"/>
        </w:rPr>
        <w:t xml:space="preserve"> </w:t>
      </w:r>
    </w:p>
  </w:footnote>
  <w:footnote w:id="22">
    <w:p w14:paraId="46EB9101" w14:textId="77777777" w:rsidR="00E05E0B" w:rsidRPr="00045808" w:rsidRDefault="00E05E0B" w:rsidP="00045808">
      <w:pPr>
        <w:pStyle w:val="FootnoteText"/>
        <w:ind w:left="567" w:hanging="567"/>
        <w:rPr>
          <w:sz w:val="24"/>
          <w:lang w:val="el-GR"/>
        </w:rPr>
      </w:pPr>
      <w:r w:rsidRPr="00045808">
        <w:rPr>
          <w:rStyle w:val="FootnoteReference"/>
          <w:rFonts w:eastAsiaTheme="majorEastAsia"/>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 xml:space="preserve">Ανακοίνωση της Επιτροπής, της 23ης Ιουλίου 2019, με τίτλο «Εντατικοποίηση της δράσης της ΕΕ για την προστασία και την αποκατάσταση των δασών του πλανήτη», </w:t>
      </w:r>
      <w:hyperlink r:id="rId32" w:history="1">
        <w:r w:rsidRPr="00045808">
          <w:rPr>
            <w:rStyle w:val="Hyperlink"/>
            <w:sz w:val="24"/>
            <w:lang w:val="el-GR"/>
          </w:rPr>
          <w:t>COM(2019)0352</w:t>
        </w:r>
      </w:hyperlink>
      <w:r w:rsidRPr="00045808">
        <w:rPr>
          <w:sz w:val="24"/>
          <w:lang w:val="el-GR"/>
        </w:rPr>
        <w:t>, σ. 2.</w:t>
      </w:r>
    </w:p>
  </w:footnote>
  <w:footnote w:id="23">
    <w:p w14:paraId="5626AE66" w14:textId="77777777" w:rsidR="00E05E0B" w:rsidRPr="00045808" w:rsidRDefault="00E05E0B" w:rsidP="00045808">
      <w:pPr>
        <w:pStyle w:val="FootnoteText"/>
        <w:ind w:left="567" w:hanging="567"/>
        <w:rPr>
          <w:sz w:val="24"/>
          <w:lang w:val="el-GR"/>
        </w:rPr>
      </w:pPr>
      <w:r w:rsidRPr="00045808">
        <w:rPr>
          <w:rStyle w:val="FootnoteReference"/>
          <w:rFonts w:eastAsiaTheme="majorEastAsia"/>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Ανακοίνωση της Επιτροπής με τίτλο «Εντατικοποίηση της δράσης της ΕΕ για την προστασία και την αποκατάσταση των δασών του πλανήτη»</w:t>
      </w:r>
      <w:r w:rsidRPr="00045808">
        <w:rPr>
          <w:sz w:val="24"/>
          <w:bdr w:val="none" w:sz="0" w:space="0" w:color="auto" w:frame="1"/>
          <w:shd w:val="clear" w:color="auto" w:fill="FFFFFF"/>
          <w:lang w:val="el-GR"/>
        </w:rPr>
        <w:t>,</w:t>
      </w:r>
      <w:r w:rsidRPr="00045808">
        <w:rPr>
          <w:sz w:val="24"/>
          <w:lang w:val="el-GR"/>
        </w:rPr>
        <w:t xml:space="preserve"> </w:t>
      </w:r>
      <w:hyperlink r:id="rId33" w:history="1">
        <w:r w:rsidRPr="00045808">
          <w:rPr>
            <w:rStyle w:val="Hyperlink"/>
            <w:sz w:val="24"/>
            <w:lang w:val="el-GR"/>
          </w:rPr>
          <w:t>https://eur-lex.europa.eu/legal-content/EL/TXT/HTML/?uri=CELEX:52019DC0352&amp;from=EL</w:t>
        </w:r>
      </w:hyperlink>
      <w:r w:rsidRPr="00045808">
        <w:rPr>
          <w:rStyle w:val="Hyperlink"/>
          <w:sz w:val="24"/>
          <w:lang w:val="el-GR"/>
        </w:rPr>
        <w:t>.</w:t>
      </w:r>
    </w:p>
  </w:footnote>
  <w:footnote w:id="24">
    <w:p w14:paraId="24FD737F" w14:textId="77777777" w:rsidR="00E05E0B" w:rsidRPr="00045808" w:rsidRDefault="00E05E0B" w:rsidP="005D5EBC">
      <w:pPr>
        <w:widowControl/>
        <w:ind w:left="567" w:hanging="567"/>
      </w:pPr>
      <w:r w:rsidRPr="00045808">
        <w:rPr>
          <w:rStyle w:val="FootnoteReference"/>
          <w:rFonts w:eastAsiaTheme="majorEastAsia"/>
        </w:rPr>
        <w:footnoteRef/>
      </w:r>
      <w:r w:rsidR="00045808" w:rsidRPr="00045808">
        <w:t xml:space="preserve"> </w:t>
      </w:r>
      <w:r w:rsidR="00045808" w:rsidRPr="00045808">
        <w:tab/>
      </w:r>
      <w:r w:rsidRPr="00045808">
        <w:t xml:space="preserve">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«Στρατηγική της ΕΕ για τη βιοποικιλότητα με ορίζοντα το 2030: επαναφορά της φύσης στη ζωή μας», </w:t>
      </w:r>
      <w:r w:rsidR="00A61904" w:rsidRPr="005D5EBC">
        <w:t>COM(2020)0380</w:t>
      </w:r>
      <w:r w:rsidR="00A61904">
        <w:t xml:space="preserve">: </w:t>
      </w:r>
      <w:hyperlink r:id="rId34" w:history="1">
        <w:r w:rsidR="00A61904">
          <w:rPr>
            <w:rStyle w:val="Hyperlink"/>
          </w:rPr>
          <w:t>https://eur-lex.europa.eu/legal-content/EN/TXT/?uri=celex:52020DC0380</w:t>
        </w:r>
      </w:hyperlink>
      <w:r w:rsidRPr="00045808">
        <w:rPr>
          <w:rStyle w:val="Hyperlink"/>
        </w:rPr>
        <w:t>.</w:t>
      </w:r>
    </w:p>
  </w:footnote>
  <w:footnote w:id="25">
    <w:p w14:paraId="2A448CF4" w14:textId="77777777" w:rsidR="00E05E0B" w:rsidRPr="00045808" w:rsidRDefault="00E05E0B" w:rsidP="00045808">
      <w:pPr>
        <w:pStyle w:val="FootnoteText"/>
        <w:ind w:left="567" w:hanging="567"/>
        <w:rPr>
          <w:sz w:val="24"/>
          <w:lang w:val="el-GR"/>
        </w:rPr>
      </w:pPr>
      <w:r w:rsidRPr="00045808">
        <w:rPr>
          <w:rStyle w:val="FootnoteReference"/>
          <w:rFonts w:eastAsiaTheme="majorEastAsia"/>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 xml:space="preserve">International Service for the Acquisition of Agri-biotech Applications (Διεθνής Υπηρεσία για την απόκτηση γεωργικών βιοτεχνολογικών εφαρμογών - ISAAA), «Global status of commercialized biotech/GM crops in 2017: Biotech Crop Adoption Surges as Economic Benefits Accumulate in 22 Years», (Παγκόσμια κατάσταση των εμπορεύσιμων βιοτεχνολογικών/ΓΤ καλλιεργειών το 2017: Απότομη αύξηση της χρήσης βιοτεχνολογικών καλλιεργειών παράλληλα με τη σώρευση οικονομικών οφελών σε διάστημα 22 ετών), Ενημερωτικό δελτίο ISAAA αριθ. 53 (2017), σ. 16 και 21, </w:t>
      </w:r>
      <w:hyperlink r:id="rId35" w:history="1">
        <w:r w:rsidRPr="00045808">
          <w:rPr>
            <w:rStyle w:val="Hyperlink"/>
            <w:sz w:val="24"/>
            <w:lang w:val="el-GR"/>
          </w:rPr>
          <w:t>http://www.isaaa.org/resources/publications/briefs/53/download/isaaa-brief-53-2017.pdf</w:t>
        </w:r>
      </w:hyperlink>
      <w:r w:rsidRPr="00045808">
        <w:rPr>
          <w:rStyle w:val="Hyperlink"/>
          <w:sz w:val="24"/>
          <w:lang w:val="el-GR"/>
        </w:rPr>
        <w:t>.</w:t>
      </w:r>
      <w:r w:rsidRPr="00045808">
        <w:rPr>
          <w:sz w:val="24"/>
          <w:lang w:val="el-GR"/>
        </w:rPr>
        <w:t xml:space="preserve"> </w:t>
      </w:r>
    </w:p>
  </w:footnote>
  <w:footnote w:id="26">
    <w:p w14:paraId="22E040DD" w14:textId="77777777" w:rsidR="00E05E0B" w:rsidRPr="00045808" w:rsidRDefault="00E05E0B" w:rsidP="00045808">
      <w:pPr>
        <w:pStyle w:val="FootnoteText"/>
        <w:ind w:left="567" w:hanging="567"/>
        <w:rPr>
          <w:sz w:val="24"/>
          <w:lang w:val="el-GR"/>
        </w:rPr>
      </w:pPr>
      <w:r w:rsidRPr="00045808">
        <w:rPr>
          <w:rStyle w:val="FootnoteReference"/>
          <w:rFonts w:eastAsiaTheme="majorEastAsia"/>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 xml:space="preserve">Τεχνική έκθεση 2013 - 063 της Ευρωπαϊκής Επιτροπής με τίτλο «Οι επιπτώσεις της ενωσιακής κατανάλωσης στην αποψίλωση των δασών: Ολοκληρωμένη ανάλυση του αντικτύπου της κατανάλωσης της ΕΕ στην αποψίλωση των δασών», </w:t>
      </w:r>
      <w:hyperlink r:id="rId36" w:history="1">
        <w:r w:rsidRPr="00045808">
          <w:rPr>
            <w:rStyle w:val="Hyperlink"/>
            <w:sz w:val="24"/>
            <w:lang w:val="el-GR"/>
          </w:rPr>
          <w:t>https://op.europa.eu/en/publication-detail/-/publication/c1d3ef3e-d07e-4229-91e5-41001b47dba8/language-en,</w:t>
        </w:r>
      </w:hyperlink>
      <w:r w:rsidRPr="00045808">
        <w:rPr>
          <w:sz w:val="24"/>
          <w:lang w:val="el-GR"/>
        </w:rPr>
        <w:t xml:space="preserve"> σ. 23-24: Από το 1990 έως το 2008, η Ένωση εισήγαγε φυτικά και κτηνοτροφικά προϊόντα που ενσωματώνουν την αποψίλωση 90 000 km</w:t>
      </w:r>
      <w:r w:rsidRPr="00045808">
        <w:rPr>
          <w:rStyle w:val="sup1"/>
          <w:color w:val="000000"/>
          <w:sz w:val="24"/>
          <w:lang w:val="el-GR"/>
        </w:rPr>
        <w:t>2</w:t>
      </w:r>
      <w:r w:rsidRPr="00045808">
        <w:rPr>
          <w:sz w:val="24"/>
          <w:lang w:val="el-GR"/>
        </w:rPr>
        <w:t xml:space="preserve"> δασικών εκτάσεων. Τα φυτικά προϊόντα αντιπροσώπευαν 74 000 km</w:t>
      </w:r>
      <w:r w:rsidRPr="00045808">
        <w:rPr>
          <w:rStyle w:val="sup1"/>
          <w:color w:val="000000"/>
          <w:sz w:val="24"/>
          <w:lang w:val="el-GR"/>
        </w:rPr>
        <w:t>2</w:t>
      </w:r>
      <w:r w:rsidRPr="00045808">
        <w:rPr>
          <w:sz w:val="24"/>
          <w:lang w:val="el-GR"/>
        </w:rPr>
        <w:t xml:space="preserve"> (82 %) των εκτάσεων αυτών, τα δε ελαιούχα φυτά είχαν το μεγαλύτερο μερίδιο (52 000 km</w:t>
      </w:r>
      <w:r w:rsidRPr="00045808">
        <w:rPr>
          <w:rStyle w:val="sup1"/>
          <w:color w:val="000000"/>
          <w:sz w:val="24"/>
          <w:lang w:val="el-GR"/>
        </w:rPr>
        <w:t>2</w:t>
      </w:r>
      <w:r w:rsidRPr="00045808">
        <w:rPr>
          <w:sz w:val="24"/>
          <w:lang w:val="el-GR"/>
        </w:rPr>
        <w:t>). Η σόγια και η πίτα σόγιας αντιπροσώπευαν το 82 % των εν λόγω εκτάσεων (42 600 km</w:t>
      </w:r>
      <w:r w:rsidRPr="00045808">
        <w:rPr>
          <w:rStyle w:val="sup1"/>
          <w:color w:val="000000"/>
          <w:sz w:val="24"/>
          <w:lang w:val="el-GR"/>
        </w:rPr>
        <w:t>2</w:t>
      </w:r>
      <w:r w:rsidRPr="00045808">
        <w:rPr>
          <w:sz w:val="24"/>
          <w:lang w:val="el-GR"/>
        </w:rPr>
        <w:t>), που ισοδυναμεί με το 47 % των συνολικών ενωσιακών εισαγωγών ενσωματωμένης αποψίλωσης.</w:t>
      </w:r>
    </w:p>
  </w:footnote>
  <w:footnote w:id="27">
    <w:p w14:paraId="1025180F" w14:textId="77777777" w:rsidR="00E05E0B" w:rsidRPr="00045808" w:rsidRDefault="00E05E0B" w:rsidP="00045808">
      <w:pPr>
        <w:pStyle w:val="FootnoteText"/>
        <w:ind w:left="567" w:hanging="567"/>
        <w:rPr>
          <w:sz w:val="24"/>
          <w:lang w:val="el-GR"/>
        </w:rPr>
      </w:pPr>
      <w:r w:rsidRPr="00045808">
        <w:rPr>
          <w:rStyle w:val="FootnoteReference"/>
          <w:rFonts w:eastAsiaTheme="minorHAnsi"/>
          <w:sz w:val="24"/>
          <w:lang w:val="el-GR"/>
        </w:rPr>
        <w:footnoteRef/>
      </w:r>
      <w:r w:rsidR="00045808" w:rsidRPr="00045808">
        <w:rPr>
          <w:sz w:val="24"/>
          <w:lang w:val="el-GR"/>
        </w:rPr>
        <w:t xml:space="preserve"> </w:t>
      </w:r>
      <w:r w:rsidR="00045808" w:rsidRPr="00045808">
        <w:rPr>
          <w:sz w:val="24"/>
          <w:lang w:val="el-GR"/>
        </w:rPr>
        <w:tab/>
      </w:r>
      <w:hyperlink r:id="rId37" w:history="1">
        <w:r w:rsidRPr="00045808">
          <w:rPr>
            <w:rStyle w:val="Hyperlink"/>
            <w:sz w:val="24"/>
            <w:lang w:val="el-GR"/>
          </w:rPr>
          <w:t>https://commission.europa.eu/document/2c64e540-c07a-4376-a1da-368d289f4afe_en</w:t>
        </w:r>
      </w:hyperlink>
      <w:r w:rsidRPr="00045808">
        <w:rPr>
          <w:sz w:val="24"/>
          <w:lang w:val="el-GR"/>
        </w:rPr>
        <w:t>.</w:t>
      </w:r>
    </w:p>
  </w:footnote>
  <w:footnote w:id="28">
    <w:p w14:paraId="7A18ACA5" w14:textId="77777777" w:rsidR="00E05E0B" w:rsidRPr="00045808" w:rsidRDefault="00E05E0B" w:rsidP="00045808">
      <w:pPr>
        <w:pStyle w:val="FootnoteText"/>
        <w:ind w:left="567" w:hanging="567"/>
        <w:rPr>
          <w:sz w:val="24"/>
          <w:lang w:val="el-GR"/>
        </w:rPr>
      </w:pPr>
      <w:r w:rsidRPr="00045808">
        <w:rPr>
          <w:rStyle w:val="FootnoteReference"/>
          <w:rFonts w:eastAsiaTheme="minorHAnsi"/>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Σύμφωνα με το άρθρο 6 παράγραφος 3 του κανονισμού (ΕΕ) αριθ. 182/2011, εάν στην επιτροπή προσφυγών δεν υπάρχει ειδική πλειοψηφία κρατών μελών υπέρ της έγκρισης, η Επιτροπή «μπορεί» να προχωρήσει στην έγκριση, χωρίς όμως να είναι υποχρεωμένη να το πράξει.</w:t>
      </w:r>
    </w:p>
  </w:footnote>
  <w:footnote w:id="29">
    <w:p w14:paraId="1FA434CC" w14:textId="77777777" w:rsidR="00E05E0B" w:rsidRPr="00045808" w:rsidRDefault="00E05E0B" w:rsidP="00045808">
      <w:pPr>
        <w:pStyle w:val="FootnoteText"/>
        <w:ind w:left="567" w:hanging="567"/>
        <w:rPr>
          <w:sz w:val="24"/>
          <w:lang w:val="el-GR"/>
        </w:rPr>
      </w:pPr>
      <w:r w:rsidRPr="00045808">
        <w:rPr>
          <w:rStyle w:val="FootnoteReference"/>
          <w:rFonts w:eastAsiaTheme="minorHAnsi"/>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1, ELI:</w:t>
      </w:r>
      <w:r w:rsidRPr="00045808">
        <w:rPr>
          <w:color w:val="000000" w:themeColor="text1"/>
          <w:sz w:val="24"/>
          <w:lang w:val="el-GR"/>
        </w:rPr>
        <w:t> </w:t>
      </w:r>
      <w:hyperlink r:id="rId38" w:tgtFrame="Gives access to this document through its ELI URI." w:history="1">
        <w:r w:rsidRPr="00045808">
          <w:rPr>
            <w:rStyle w:val="Hyperlink"/>
            <w:color w:val="0070C0"/>
            <w:sz w:val="24"/>
            <w:lang w:val="el-GR"/>
          </w:rPr>
          <w:t>http://data.europa.eu/eli/reg/2002/178/oj</w:t>
        </w:r>
      </w:hyperlink>
      <w:r w:rsidRPr="00045808">
        <w:rPr>
          <w:sz w:val="24"/>
          <w:lang w:val="el-GR"/>
        </w:rPr>
        <w:t>).</w:t>
      </w:r>
    </w:p>
  </w:footnote>
  <w:footnote w:id="30">
    <w:p w14:paraId="798A3D83" w14:textId="77777777" w:rsidR="00E05E0B" w:rsidRPr="00045808" w:rsidRDefault="00E05E0B" w:rsidP="00045808">
      <w:pPr>
        <w:pStyle w:val="FootnoteText"/>
        <w:ind w:left="567" w:hanging="567"/>
        <w:rPr>
          <w:sz w:val="24"/>
          <w:lang w:val="el-GR"/>
        </w:rPr>
      </w:pPr>
      <w:r w:rsidRPr="00045808">
        <w:rPr>
          <w:rStyle w:val="FootnoteReference"/>
          <w:rFonts w:eastAsiaTheme="minorHAnsi"/>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 xml:space="preserve">Τον Δεκέμβριο του 2022 συμφωνήθηκε ένα παγκόσμιο πλαίσιο για τη βιοποικιλότητα στην COP15 της Σύμβασης των Ηνωμένων Εθνών για τη βιολογική ποικιλότητα, το οποίο περιλαμβάνει έναν παγκόσμιο στόχο για τη μείωση του κινδύνου από τα φυτοφάρμακα κατά τουλάχιστον 50 % έως το 2030 (βλ.: </w:t>
      </w:r>
      <w:hyperlink r:id="rId39" w:history="1">
        <w:r w:rsidRPr="00045808">
          <w:rPr>
            <w:rStyle w:val="Hyperlink"/>
            <w:sz w:val="24"/>
            <w:lang w:val="el-GR"/>
          </w:rPr>
          <w:t>https://ec.europa.eu/commission/presscorner/detail/el/ip_22_7834</w:t>
        </w:r>
      </w:hyperlink>
      <w:r w:rsidRPr="00045808">
        <w:rPr>
          <w:sz w:val="24"/>
          <w:lang w:val="el-GR"/>
        </w:rPr>
        <w:t>).</w:t>
      </w:r>
    </w:p>
  </w:footnote>
  <w:footnote w:id="31">
    <w:p w14:paraId="4766CEC3" w14:textId="77777777" w:rsidR="00E05E0B" w:rsidRPr="00045808" w:rsidRDefault="00E05E0B" w:rsidP="00045808">
      <w:pPr>
        <w:pStyle w:val="FootnoteText"/>
        <w:ind w:left="567" w:hanging="567"/>
        <w:rPr>
          <w:sz w:val="24"/>
          <w:lang w:val="el-GR"/>
        </w:rPr>
      </w:pPr>
      <w:r w:rsidRPr="00045808">
        <w:rPr>
          <w:rStyle w:val="FootnoteReference"/>
          <w:rFonts w:eastAsiaTheme="minorHAnsi"/>
          <w:sz w:val="24"/>
          <w:lang w:val="el-GR"/>
        </w:rPr>
        <w:footnoteRef/>
      </w:r>
      <w:r w:rsidR="00045808" w:rsidRPr="00045808">
        <w:rPr>
          <w:sz w:val="24"/>
          <w:lang w:val="el-GR"/>
        </w:rPr>
        <w:t xml:space="preserve"> </w:t>
      </w:r>
      <w:r w:rsidR="00045808" w:rsidRPr="00045808">
        <w:rPr>
          <w:sz w:val="24"/>
          <w:lang w:val="el-GR"/>
        </w:rPr>
        <w:tab/>
      </w:r>
      <w:hyperlink r:id="rId40" w:history="1">
        <w:r w:rsidRPr="00045808">
          <w:rPr>
            <w:rStyle w:val="Hyperlink"/>
            <w:sz w:val="24"/>
            <w:lang w:val="el-GR"/>
          </w:rPr>
          <w:t>https://tillymetz.lu/wp-content/uploads/2020/09/Co-signed-letter-MEP-Metz.pdf</w:t>
        </w:r>
      </w:hyperlink>
      <w:r w:rsidRPr="00045808">
        <w:rPr>
          <w:rStyle w:val="Hyperlink"/>
          <w:sz w:val="24"/>
          <w:lang w:val="el-GR"/>
        </w:rPr>
        <w:t>.</w:t>
      </w:r>
    </w:p>
  </w:footnote>
  <w:footnote w:id="32">
    <w:p w14:paraId="4E16F890" w14:textId="77777777" w:rsidR="00E05E0B" w:rsidRPr="00045808" w:rsidRDefault="00E05E0B" w:rsidP="00045808">
      <w:pPr>
        <w:pStyle w:val="FootnoteText"/>
        <w:ind w:left="567" w:hanging="567"/>
        <w:rPr>
          <w:sz w:val="24"/>
          <w:lang w:val="el-GR"/>
        </w:rPr>
      </w:pPr>
      <w:r w:rsidRPr="00045808">
        <w:rPr>
          <w:rStyle w:val="FootnoteReference"/>
          <w:rFonts w:eastAsiaTheme="minorHAnsi"/>
          <w:sz w:val="24"/>
          <w:lang w:val="el-GR"/>
        </w:rPr>
        <w:footnoteRef/>
      </w:r>
      <w:r w:rsidR="00045808" w:rsidRPr="00045808">
        <w:rPr>
          <w:sz w:val="24"/>
          <w:lang w:val="el-GR"/>
        </w:rPr>
        <w:t xml:space="preserve"> </w:t>
      </w:r>
      <w:r w:rsidR="00045808" w:rsidRPr="00045808">
        <w:rPr>
          <w:sz w:val="24"/>
          <w:lang w:val="el-GR"/>
        </w:rPr>
        <w:tab/>
      </w:r>
      <w:r w:rsidRPr="00045808">
        <w:rPr>
          <w:sz w:val="24"/>
          <w:lang w:val="el-GR"/>
        </w:rPr>
        <w:t>Ψήφισμα του Ευρωπαϊκού Κοινοβουλίου της 15ης Ιανουαρίου 2020 σχετικά με την Ευρωπαϊκή Πράσινη Συμφωνία (ΕΕ C 270 της 7.7.2021, σ. 2), παράγραφος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B78AD" w14:textId="77777777" w:rsidR="00064002" w:rsidRPr="0004580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3739A" w14:textId="77777777" w:rsidR="00064002" w:rsidRPr="0004580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B3276" w14:textId="77777777" w:rsidR="00064002" w:rsidRPr="000458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9032929">
    <w:abstractNumId w:val="9"/>
  </w:num>
  <w:num w:numId="2" w16cid:durableId="292060041">
    <w:abstractNumId w:val="9"/>
  </w:num>
  <w:num w:numId="3" w16cid:durableId="1906990964">
    <w:abstractNumId w:val="7"/>
  </w:num>
  <w:num w:numId="4" w16cid:durableId="1852454978">
    <w:abstractNumId w:val="7"/>
  </w:num>
  <w:num w:numId="5" w16cid:durableId="270085947">
    <w:abstractNumId w:val="6"/>
  </w:num>
  <w:num w:numId="6" w16cid:durableId="880946008">
    <w:abstractNumId w:val="6"/>
  </w:num>
  <w:num w:numId="7" w16cid:durableId="1173766256">
    <w:abstractNumId w:val="5"/>
  </w:num>
  <w:num w:numId="8" w16cid:durableId="1507405683">
    <w:abstractNumId w:val="5"/>
  </w:num>
  <w:num w:numId="9" w16cid:durableId="1936358904">
    <w:abstractNumId w:val="4"/>
  </w:num>
  <w:num w:numId="10" w16cid:durableId="1881746625">
    <w:abstractNumId w:val="4"/>
  </w:num>
  <w:num w:numId="11" w16cid:durableId="1662464387">
    <w:abstractNumId w:val="8"/>
  </w:num>
  <w:num w:numId="12" w16cid:durableId="1626888703">
    <w:abstractNumId w:val="8"/>
  </w:num>
  <w:num w:numId="13" w16cid:durableId="651450785">
    <w:abstractNumId w:val="3"/>
  </w:num>
  <w:num w:numId="14" w16cid:durableId="1068922812">
    <w:abstractNumId w:val="3"/>
  </w:num>
  <w:num w:numId="15" w16cid:durableId="264195991">
    <w:abstractNumId w:val="2"/>
  </w:num>
  <w:num w:numId="16" w16cid:durableId="830562096">
    <w:abstractNumId w:val="2"/>
  </w:num>
  <w:num w:numId="17" w16cid:durableId="271785898">
    <w:abstractNumId w:val="1"/>
  </w:num>
  <w:num w:numId="18" w16cid:durableId="1181168249">
    <w:abstractNumId w:val="1"/>
  </w:num>
  <w:num w:numId="19" w16cid:durableId="870075508">
    <w:abstractNumId w:val="0"/>
  </w:num>
  <w:num w:numId="20" w16cid:durableId="712387718">
    <w:abstractNumId w:val="0"/>
  </w:num>
  <w:num w:numId="21" w16cid:durableId="1007027041">
    <w:abstractNumId w:val="9"/>
  </w:num>
  <w:num w:numId="22" w16cid:durableId="1293485772">
    <w:abstractNumId w:val="7"/>
  </w:num>
  <w:num w:numId="23" w16cid:durableId="593632235">
    <w:abstractNumId w:val="6"/>
  </w:num>
  <w:num w:numId="24" w16cid:durableId="2010863350">
    <w:abstractNumId w:val="5"/>
  </w:num>
  <w:num w:numId="25" w16cid:durableId="742877038">
    <w:abstractNumId w:val="4"/>
  </w:num>
  <w:num w:numId="26" w16cid:durableId="642737190">
    <w:abstractNumId w:val="8"/>
  </w:num>
  <w:num w:numId="27" w16cid:durableId="1128551776">
    <w:abstractNumId w:val="3"/>
  </w:num>
  <w:num w:numId="28" w16cid:durableId="965551095">
    <w:abstractNumId w:val="2"/>
  </w:num>
  <w:num w:numId="29" w16cid:durableId="2006013446">
    <w:abstractNumId w:val="1"/>
  </w:num>
  <w:num w:numId="30" w16cid:durableId="263151382">
    <w:abstractNumId w:val="0"/>
  </w:num>
  <w:num w:numId="31" w16cid:durableId="1839611330">
    <w:abstractNumId w:val="9"/>
  </w:num>
  <w:num w:numId="32" w16cid:durableId="335883210">
    <w:abstractNumId w:val="7"/>
  </w:num>
  <w:num w:numId="33" w16cid:durableId="1664964881">
    <w:abstractNumId w:val="6"/>
  </w:num>
  <w:num w:numId="34" w16cid:durableId="1384057766">
    <w:abstractNumId w:val="5"/>
  </w:num>
  <w:num w:numId="35" w16cid:durableId="436027985">
    <w:abstractNumId w:val="4"/>
  </w:num>
  <w:num w:numId="36" w16cid:durableId="2144157068">
    <w:abstractNumId w:val="8"/>
  </w:num>
  <w:num w:numId="37" w16cid:durableId="1768580846">
    <w:abstractNumId w:val="3"/>
  </w:num>
  <w:num w:numId="38" w16cid:durableId="1194609235">
    <w:abstractNumId w:val="2"/>
  </w:num>
  <w:num w:numId="39" w16cid:durableId="1607082764">
    <w:abstractNumId w:val="1"/>
  </w:num>
  <w:num w:numId="40" w16cid:durableId="837620168">
    <w:abstractNumId w:val="0"/>
  </w:num>
  <w:num w:numId="41" w16cid:durableId="1021201615">
    <w:abstractNumId w:val="10"/>
  </w:num>
  <w:num w:numId="42" w16cid:durableId="767769789">
    <w:abstractNumId w:val="10"/>
  </w:num>
  <w:num w:numId="43" w16cid:durableId="475339424">
    <w:abstractNumId w:val="10"/>
  </w:num>
  <w:num w:numId="44" w16cid:durableId="15366546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44/2025"/>
    <w:docVar w:name="dvlangue" w:val="EL"/>
    <w:docVar w:name="dvnumam" w:val="0"/>
    <w:docVar w:name="dvpe" w:val="772.013"/>
    <w:docVar w:name="dvtitre" w:val="Ψήφισμα του Ευρωπαϊκού Κοινοβουλίου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της σειράς MON 87705 × MON 87708 × MON 89788, σύμφωνα με τον κανονισμό (ΕΚ) αριθ. 1829/2003 του Ευρωπαϊκού Κοινοβουλίου και του Συμβουλίου(D105678/01 – 2025/2647(RSP))"/>
  </w:docVars>
  <w:rsids>
    <w:rsidRoot w:val="00A76780"/>
    <w:rsid w:val="00002272"/>
    <w:rsid w:val="00045808"/>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EBC"/>
    <w:rsid w:val="005F1B17"/>
    <w:rsid w:val="006037C0"/>
    <w:rsid w:val="006631B6"/>
    <w:rsid w:val="00680577"/>
    <w:rsid w:val="00687DA6"/>
    <w:rsid w:val="006C638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1904"/>
    <w:rsid w:val="00A7678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EFD"/>
    <w:rsid w:val="00CC2357"/>
    <w:rsid w:val="00CF071A"/>
    <w:rsid w:val="00D058B8"/>
    <w:rsid w:val="00D51C25"/>
    <w:rsid w:val="00D56C11"/>
    <w:rsid w:val="00D834A0"/>
    <w:rsid w:val="00D872DF"/>
    <w:rsid w:val="00D91E21"/>
    <w:rsid w:val="00DA7FCD"/>
    <w:rsid w:val="00E05E0B"/>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2A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421FC"/>
  <w15:chartTrackingRefBased/>
  <w15:docId w15:val="{B68A4E55-C51A-4208-9960-AC60FDAF7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05E0B"/>
    <w:pPr>
      <w:spacing w:before="480" w:after="240"/>
    </w:pPr>
  </w:style>
  <w:style w:type="paragraph" w:customStyle="1" w:styleId="NormalBold12a">
    <w:name w:val="NormalBold12a"/>
    <w:basedOn w:val="Normal"/>
    <w:rsid w:val="00E05E0B"/>
    <w:pPr>
      <w:spacing w:after="240"/>
    </w:pPr>
    <w:rPr>
      <w:b/>
    </w:rPr>
  </w:style>
  <w:style w:type="paragraph" w:customStyle="1" w:styleId="NormalHanging12a">
    <w:name w:val="NormalHanging12a"/>
    <w:basedOn w:val="Normal"/>
    <w:qFormat/>
    <w:rsid w:val="00E05E0B"/>
    <w:pPr>
      <w:spacing w:after="240"/>
      <w:ind w:left="567" w:hanging="567"/>
    </w:pPr>
  </w:style>
  <w:style w:type="character" w:styleId="Hyperlink">
    <w:name w:val="Hyperlink"/>
    <w:basedOn w:val="DefaultParagraphFont"/>
    <w:uiPriority w:val="99"/>
    <w:rsid w:val="00E05E0B"/>
    <w:rPr>
      <w:color w:val="0563C1" w:themeColor="hyperlink"/>
      <w:u w:val="single"/>
    </w:rPr>
  </w:style>
  <w:style w:type="paragraph" w:styleId="NoSpacing">
    <w:name w:val="No Spacing"/>
    <w:basedOn w:val="Normal"/>
    <w:uiPriority w:val="1"/>
    <w:qFormat/>
    <w:rsid w:val="00E05E0B"/>
    <w:pPr>
      <w:widowControl/>
      <w:jc w:val="both"/>
    </w:pPr>
    <w:rPr>
      <w:rFonts w:eastAsiaTheme="minorHAnsi"/>
      <w:szCs w:val="32"/>
      <w:lang w:eastAsia="en-US"/>
    </w:rPr>
  </w:style>
  <w:style w:type="character" w:customStyle="1" w:styleId="sup1">
    <w:name w:val="sup1"/>
    <w:basedOn w:val="DefaultParagraphFont"/>
    <w:rsid w:val="00E05E0B"/>
    <w:rPr>
      <w:sz w:val="19"/>
      <w:szCs w:val="19"/>
      <w:vertAlign w:val="superscript"/>
    </w:rPr>
  </w:style>
  <w:style w:type="character" w:styleId="FollowedHyperlink">
    <w:name w:val="FollowedHyperlink"/>
    <w:basedOn w:val="DefaultParagraphFont"/>
    <w:rsid w:val="00A61904"/>
    <w:rPr>
      <w:color w:val="954F72" w:themeColor="followedHyperlink"/>
      <w:u w:val="single"/>
    </w:rPr>
  </w:style>
  <w:style w:type="paragraph" w:styleId="PlainText">
    <w:name w:val="Plain Text"/>
    <w:basedOn w:val="Normal"/>
    <w:link w:val="PlainTextChar"/>
    <w:uiPriority w:val="99"/>
    <w:unhideWhenUsed/>
    <w:rsid w:val="00A61904"/>
    <w:pPr>
      <w:widowControl/>
    </w:pPr>
    <w:rPr>
      <w:rFonts w:ascii="Calibri" w:eastAsiaTheme="minorHAnsi" w:hAnsi="Calibri" w:cs="Calibri"/>
      <w:sz w:val="22"/>
      <w:szCs w:val="22"/>
      <w:lang w:val="en-GB" w:eastAsia="en-US"/>
    </w:rPr>
  </w:style>
  <w:style w:type="character" w:customStyle="1" w:styleId="PlainTextChar">
    <w:name w:val="Plain Text Char"/>
    <w:basedOn w:val="DefaultParagraphFont"/>
    <w:link w:val="PlainText"/>
    <w:uiPriority w:val="99"/>
    <w:rsid w:val="00A61904"/>
    <w:rPr>
      <w:rFonts w:ascii="Calibri" w:eastAsiaTheme="minorHAnsi" w:hAnsi="Calibri" w:cs="Calibri"/>
      <w:sz w:val="22"/>
      <w:szCs w:val="22"/>
      <w:lang w:eastAsia="en-US"/>
    </w:rPr>
  </w:style>
  <w:style w:type="paragraph" w:styleId="BalloonText">
    <w:name w:val="Balloon Text"/>
    <w:basedOn w:val="Normal"/>
    <w:link w:val="BalloonTextChar"/>
    <w:rsid w:val="00A61904"/>
    <w:rPr>
      <w:rFonts w:ascii="Segoe UI" w:hAnsi="Segoe UI" w:cs="Segoe UI"/>
      <w:sz w:val="18"/>
      <w:szCs w:val="18"/>
    </w:rPr>
  </w:style>
  <w:style w:type="character" w:customStyle="1" w:styleId="BalloonTextChar">
    <w:name w:val="Balloon Text Char"/>
    <w:basedOn w:val="DefaultParagraphFont"/>
    <w:link w:val="BalloonText"/>
    <w:rsid w:val="00A6190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518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_impl/2013/503/oj" TargetMode="External"/><Relationship Id="rId18" Type="http://schemas.openxmlformats.org/officeDocument/2006/relationships/hyperlink" Target="https://www.sciencedirect.com/science/article/pii/S1383574218300887" TargetMode="External"/><Relationship Id="rId26" Type="http://schemas.openxmlformats.org/officeDocument/2006/relationships/hyperlink" Target="https://www.ohchr.org/en/documents/thematic-reports/ahrc3448-report-special-rapporteur-right-food" TargetMode="External"/><Relationship Id="rId39" Type="http://schemas.openxmlformats.org/officeDocument/2006/relationships/hyperlink" Target="https://ec.europa.eu/commission/presscorner/detail/el/ip_22_7834" TargetMode="External"/><Relationship Id="rId21" Type="http://schemas.openxmlformats.org/officeDocument/2006/relationships/hyperlink" Target="https://www.ncbi.nlm.nih.gov/pmc/articles/PMC6612199/" TargetMode="External"/><Relationship Id="rId34" Type="http://schemas.openxmlformats.org/officeDocument/2006/relationships/hyperlink" Target="https://eur-lex.europa.eu/legal-content/EN/TXT/?uri=celex:52020DC0380" TargetMode="External"/><Relationship Id="rId7" Type="http://schemas.openxmlformats.org/officeDocument/2006/relationships/hyperlink" Target="http://data.europa.eu/eli/C/2025/1800/oj" TargetMode="External"/><Relationship Id="rId12" Type="http://schemas.openxmlformats.org/officeDocument/2006/relationships/hyperlink" Target="https://doi.org/10.2903/j.efsa.2024.9061" TargetMode="External"/><Relationship Id="rId17" Type="http://schemas.openxmlformats.org/officeDocument/2006/relationships/hyperlink" Target="https://hh-ra.org/projects/measuring-pesticide-use/interactive-herbicide-use-tables/"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eur-lex.europa.eu/legal-content/EL/TXT/HTML/?uri=CELEX:52019DC0352&amp;from=EL" TargetMode="External"/><Relationship Id="rId38"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academic.oup.com/ije/advance-article-abstract/doi/10.1093/ije/dyaa066/5827818?redirectedFrom=fulltext" TargetMode="External"/><Relationship Id="rId20" Type="http://schemas.openxmlformats.org/officeDocument/2006/relationships/hyperlink" Target="https://journals.plos.org/plosone/article?id=10.1371/journal.pone.0219610" TargetMode="External"/><Relationship Id="rId29" Type="http://schemas.openxmlformats.org/officeDocument/2006/relationships/hyperlink" Target="https://ec.europa.eu/commission/presscorner/detail/el/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fsa.onlinelibrary.wiley.com/doi/abs/10.2903/j.efsa.2018.5263" TargetMode="External"/><Relationship Id="rId32" Type="http://schemas.openxmlformats.org/officeDocument/2006/relationships/hyperlink" Target="https://eur-lex.europa.eu/legal-content/EL/TXT/?uri=CELEX:52019DC0352&amp;qid=1743764921930" TargetMode="External"/><Relationship Id="rId37" Type="http://schemas.openxmlformats.org/officeDocument/2006/relationships/hyperlink" Target="https://commission.europa.eu/document/2c64e540-c07a-4376-a1da-368d289f4afe_en" TargetMode="External"/><Relationship Id="rId40"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enveurope.springeropen.com/articles/10.1186/2190-4715-24-24" TargetMode="External"/><Relationship Id="rId23" Type="http://schemas.openxmlformats.org/officeDocument/2006/relationships/hyperlink" Target="https://www.testbiotech.org/en/resource/high-levels-residues-spraying-glyphosate-found-soybeans-argentina/" TargetMode="External"/><Relationship Id="rId28" Type="http://schemas.openxmlformats.org/officeDocument/2006/relationships/hyperlink" Target="https://ec.europa.eu/commission/presscorner/detail/el/ip_22_7834" TargetMode="External"/><Relationship Id="rId36" Type="http://schemas.openxmlformats.org/officeDocument/2006/relationships/hyperlink" Target="https://op.europa.eu/en/publication-detail/-/publication/c1d3ef3e-d07e-4229-91e5-41001b47dba8/language-en" TargetMode="External"/><Relationship Id="rId10" Type="http://schemas.openxmlformats.org/officeDocument/2006/relationships/hyperlink" Target="http://data.europa.eu/eli/C/2025/1803/oj" TargetMode="External"/><Relationship Id="rId19" Type="http://schemas.openxmlformats.org/officeDocument/2006/relationships/hyperlink" Target="https://academic.oup.com/ije/advance-article/doi/10.1093/ije/dyz017/5382278" TargetMode="External"/><Relationship Id="rId31" Type="http://schemas.openxmlformats.org/officeDocument/2006/relationships/hyperlink" Target="https://www.un.org/sustainabledevelopment/biodiversity/"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ncbi.nlm.nih.gov/pubmed/26296738" TargetMode="External"/><Relationship Id="rId22" Type="http://schemas.openxmlformats.org/officeDocument/2006/relationships/hyperlink" Target="https://www.ncbi.nlm.nih.gov/pubmed/24491722" TargetMode="External"/><Relationship Id="rId27" Type="http://schemas.openxmlformats.org/officeDocument/2006/relationships/hyperlink" Target="https://indicators.report/targets/3-9/" TargetMode="External"/><Relationship Id="rId30" Type="http://schemas.openxmlformats.org/officeDocument/2006/relationships/hyperlink" Target="https://eur-lex.europa.eu/legal-content/EN/TXT/?uri=celex:52019DC0352" TargetMode="External"/><Relationship Id="rId35" Type="http://schemas.openxmlformats.org/officeDocument/2006/relationships/hyperlink" Target="http://www.isaaa.org/resources/publications/briefs/53/download/isaaa-brief-53-2017.pdf" TargetMode="External"/><Relationship Id="rId8" Type="http://schemas.openxmlformats.org/officeDocument/2006/relationships/hyperlink" Target="http://data.europa.eu/eli/C/2025/1801/oj" TargetMode="External"/><Relationship Id="rId3" Type="http://schemas.openxmlformats.org/officeDocument/2006/relationships/hyperlink" Target="https://doi.org/10.2903/j.efsa.2020.61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09F0E-AE67-4744-A713-5C89662E8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2917</Words>
  <Characters>16631</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STEFOS Stefanos</cp:lastModifiedBy>
  <cp:revision>2</cp:revision>
  <cp:lastPrinted>2004-11-19T15:42:00Z</cp:lastPrinted>
  <dcterms:created xsi:type="dcterms:W3CDTF">2025-06-12T14:26:00Z</dcterms:created>
  <dcterms:modified xsi:type="dcterms:W3CDTF">2025-06-12T14:26:00Z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B10-0244/2025</vt:lpwstr>
  </property>
  <property fmtid="{D5CDD505-2E9C-101B-9397-08002B2CF9AE}" pid="4" name="&lt;Type&gt;">
    <vt:lpwstr>RR</vt:lpwstr>
  </property>
</Properties>
</file>