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1610D" w:rsidTr="0010095E">
        <w:trPr>
          <w:trHeight w:hRule="exact" w:val="1418"/>
        </w:trPr>
        <w:tc>
          <w:tcPr>
            <w:tcW w:w="6804" w:type="dxa"/>
            <w:shd w:val="clear" w:color="auto" w:fill="auto"/>
            <w:vAlign w:val="center"/>
          </w:tcPr>
          <w:p w:rsidR="00751A4A" w:rsidRPr="00E1610D" w:rsidRDefault="00EE619E" w:rsidP="0010095E">
            <w:pPr>
              <w:pStyle w:val="EPName"/>
            </w:pPr>
            <w:bookmarkStart w:id="0" w:name="_GoBack"/>
            <w:bookmarkEnd w:id="0"/>
            <w:r w:rsidRPr="00E1610D">
              <w:t>Euroopan parlamentti</w:t>
            </w:r>
          </w:p>
          <w:p w:rsidR="00751A4A" w:rsidRPr="00E1610D" w:rsidRDefault="005F1B17" w:rsidP="005F1B17">
            <w:pPr>
              <w:pStyle w:val="EPTerm"/>
              <w:rPr>
                <w:rStyle w:val="HideTWBExt"/>
                <w:noProof w:val="0"/>
                <w:vanish w:val="0"/>
                <w:color w:val="auto"/>
              </w:rPr>
            </w:pPr>
            <w:r w:rsidRPr="00E1610D">
              <w:t>2024</w:t>
            </w:r>
            <w:r w:rsidR="00817416" w:rsidRPr="00E1610D">
              <w:t>-202</w:t>
            </w:r>
            <w:r w:rsidRPr="00E1610D">
              <w:t>9</w:t>
            </w:r>
          </w:p>
        </w:tc>
        <w:tc>
          <w:tcPr>
            <w:tcW w:w="2268" w:type="dxa"/>
            <w:shd w:val="clear" w:color="auto" w:fill="auto"/>
          </w:tcPr>
          <w:p w:rsidR="00751A4A" w:rsidRPr="00E1610D" w:rsidRDefault="00187494" w:rsidP="0010095E">
            <w:pPr>
              <w:pStyle w:val="EPLogo"/>
            </w:pPr>
            <w:r w:rsidRPr="00E1610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1610D" w:rsidRDefault="00D058B8" w:rsidP="004C5D52">
      <w:pPr>
        <w:pStyle w:val="LineTop"/>
      </w:pPr>
    </w:p>
    <w:p w:rsidR="00680577" w:rsidRPr="00E1610D" w:rsidRDefault="00EE619E" w:rsidP="00680577">
      <w:pPr>
        <w:pStyle w:val="EPBodyTA1"/>
      </w:pPr>
      <w:r w:rsidRPr="00E1610D">
        <w:t>HYVÄKSYTYT TEKSTIT</w:t>
      </w:r>
    </w:p>
    <w:p w:rsidR="00D058B8" w:rsidRPr="00E1610D" w:rsidRDefault="00D058B8" w:rsidP="00D058B8">
      <w:pPr>
        <w:pStyle w:val="LineBottom"/>
      </w:pPr>
    </w:p>
    <w:p w:rsidR="00EE619E" w:rsidRPr="00E1610D" w:rsidRDefault="00EE619E" w:rsidP="00EE619E">
      <w:pPr>
        <w:pStyle w:val="ATHeading1"/>
      </w:pPr>
      <w:bookmarkStart w:id="1" w:name="TANumber"/>
      <w:r w:rsidRPr="00E1610D">
        <w:t>P10_</w:t>
      </w:r>
      <w:proofErr w:type="gramStart"/>
      <w:r w:rsidRPr="00E1610D">
        <w:t>TA(</w:t>
      </w:r>
      <w:proofErr w:type="gramEnd"/>
      <w:r w:rsidRPr="00E1610D">
        <w:t>2025)0</w:t>
      </w:r>
      <w:r w:rsidR="00DE470E" w:rsidRPr="00E1610D">
        <w:t>10</w:t>
      </w:r>
      <w:r w:rsidR="00B24BE9" w:rsidRPr="00E1610D">
        <w:t>6</w:t>
      </w:r>
      <w:bookmarkEnd w:id="1"/>
    </w:p>
    <w:p w:rsidR="00EE619E" w:rsidRPr="00E1610D" w:rsidRDefault="00F70C63" w:rsidP="00F70C63">
      <w:pPr>
        <w:pStyle w:val="ATHeading2"/>
      </w:pPr>
      <w:bookmarkStart w:id="2" w:name="title"/>
      <w:r w:rsidRPr="00E1610D">
        <w:t>M</w:t>
      </w:r>
      <w:r w:rsidRPr="00E1610D">
        <w:rPr>
          <w:bCs/>
        </w:rPr>
        <w:t>uuntogeeninen soija MON 87705 x MON 87708 x MON 89788</w:t>
      </w:r>
      <w:bookmarkEnd w:id="2"/>
    </w:p>
    <w:p w:rsidR="00EE619E" w:rsidRPr="00E1610D" w:rsidRDefault="00EE619E" w:rsidP="00EE619E">
      <w:pPr>
        <w:rPr>
          <w:i/>
          <w:vanish/>
          <w:lang w:val="fr-FR"/>
        </w:rPr>
      </w:pPr>
      <w:r w:rsidRPr="00E1610D">
        <w:rPr>
          <w:i/>
        </w:rPr>
        <w:fldChar w:fldCharType="begin"/>
      </w:r>
      <w:r w:rsidRPr="00E1610D">
        <w:rPr>
          <w:i/>
          <w:lang w:val="fr-FR"/>
        </w:rPr>
        <w:instrText xml:space="preserve"> TC"(</w:instrText>
      </w:r>
      <w:bookmarkStart w:id="3" w:name="DocNumber"/>
      <w:r w:rsidRPr="00E1610D">
        <w:rPr>
          <w:i/>
          <w:lang w:val="fr-FR"/>
        </w:rPr>
        <w:instrText>B10-0244/2025</w:instrText>
      </w:r>
      <w:bookmarkEnd w:id="3"/>
      <w:r w:rsidRPr="00E1610D">
        <w:rPr>
          <w:i/>
          <w:lang w:val="fr-FR"/>
        </w:rPr>
        <w:instrText xml:space="preserve">)"\l3 \n&gt; \* MERGEFORMAT </w:instrText>
      </w:r>
      <w:r w:rsidRPr="00E1610D">
        <w:rPr>
          <w:i/>
        </w:rPr>
        <w:fldChar w:fldCharType="end"/>
      </w:r>
    </w:p>
    <w:p w:rsidR="00EE619E" w:rsidRPr="00E1610D" w:rsidRDefault="00EE619E" w:rsidP="00EE619E">
      <w:pPr>
        <w:rPr>
          <w:vanish/>
          <w:lang w:val="fr-FR"/>
        </w:rPr>
      </w:pPr>
      <w:bookmarkStart w:id="4" w:name="PE"/>
      <w:r w:rsidRPr="00E1610D">
        <w:rPr>
          <w:vanish/>
          <w:lang w:val="fr-FR"/>
        </w:rPr>
        <w:t>PE772.013</w:t>
      </w:r>
      <w:bookmarkEnd w:id="4"/>
    </w:p>
    <w:p w:rsidR="00EE619E" w:rsidRPr="00E1610D" w:rsidRDefault="00EE619E" w:rsidP="00EE619E">
      <w:pPr>
        <w:pStyle w:val="ATHeading3"/>
      </w:pPr>
      <w:bookmarkStart w:id="5" w:name="Sujet"/>
      <w:r w:rsidRPr="00E1610D">
        <w:t xml:space="preserve">Euroopan parlamentin päätöslauselma 8. toukokuuta 2025 ehdotuksesta komission täytäntöönpanopäätökseksi muuntogeenistä soijaa MON 87705 × MON 87708 × MON 89788 sisältävien, siitä koostuvien tai siitä valmistettujen tuotteiden markkinoille saattamisen sallimisesta Euroopan parlamentin </w:t>
      </w:r>
      <w:r w:rsidR="009E5A5A" w:rsidRPr="00E1610D">
        <w:t xml:space="preserve">ja neuvoston asetuksen (EY) </w:t>
      </w:r>
      <w:proofErr w:type="gramStart"/>
      <w:r w:rsidR="009E5A5A" w:rsidRPr="00E1610D">
        <w:t>N:o</w:t>
      </w:r>
      <w:proofErr w:type="gramEnd"/>
      <w:r w:rsidR="009E5A5A" w:rsidRPr="00E1610D">
        <w:t> </w:t>
      </w:r>
      <w:r w:rsidRPr="00E1610D">
        <w:t>1829/2003 mukaisesti</w:t>
      </w:r>
      <w:bookmarkEnd w:id="5"/>
      <w:r w:rsidRPr="00E1610D">
        <w:t xml:space="preserve"> </w:t>
      </w:r>
      <w:bookmarkStart w:id="6" w:name="References"/>
      <w:r w:rsidRPr="00E1610D">
        <w:t>(D105678/0</w:t>
      </w:r>
      <w:r w:rsidR="009E5A5A" w:rsidRPr="00E1610D">
        <w:t>3</w:t>
      </w:r>
      <w:r w:rsidRPr="00E1610D">
        <w:t>1 – 2025/2647(RSP))</w:t>
      </w:r>
      <w:bookmarkEnd w:id="6"/>
    </w:p>
    <w:p w:rsidR="00BA06C9" w:rsidRPr="00E1610D" w:rsidRDefault="00BA06C9" w:rsidP="009E5A5A">
      <w:pPr>
        <w:pStyle w:val="EPComma"/>
        <w:widowControl/>
      </w:pPr>
      <w:bookmarkStart w:id="7" w:name="TextBodyBegin"/>
      <w:bookmarkEnd w:id="7"/>
      <w:r w:rsidRPr="00E1610D">
        <w:rPr>
          <w:i/>
          <w:iCs/>
        </w:rPr>
        <w:t>Euroopan parlamentti</w:t>
      </w:r>
      <w:r w:rsidRPr="00E1610D">
        <w:t>, joka</w:t>
      </w:r>
    </w:p>
    <w:p w:rsidR="00BA06C9" w:rsidRPr="00E1610D" w:rsidRDefault="00BA06C9" w:rsidP="009E5A5A">
      <w:pPr>
        <w:pStyle w:val="NormalHanging12a"/>
        <w:widowControl/>
      </w:pPr>
      <w:r w:rsidRPr="00E1610D">
        <w:t>–</w:t>
      </w:r>
      <w:r w:rsidRPr="00E1610D">
        <w:tab/>
        <w:t xml:space="preserve">ottaa huomioon ehdotuksen komission täytäntöönpanopäätökseksi muuntogeenistä soijaa MON 87705 × MON 87708 × MON 89788 sisältävien, siitä koostuvien tai siitä valmistettujen tuotteiden markkinoille saattamisen sallimisesta Euroopan parlamentin ja neuvoston asetuksen (EY) </w:t>
      </w:r>
      <w:proofErr w:type="gramStart"/>
      <w:r w:rsidRPr="00E1610D">
        <w:t>N:o</w:t>
      </w:r>
      <w:proofErr w:type="gramEnd"/>
      <w:r w:rsidRPr="00E1610D">
        <w:t xml:space="preserve"> 1829/2003 mukaisesti (D105678/03),</w:t>
      </w:r>
    </w:p>
    <w:p w:rsidR="00BA06C9" w:rsidRPr="00E1610D" w:rsidRDefault="00BA06C9" w:rsidP="009E5A5A">
      <w:pPr>
        <w:pStyle w:val="NormalHanging12a"/>
        <w:widowControl/>
      </w:pPr>
      <w:r w:rsidRPr="00E1610D">
        <w:t>–</w:t>
      </w:r>
      <w:r w:rsidRPr="00E1610D">
        <w:tab/>
        <w:t>ottaa huomioon muuntogeenisistä elintarvikkeista ja rehuista 22. syyskuuta 2003 annetun Euroopan parlamentin ja neuvoston asetuksen (EY) N:o 1829/2003</w:t>
      </w:r>
      <w:r w:rsidRPr="00E1610D">
        <w:rPr>
          <w:rStyle w:val="FootnoteReference"/>
        </w:rPr>
        <w:footnoteReference w:id="1"/>
      </w:r>
      <w:r w:rsidRPr="00E1610D">
        <w:t xml:space="preserve"> ja erityisesti sen 7 artiklan 3 kohdan ja 19 artiklan 3 kohdan,</w:t>
      </w:r>
    </w:p>
    <w:p w:rsidR="00BA06C9" w:rsidRPr="00E1610D" w:rsidRDefault="00BA06C9" w:rsidP="009E5A5A">
      <w:pPr>
        <w:pStyle w:val="NormalHanging12a"/>
        <w:widowControl/>
        <w:rPr>
          <w:szCs w:val="24"/>
        </w:rPr>
      </w:pPr>
      <w:r w:rsidRPr="00E1610D">
        <w:t>–</w:t>
      </w:r>
      <w:r w:rsidRPr="00E1610D">
        <w:tab/>
        <w:t>ottaa huomioon asetuksen (EY) </w:t>
      </w:r>
      <w:proofErr w:type="gramStart"/>
      <w:r w:rsidRPr="00E1610D">
        <w:t>N:o</w:t>
      </w:r>
      <w:proofErr w:type="gramEnd"/>
      <w:r w:rsidRPr="00E1610D">
        <w:t> 1829/2003 35 artiklassa tarkoitetussa pysyvässä kasvi-, eläin-, elintarvike- ja rehukomiteassa 28. helmikuuta 2025 toimitetun äänestyksen, jossa päätettiin olla antamatta lausuntoa,</w:t>
      </w:r>
    </w:p>
    <w:p w:rsidR="00BA06C9" w:rsidRPr="00E1610D" w:rsidRDefault="00BA06C9" w:rsidP="009E5A5A">
      <w:pPr>
        <w:pStyle w:val="NormalHanging12a"/>
        <w:widowControl/>
      </w:pPr>
      <w:r w:rsidRPr="00E1610D">
        <w:t>–</w:t>
      </w:r>
      <w:r w:rsidRPr="00E1610D">
        <w:tab/>
        <w:t>ottaa huomioon yleisistä säännöistä ja periaatteista, joiden mukaisesti jäsenvaltiot valvovat komission täytäntöönpanovallan käyttöä, 16. helmikuuta 2011 annetun Euroopan parlamentin ja neuvoston asetuksen (EU) N:o 182/2011</w:t>
      </w:r>
      <w:r w:rsidRPr="00E1610D">
        <w:rPr>
          <w:rStyle w:val="FootnoteReference"/>
        </w:rPr>
        <w:footnoteReference w:id="2"/>
      </w:r>
      <w:r w:rsidRPr="00E1610D">
        <w:t xml:space="preserve"> 11 artiklan,</w:t>
      </w:r>
    </w:p>
    <w:p w:rsidR="00BA06C9" w:rsidRPr="00E1610D" w:rsidRDefault="00BA06C9" w:rsidP="009E5A5A">
      <w:pPr>
        <w:pStyle w:val="NormalHanging12a"/>
        <w:widowControl/>
      </w:pPr>
      <w:r w:rsidRPr="00E1610D">
        <w:t>–</w:t>
      </w:r>
      <w:r w:rsidRPr="00E1610D">
        <w:tab/>
        <w:t>ottaa huomioon Euroopan elintarviketurvallisuusviranomaisen (EFSA) 2. huhtikuuta 2020 hyväksymän ja 18. toukokuuta 2020 julkaistun lausunnon</w:t>
      </w:r>
      <w:r w:rsidRPr="00E1610D">
        <w:rPr>
          <w:rStyle w:val="FootnoteReference"/>
        </w:rPr>
        <w:footnoteReference w:id="3"/>
      </w:r>
      <w:r w:rsidRPr="00E1610D">
        <w:t>,</w:t>
      </w:r>
    </w:p>
    <w:p w:rsidR="00BA06C9" w:rsidRPr="00E1610D" w:rsidRDefault="00BA06C9" w:rsidP="009E5A5A">
      <w:pPr>
        <w:pStyle w:val="NormalHanging12a"/>
        <w:widowControl/>
        <w:rPr>
          <w:szCs w:val="24"/>
        </w:rPr>
      </w:pPr>
      <w:r w:rsidRPr="00E1610D">
        <w:rPr>
          <w:rFonts w:ascii="Symbol" w:hAnsi="Symbol"/>
        </w:rPr>
        <w:lastRenderedPageBreak/>
        <w:t></w:t>
      </w:r>
      <w:r w:rsidRPr="00E1610D">
        <w:rPr>
          <w:rFonts w:ascii="Symbol" w:hAnsi="Symbol"/>
        </w:rPr>
        <w:tab/>
      </w:r>
      <w:r w:rsidRPr="00E1610D">
        <w:rPr>
          <w:shd w:val="clear" w:color="auto" w:fill="FFFFFF"/>
        </w:rPr>
        <w:t>ottaa huomioon aiemmat päätöslauselmansa, joissa vastustetaan lupien myöntämistä muuntogeenisille organismeille</w:t>
      </w:r>
      <w:r w:rsidRPr="00E1610D">
        <w:rPr>
          <w:rStyle w:val="FootnoteReference"/>
          <w:szCs w:val="24"/>
          <w:shd w:val="clear" w:color="auto" w:fill="FFFFFF"/>
        </w:rPr>
        <w:footnoteReference w:id="4"/>
      </w:r>
      <w:r w:rsidRPr="00E1610D">
        <w:rPr>
          <w:shd w:val="clear" w:color="auto" w:fill="FFFFFF"/>
        </w:rPr>
        <w:t>,</w:t>
      </w:r>
    </w:p>
    <w:p w:rsidR="00BA06C9" w:rsidRPr="00E1610D" w:rsidRDefault="00BA06C9" w:rsidP="009E5A5A">
      <w:pPr>
        <w:pStyle w:val="NormalHanging12a"/>
        <w:widowControl/>
      </w:pPr>
      <w:r w:rsidRPr="00E1610D">
        <w:lastRenderedPageBreak/>
        <w:t>–</w:t>
      </w:r>
      <w:r w:rsidRPr="00E1610D">
        <w:tab/>
        <w:t>ottaa huomioon työjärjestyksen 115 artiklan 2 ja 3 kohdan,</w:t>
      </w:r>
    </w:p>
    <w:p w:rsidR="00BA06C9" w:rsidRPr="00E1610D" w:rsidRDefault="00BA06C9" w:rsidP="009E5A5A">
      <w:pPr>
        <w:pStyle w:val="NormalHanging12a"/>
        <w:widowControl/>
      </w:pPr>
      <w:r w:rsidRPr="00E1610D">
        <w:t>–</w:t>
      </w:r>
      <w:r w:rsidRPr="00E1610D">
        <w:tab/>
        <w:t>ottaa huomioon ympäristön, ilmaston ja elintarvikkeiden turvallisuuden valiokunnan päätöslauselmaesityksen,</w:t>
      </w:r>
    </w:p>
    <w:p w:rsidR="00BA06C9" w:rsidRPr="00E1610D" w:rsidRDefault="00BA06C9" w:rsidP="009E5A5A">
      <w:pPr>
        <w:pStyle w:val="NormalHanging12a"/>
        <w:widowControl/>
      </w:pPr>
      <w:r w:rsidRPr="00E1610D">
        <w:t>A.</w:t>
      </w:r>
      <w:r w:rsidRPr="00E1610D">
        <w:tab/>
        <w:t xml:space="preserve">ottaa huomioon, että </w:t>
      </w:r>
      <w:proofErr w:type="spellStart"/>
      <w:r w:rsidRPr="00E1610D">
        <w:t>Monsanto</w:t>
      </w:r>
      <w:proofErr w:type="spellEnd"/>
      <w:r w:rsidRPr="00E1610D">
        <w:t xml:space="preserve"> Europe S.A./N.V. toimitti 11. syyskuuta 2015 yrityksen </w:t>
      </w:r>
      <w:proofErr w:type="spellStart"/>
      <w:r w:rsidRPr="00E1610D">
        <w:t>Monsanto</w:t>
      </w:r>
      <w:proofErr w:type="spellEnd"/>
      <w:r w:rsidRPr="00E1610D">
        <w:t xml:space="preserve"> Company, Yhdysvallat, puolesta Alankomaiden kansalliselle toimivaltaiselle viranomaiselle asetuksen (EY) N:o 1829/2003 5 ja 17 artiklan mukaisesti hakemuksen muuntogeenistä soijaa </w:t>
      </w:r>
      <w:bookmarkStart w:id="8" w:name="_Hlk183685905"/>
      <w:r w:rsidRPr="00E1610D">
        <w:t>MON 87705 × MON 87708 × MON 89788</w:t>
      </w:r>
      <w:bookmarkEnd w:id="8"/>
      <w:r w:rsidRPr="00E1610D">
        <w:t xml:space="preserve"> sisältävien, siitä koostuvien tai siitä valmistettujen elintarvikkeiden, elintarvikkeiden ainesosien ja rehun saattamiseksi markkinoille, jäljempänä ’hakemus’; ottaa huomioon, että hakemus koski myös muuntogeenistä soijaa sisältävien tai siitä koostuvien tuotteiden saattamista markkinoille muuhun kuin elintarvike- ja rehukäyttöön, viljelyä lukuun ottamatta;</w:t>
      </w:r>
    </w:p>
    <w:p w:rsidR="00BA06C9" w:rsidRPr="00E1610D" w:rsidRDefault="00BA06C9" w:rsidP="009E5A5A">
      <w:pPr>
        <w:pStyle w:val="NormalHanging12a"/>
        <w:widowControl/>
      </w:pPr>
      <w:r w:rsidRPr="00E1610D">
        <w:t xml:space="preserve">B. </w:t>
      </w:r>
      <w:r w:rsidRPr="00E1610D">
        <w:tab/>
        <w:t>ottaa huomioon, että EFSA antoi 2. huhtikuuta 2020 myönteisen lausunnon, joka julkaistiin 18. toukokuuta 2020; ottaa huomioon, että lausunnossaan EFSA tarkasteli kaikkia niitä erityisiä kysymyksiä ja huolenaiheita, joita jäsenvaltiot olivat tuoneet esiin asetuksen (EY) </w:t>
      </w:r>
      <w:proofErr w:type="gramStart"/>
      <w:r w:rsidRPr="00E1610D">
        <w:t>N:o</w:t>
      </w:r>
      <w:proofErr w:type="gramEnd"/>
      <w:r w:rsidRPr="00E1610D">
        <w:t> 1829/2003 6 artiklan 4 kohdassa ja 18 artiklan 4 kohdassa tarkoitetuissa kansallisten toimivaltaisten viranomaisten antamissa lausunnoissa;</w:t>
      </w:r>
    </w:p>
    <w:p w:rsidR="00BA06C9" w:rsidRPr="00E1610D" w:rsidRDefault="00BA06C9" w:rsidP="009E5A5A">
      <w:pPr>
        <w:pStyle w:val="NormalHanging12a"/>
        <w:widowControl/>
      </w:pPr>
      <w:r w:rsidRPr="00E1610D">
        <w:t>C.</w:t>
      </w:r>
      <w:r w:rsidRPr="00E1610D">
        <w:tab/>
        <w:t>ottaa huomioon, että EFSA ei kuitenkaan kyennyt saattamaan riskinarviointia päätökseen eikä tekemään päätelmiä muuntogeenisen soijan turvallisuudesta, koska muuntogeenisestä soijasta ei ollut tehty 90-päivän tutkimusta eikä markkinoille saattamisen jälkeistä seurantasuunnitelmaa, joissa olisi otettu huomioon soijan geenimuunnospakan muutettu rasvahappoprofiili;</w:t>
      </w:r>
    </w:p>
    <w:p w:rsidR="00BA06C9" w:rsidRPr="00E1610D" w:rsidRDefault="00BA06C9" w:rsidP="009E5A5A">
      <w:pPr>
        <w:pStyle w:val="NormalHanging12a"/>
        <w:widowControl/>
      </w:pPr>
      <w:r w:rsidRPr="00E1610D">
        <w:t xml:space="preserve">D. </w:t>
      </w:r>
      <w:r w:rsidRPr="00E1610D">
        <w:tab/>
        <w:t>ottaa huomioon, että EFSA antoi 3. lokakuuta 2024 lausuman, joka julkaistiin 28. lokakuuta 2024 ja joka täydentää sen 2. huhtikuuta 2020 antamaa tieteellistä lausuntoa hakijan toimittamien lisätietojen perusteella</w:t>
      </w:r>
      <w:r w:rsidRPr="00E1610D">
        <w:rPr>
          <w:rStyle w:val="FootnoteReference"/>
        </w:rPr>
        <w:footnoteReference w:id="5"/>
      </w:r>
      <w:r w:rsidRPr="00E1610D">
        <w:t xml:space="preserve">, jossa EFSA toteaa, että muuntogeeninen soija, sellaisena kuin se on kuvattu hakemuksessa, on yhtä turvallista kuin sen tavanomainen vastine ja testatut geneettisesti muuntamattomat soijan vertailulajikkeet, kun tarkastellaan sen mahdollisia vaikutuksia ihmisten ja eläinten </w:t>
      </w:r>
      <w:r w:rsidRPr="00E1610D">
        <w:lastRenderedPageBreak/>
        <w:t xml:space="preserve">terveyteen sekä ympäristöön; ottaa huomioon, että EFSA totesi myös, että muuntogeenisen </w:t>
      </w:r>
      <w:bookmarkStart w:id="9" w:name="_Hlk183443299"/>
      <w:r w:rsidRPr="00E1610D">
        <w:t>soijan</w:t>
      </w:r>
      <w:bookmarkEnd w:id="9"/>
      <w:r w:rsidRPr="00E1610D">
        <w:t xml:space="preserve"> kulutus ei aiheuta ravitsemuksellista huolta;</w:t>
      </w:r>
    </w:p>
    <w:p w:rsidR="00BA06C9" w:rsidRPr="00E1610D" w:rsidRDefault="00BA06C9" w:rsidP="009E5A5A">
      <w:pPr>
        <w:pStyle w:val="NormalHanging12a"/>
        <w:widowControl/>
        <w:rPr>
          <w:color w:val="000000"/>
        </w:rPr>
      </w:pPr>
      <w:r w:rsidRPr="00E1610D">
        <w:t>E.</w:t>
      </w:r>
      <w:r w:rsidRPr="00E1610D">
        <w:tab/>
        <w:t xml:space="preserve">ottaa huomioon, että muuntogeenistä soijaa on muunnettu siten, että se sietää </w:t>
      </w:r>
      <w:proofErr w:type="spellStart"/>
      <w:r w:rsidRPr="00E1610D">
        <w:t>glyfosaattipohjaisia</w:t>
      </w:r>
      <w:proofErr w:type="spellEnd"/>
      <w:r w:rsidRPr="00E1610D">
        <w:t xml:space="preserve"> rikkakasvien torjunta-aineita ja </w:t>
      </w:r>
      <w:proofErr w:type="spellStart"/>
      <w:r w:rsidRPr="00E1610D">
        <w:t>dikambaa</w:t>
      </w:r>
      <w:proofErr w:type="spellEnd"/>
      <w:r w:rsidRPr="00E1610D">
        <w:t xml:space="preserve"> ja sen rasvahappoprofiili on muutettu;</w:t>
      </w:r>
    </w:p>
    <w:p w:rsidR="00BA06C9" w:rsidRPr="00E1610D" w:rsidRDefault="00BA06C9" w:rsidP="009E5A5A">
      <w:pPr>
        <w:pStyle w:val="NormalHanging12a"/>
        <w:widowControl/>
        <w:ind w:left="284" w:hanging="284"/>
        <w:rPr>
          <w:b/>
          <w:i/>
        </w:rPr>
      </w:pPr>
      <w:r w:rsidRPr="00E1610D">
        <w:rPr>
          <w:b/>
          <w:i/>
        </w:rPr>
        <w:t>Täydentävän rikkakasvien torjunta-aineen puutteellinen arviointi</w:t>
      </w:r>
    </w:p>
    <w:p w:rsidR="00BA06C9" w:rsidRPr="00E1610D" w:rsidRDefault="00BA06C9" w:rsidP="009E5A5A">
      <w:pPr>
        <w:pStyle w:val="NormalHanging12a"/>
        <w:widowControl/>
        <w:ind w:left="720" w:hanging="720"/>
      </w:pPr>
      <w:r w:rsidRPr="00E1610D">
        <w:t>F.</w:t>
      </w:r>
      <w:r w:rsidRPr="00E1610D">
        <w:tab/>
        <w:t>ottaa huomioon, että komission täytäntöönpanoasetuksessa (EU) N:o 503/2013</w:t>
      </w:r>
      <w:r w:rsidRPr="00E1610D">
        <w:rPr>
          <w:rStyle w:val="FootnoteReference"/>
        </w:rPr>
        <w:footnoteReference w:id="6"/>
      </w:r>
      <w:r w:rsidRPr="00E1610D">
        <w:t xml:space="preserve"> edellytetään sen arvioimista, vaikuttavatko odotetut maatalouskäytännöt tutkittavien ominaisuuksien ilmentymiseen; ottaa huomioon, että kyseisen täytäntöönpanoasetuksen mukaan tämä on erityisen tärkeää torjunta-aineille sietokykyisten kasvien tapauksessa;</w:t>
      </w:r>
    </w:p>
    <w:p w:rsidR="00BA06C9" w:rsidRPr="00E1610D" w:rsidRDefault="00BA06C9" w:rsidP="009E5A5A">
      <w:pPr>
        <w:pStyle w:val="NormalHanging12a"/>
        <w:widowControl/>
        <w:ind w:left="720" w:hanging="720"/>
      </w:pPr>
      <w:r w:rsidRPr="00E1610D">
        <w:t>G.</w:t>
      </w:r>
      <w:r w:rsidRPr="00E1610D">
        <w:tab/>
        <w:t>ottaa huomioon, että suurinta osaa muuntogeenisistä viljelykasveista on muunnettu geneettisesti sietokykyisiksi yhdelle tai useammalle ”täydentävälle” rikkakasvien torjunta-aineelle, jota voidaan käyttää koko muuntogeenisen viljelykasvin viljelyn ajan ilman, että viljelykasvi kuolee, kuten kävisi niiden viljelykasvien tapauksessa, jotka eivät siedä torjunta-aineita; toteaa, että rikkakasvien torjunta-aineita sietävien muuntogeenisten viljelykasvien on erinäisissä tutkimuksissa osoitettu lisäävän täydentävien rikkakasvien torjunta-aineiden käyttöä, mikä johtuu etenkin siitä, että yhä useammat rikkakasvit sietävät rikkakasvien torjunta-aineita</w:t>
      </w:r>
      <w:r w:rsidRPr="00E1610D">
        <w:rPr>
          <w:rStyle w:val="FootnoteReference"/>
        </w:rPr>
        <w:footnoteReference w:id="7"/>
      </w:r>
      <w:r w:rsidRPr="00E1610D">
        <w:t>;</w:t>
      </w:r>
    </w:p>
    <w:p w:rsidR="00BA06C9" w:rsidRPr="00E1610D" w:rsidRDefault="00BA06C9" w:rsidP="009E5A5A">
      <w:pPr>
        <w:pStyle w:val="NormalHanging12a"/>
        <w:widowControl/>
        <w:ind w:left="720" w:hanging="720"/>
      </w:pPr>
      <w:r w:rsidRPr="00E1610D">
        <w:t>H.</w:t>
      </w:r>
      <w:r w:rsidRPr="00E1610D">
        <w:tab/>
        <w:t>ottaa huomioon, että rikkakasvien torjunta-aineita sietävät muuntogeeniset viljelykasvit sitovat viljelijät rikkakasvien hallintajärjestelmään, joka on suurelta osin tai kokonaan torjunta-aineiden varassa; ottaa huomioon, että lisääntynyt riippuvuus täydentävistä rikkakasvien torjunta-aineista muuntogeenisiä viljelykasveja viljelevillä tiloilla nopeuttaa näille torjunta-aineille sietokykyisten rikkakasvien ilmaantumista ja leviämistä, mikä johtaa noidankehään, jossa rikkakasvien torjunta-aineita on käytettävä jatkuvasti enemmän;</w:t>
      </w:r>
    </w:p>
    <w:p w:rsidR="00BA06C9" w:rsidRPr="00E1610D" w:rsidRDefault="00BA06C9" w:rsidP="009E5A5A">
      <w:pPr>
        <w:pStyle w:val="NormalHanging12a"/>
        <w:widowControl/>
        <w:ind w:left="720" w:hanging="720"/>
      </w:pPr>
      <w:r w:rsidRPr="00E1610D">
        <w:t>I.</w:t>
      </w:r>
      <w:r w:rsidRPr="00E1610D">
        <w:tab/>
        <w:t>toteaa, että rikkakasvien torjunta-aineiden liiallisesta käytöstä aiheutuvat haitalliset vaikutukset heikentävät maaperän terveyttä ja veden laatua, köyhdyttävät maanpäällistä ja -alaista biologista monimuotoisuutta ja lisäävät myös ihmisten ja eläinten altistumista, mahdollisesti myös sen kautta, että rikkakasvien torjunta</w:t>
      </w:r>
      <w:r w:rsidRPr="00E1610D">
        <w:noBreakHyphen/>
        <w:t>aineiden jäämät elintarvikkeissa ja rehuissa lisääntyvät;</w:t>
      </w:r>
    </w:p>
    <w:p w:rsidR="00BA06C9" w:rsidRPr="00E1610D" w:rsidRDefault="00BA06C9" w:rsidP="009E5A5A">
      <w:pPr>
        <w:pStyle w:val="NormalHanging12a"/>
        <w:widowControl/>
        <w:ind w:left="720" w:hanging="720"/>
        <w:rPr>
          <w:szCs w:val="24"/>
        </w:rPr>
      </w:pPr>
      <w:r w:rsidRPr="00E1610D">
        <w:t xml:space="preserve">J. </w:t>
      </w:r>
      <w:r w:rsidRPr="00E1610D">
        <w:tab/>
        <w:t xml:space="preserve">ottaa huomioon, että </w:t>
      </w:r>
      <w:proofErr w:type="spellStart"/>
      <w:r w:rsidRPr="00E1610D">
        <w:t>dikamba</w:t>
      </w:r>
      <w:proofErr w:type="spellEnd"/>
      <w:r w:rsidRPr="00E1610D">
        <w:t xml:space="preserve"> on erittäin helposti haihtuvaa, mikä tarkoittaa, että kun sitä käytetään, sillä on taipumus siirtyä ilmaan ja sen jälkeen ajautua tuulen mukana, kunnes se laskeutuu maahan, jolloin se altistaa ihmiset sekä muut kuin kohteena olevat </w:t>
      </w:r>
      <w:r w:rsidRPr="00E1610D">
        <w:lastRenderedPageBreak/>
        <w:t xml:space="preserve">kasvit, köynnöskasvit, puut ja pensaat mahdollisille vahingoille, jotka voivat olla vakaviakin, etenkin silloin, kun altistus kestää useita vuosia; </w:t>
      </w:r>
    </w:p>
    <w:p w:rsidR="00BA06C9" w:rsidRPr="00E1610D" w:rsidRDefault="00BA06C9" w:rsidP="009E5A5A">
      <w:pPr>
        <w:pStyle w:val="NormalHanging12a"/>
        <w:widowControl/>
        <w:ind w:left="720" w:hanging="720"/>
      </w:pPr>
      <w:r w:rsidRPr="00E1610D">
        <w:t>K.</w:t>
      </w:r>
      <w:r w:rsidRPr="00E1610D">
        <w:tab/>
      </w:r>
      <w:r w:rsidRPr="00E1610D">
        <w:rPr>
          <w:shd w:val="clear" w:color="auto" w:fill="FFFFFF"/>
        </w:rPr>
        <w:t xml:space="preserve">ottaa huomioon, että Yhdysvaltojen valtionhallinnon tutkijoiden vuonna 2020 tekemässä ja vertaisarvioidussa International Journal of </w:t>
      </w:r>
      <w:proofErr w:type="spellStart"/>
      <w:r w:rsidRPr="00E1610D">
        <w:rPr>
          <w:shd w:val="clear" w:color="auto" w:fill="FFFFFF"/>
        </w:rPr>
        <w:t>Epidemiology</w:t>
      </w:r>
      <w:proofErr w:type="spellEnd"/>
      <w:r w:rsidRPr="00E1610D">
        <w:rPr>
          <w:shd w:val="clear" w:color="auto" w:fill="FFFFFF"/>
        </w:rPr>
        <w:t xml:space="preserve"> -lehdessä julkaistussa tutkimuksessa</w:t>
      </w:r>
      <w:r w:rsidRPr="00E1610D">
        <w:t xml:space="preserve"> todettiin, että </w:t>
      </w:r>
      <w:proofErr w:type="spellStart"/>
      <w:r w:rsidRPr="00E1610D">
        <w:t>dikamban</w:t>
      </w:r>
      <w:proofErr w:type="spellEnd"/>
      <w:r w:rsidRPr="00E1610D">
        <w:t xml:space="preserve"> runsas käyttö lisäsi maksasyövän ja maksansisäisten sappiteiden syövän kehittymisen riskiä niillä, jotka levittivät sitä; </w:t>
      </w:r>
    </w:p>
    <w:p w:rsidR="00BA06C9" w:rsidRPr="00E1610D" w:rsidRDefault="00BA06C9" w:rsidP="009E5A5A">
      <w:pPr>
        <w:pStyle w:val="NormalHanging12a"/>
        <w:widowControl/>
        <w:ind w:left="720" w:hanging="720"/>
      </w:pPr>
      <w:r w:rsidRPr="00E1610D">
        <w:t>L.</w:t>
      </w:r>
      <w:r w:rsidRPr="00E1610D">
        <w:tab/>
        <w:t xml:space="preserve">ottaa huomioon, että vuonna 2020 tehdyn tutkimuksen mukaan </w:t>
      </w:r>
      <w:proofErr w:type="spellStart"/>
      <w:r w:rsidRPr="00E1610D">
        <w:t>dikambaa</w:t>
      </w:r>
      <w:proofErr w:type="spellEnd"/>
      <w:r w:rsidRPr="00E1610D">
        <w:t xml:space="preserve"> sietävien muuntogeenisten viljelykasvien hyväksymisen odotetaan lisäävän </w:t>
      </w:r>
      <w:proofErr w:type="spellStart"/>
      <w:r w:rsidRPr="00E1610D">
        <w:t>dikamban</w:t>
      </w:r>
      <w:proofErr w:type="spellEnd"/>
      <w:r w:rsidRPr="00E1610D">
        <w:t xml:space="preserve"> käyttöä maataloudessa tulevina vuosina</w:t>
      </w:r>
      <w:r w:rsidRPr="00E1610D">
        <w:rPr>
          <w:vertAlign w:val="superscript"/>
        </w:rPr>
        <w:footnoteReference w:id="8"/>
      </w:r>
      <w:r w:rsidRPr="00E1610D">
        <w:t xml:space="preserve"> ja että </w:t>
      </w:r>
      <w:proofErr w:type="spellStart"/>
      <w:r w:rsidRPr="00E1610D">
        <w:t>Heartland</w:t>
      </w:r>
      <w:proofErr w:type="spellEnd"/>
      <w:r w:rsidRPr="00E1610D">
        <w:t xml:space="preserve"> Health </w:t>
      </w:r>
      <w:proofErr w:type="spellStart"/>
      <w:r w:rsidRPr="00E1610D">
        <w:t>Research</w:t>
      </w:r>
      <w:proofErr w:type="spellEnd"/>
      <w:r w:rsidRPr="00E1610D">
        <w:t xml:space="preserve"> Alliancen torjunta</w:t>
      </w:r>
      <w:r w:rsidRPr="00E1610D">
        <w:noBreakHyphen/>
        <w:t xml:space="preserve">aineiden käyttöä koskeva tietojärjestelmä vahvistaa asian olevan näin, sillä </w:t>
      </w:r>
      <w:proofErr w:type="spellStart"/>
      <w:r w:rsidRPr="00E1610D">
        <w:t>dikamban</w:t>
      </w:r>
      <w:proofErr w:type="spellEnd"/>
      <w:r w:rsidRPr="00E1610D">
        <w:t xml:space="preserve"> käyttö on kymmenkertaistunut Yhdysvaltojen Keskilännessä verrattuna tilanteeseen kymmenen vuotta sitten</w:t>
      </w:r>
      <w:r w:rsidRPr="00E1610D">
        <w:rPr>
          <w:vertAlign w:val="superscript"/>
        </w:rPr>
        <w:footnoteReference w:id="9"/>
      </w:r>
      <w:r w:rsidRPr="00E1610D">
        <w:t>;</w:t>
      </w:r>
    </w:p>
    <w:p w:rsidR="00BA06C9" w:rsidRPr="00E1610D" w:rsidRDefault="00BA06C9" w:rsidP="009E5A5A">
      <w:pPr>
        <w:pStyle w:val="NormalHanging12a"/>
        <w:widowControl/>
        <w:ind w:left="720" w:hanging="720"/>
      </w:pPr>
      <w:r w:rsidRPr="00E1610D">
        <w:t>M.</w:t>
      </w:r>
      <w:r w:rsidRPr="00E1610D">
        <w:tab/>
        <w:t xml:space="preserve">toteaa, että </w:t>
      </w:r>
      <w:proofErr w:type="spellStart"/>
      <w:r w:rsidRPr="00E1610D">
        <w:t>glyfosaatin</w:t>
      </w:r>
      <w:proofErr w:type="spellEnd"/>
      <w:r w:rsidRPr="00E1610D">
        <w:t xml:space="preserve"> karsinogeenisyyteen liittyy edelleen avoimia kysymyksiä; ottaa huomioon, että EFSA totesi marraskuussa 2015, että </w:t>
      </w:r>
      <w:proofErr w:type="spellStart"/>
      <w:r w:rsidRPr="00E1610D">
        <w:t>glyfosaatti</w:t>
      </w:r>
      <w:proofErr w:type="spellEnd"/>
      <w:r w:rsidRPr="00E1610D">
        <w:t xml:space="preserve"> ei todennäköisesti ole syöpää aiheuttava aine, ja että Euroopan kemikaalivirasto totesi maaliskuussa 2017, että vaaraluokitus ei ollut aiheellinen; ottaa huomioon, että Kansainvälinen syöväntutkimuslaitos, joka on Maailman terveysjärjestön syöväntutkimukseen erikoistunut virasto, sen sijaan luokitteli </w:t>
      </w:r>
      <w:proofErr w:type="spellStart"/>
      <w:r w:rsidRPr="00E1610D">
        <w:t>glyfosaatin</w:t>
      </w:r>
      <w:proofErr w:type="spellEnd"/>
      <w:r w:rsidRPr="00E1610D">
        <w:t xml:space="preserve"> vuonna 2015 todennäköisesti ihmisille syöpää aiheuttavaksi aineeksi; ottaa huomioon, että monissa viimeaikaisissa vertaisarvioiduissa tieteellisissä tutkimuksissa vahvistetaan </w:t>
      </w:r>
      <w:proofErr w:type="spellStart"/>
      <w:r w:rsidRPr="00E1610D">
        <w:t>glyfosaatin</w:t>
      </w:r>
      <w:proofErr w:type="spellEnd"/>
      <w:r w:rsidRPr="00E1610D">
        <w:t xml:space="preserve"> syöpää aiheuttavat vaikutukset</w:t>
      </w:r>
      <w:r w:rsidRPr="00E1610D">
        <w:rPr>
          <w:szCs w:val="24"/>
          <w:vertAlign w:val="superscript"/>
        </w:rPr>
        <w:footnoteReference w:id="10"/>
      </w:r>
      <w:r w:rsidRPr="00E1610D">
        <w:t>;</w:t>
      </w:r>
    </w:p>
    <w:p w:rsidR="00BA06C9" w:rsidRPr="00E1610D" w:rsidRDefault="00BA06C9" w:rsidP="009E5A5A">
      <w:pPr>
        <w:pStyle w:val="NormalHanging12a"/>
        <w:widowControl/>
        <w:ind w:left="720" w:hanging="720"/>
      </w:pPr>
      <w:r w:rsidRPr="00E1610D">
        <w:t>N.</w:t>
      </w:r>
      <w:r w:rsidRPr="00E1610D">
        <w:tab/>
        <w:t xml:space="preserve">ottaa huomioon, että vertaisarvioidun tutkimuksen mukaan </w:t>
      </w:r>
      <w:proofErr w:type="spellStart"/>
      <w:r w:rsidRPr="00E1610D">
        <w:t>glyfosaattia</w:t>
      </w:r>
      <w:proofErr w:type="spellEnd"/>
      <w:r w:rsidRPr="00E1610D">
        <w:t xml:space="preserve"> kertyy muuntogeenisiin soijapapuihin, millä on vastaava kielteinen vaikutus ravitsemukselliseen koostumukseen verrattuna ei-muuntogeenisiin soijapapuihin</w:t>
      </w:r>
      <w:r w:rsidRPr="00E1610D">
        <w:rPr>
          <w:vertAlign w:val="superscript"/>
        </w:rPr>
        <w:footnoteReference w:id="11"/>
      </w:r>
      <w:r w:rsidRPr="00E1610D">
        <w:t xml:space="preserve">; ottaa huomioon, että Argentiinassa toteutetussa pilottihankkeessa havaittiin yllättävän suuria </w:t>
      </w:r>
      <w:proofErr w:type="spellStart"/>
      <w:r w:rsidRPr="00E1610D">
        <w:t>glyfosaattijäämiä</w:t>
      </w:r>
      <w:proofErr w:type="spellEnd"/>
      <w:r w:rsidRPr="00E1610D">
        <w:t xml:space="preserve"> muuntogeenisissä soijapavuissa</w:t>
      </w:r>
      <w:r w:rsidRPr="00E1610D">
        <w:rPr>
          <w:vertAlign w:val="superscript"/>
        </w:rPr>
        <w:footnoteReference w:id="12"/>
      </w:r>
      <w:r w:rsidRPr="00E1610D">
        <w:t>;</w:t>
      </w:r>
    </w:p>
    <w:p w:rsidR="00BA06C9" w:rsidRPr="00E1610D" w:rsidRDefault="00BA06C9" w:rsidP="009E5A5A">
      <w:pPr>
        <w:pStyle w:val="NormalHanging12a"/>
        <w:widowControl/>
        <w:ind w:left="720" w:hanging="720"/>
      </w:pPr>
      <w:r w:rsidRPr="00E1610D">
        <w:t>O.</w:t>
      </w:r>
      <w:r w:rsidRPr="00E1610D">
        <w:tab/>
        <w:t xml:space="preserve">ottaa huomioon, että muuntogeenisissä kasveissa tapa, jolla kasvit hajottavat täydentäviä rikkakasvien torjunta-aineita, ja hajoamistuotteiden (jäljempänä </w:t>
      </w:r>
      <w:r w:rsidRPr="00E1610D">
        <w:lastRenderedPageBreak/>
        <w:t>’</w:t>
      </w:r>
      <w:proofErr w:type="spellStart"/>
      <w:r w:rsidRPr="00E1610D">
        <w:t>metaboliitit</w:t>
      </w:r>
      <w:proofErr w:type="spellEnd"/>
      <w:r w:rsidRPr="00E1610D">
        <w:t>’) koostumus ja täten toksisuus voivat johtua geneettisestä muuntamisesta itsestään</w:t>
      </w:r>
      <w:r w:rsidRPr="00E1610D">
        <w:rPr>
          <w:szCs w:val="24"/>
          <w:vertAlign w:val="superscript"/>
        </w:rPr>
        <w:footnoteReference w:id="13"/>
      </w:r>
      <w:r w:rsidRPr="00E1610D">
        <w:t>;</w:t>
      </w:r>
    </w:p>
    <w:p w:rsidR="00BA06C9" w:rsidRPr="00E1610D" w:rsidRDefault="00BA06C9" w:rsidP="009E5A5A">
      <w:pPr>
        <w:pStyle w:val="NormalHanging12a"/>
        <w:widowControl/>
        <w:ind w:left="720" w:hanging="720"/>
      </w:pPr>
      <w:r w:rsidRPr="00E1610D">
        <w:t>P.</w:t>
      </w:r>
      <w:r w:rsidRPr="00E1610D">
        <w:tab/>
        <w:t xml:space="preserve">toteaa, että muuntogeenisistä kasveista löytyvien rikkakasvien torjunta-ainejäämien ja </w:t>
      </w:r>
      <w:proofErr w:type="spellStart"/>
      <w:r w:rsidRPr="00E1610D">
        <w:t>metaboliittien</w:t>
      </w:r>
      <w:proofErr w:type="spellEnd"/>
      <w:r w:rsidRPr="00E1610D">
        <w:t xml:space="preserve"> arvioinnin ei katsota kuuluvan muuntogeenisiä organismeja käsittelevän </w:t>
      </w:r>
      <w:proofErr w:type="spellStart"/>
      <w:r w:rsidRPr="00E1610D">
        <w:t>EFSAn</w:t>
      </w:r>
      <w:proofErr w:type="spellEnd"/>
      <w:r w:rsidRPr="00E1610D">
        <w:t xml:space="preserve"> tiedelautakunnan toimivaltaan eikä sitä sen vuoksi tehdä osana muuntogeenisten organismien lupamenettelyä;</w:t>
      </w:r>
    </w:p>
    <w:p w:rsidR="00BA06C9" w:rsidRPr="00E1610D" w:rsidRDefault="00BA06C9" w:rsidP="009E5A5A">
      <w:pPr>
        <w:pStyle w:val="NormalHanging12a"/>
        <w:widowControl/>
        <w:ind w:left="0" w:firstLine="0"/>
        <w:rPr>
          <w:b/>
          <w:i/>
        </w:rPr>
      </w:pPr>
      <w:r w:rsidRPr="00E1610D">
        <w:rPr>
          <w:b/>
          <w:i/>
        </w:rPr>
        <w:t>Maailmanlaajuisesti tasapuolisten toimintaedellytysten varmistaminen ja unionin kansainvälisten velvoitteiden noudattaminen</w:t>
      </w:r>
    </w:p>
    <w:p w:rsidR="00BA06C9" w:rsidRPr="00E1610D" w:rsidRDefault="00BA06C9" w:rsidP="009E5A5A">
      <w:pPr>
        <w:pStyle w:val="NormalHanging12a"/>
        <w:widowControl/>
        <w:ind w:left="720" w:hanging="720"/>
      </w:pPr>
      <w:r w:rsidRPr="00E1610D">
        <w:t>Q.</w:t>
      </w:r>
      <w:r w:rsidRPr="00E1610D">
        <w:tab/>
        <w:t>ottaa huomioon, että muuntogeenisen soijan viljely ei ole sallittua unionissa;</w:t>
      </w:r>
    </w:p>
    <w:p w:rsidR="00BA06C9" w:rsidRPr="00E1610D" w:rsidRDefault="00BA06C9" w:rsidP="009E5A5A">
      <w:pPr>
        <w:pStyle w:val="NormalHanging12a"/>
        <w:widowControl/>
        <w:ind w:left="720" w:hanging="720"/>
      </w:pPr>
      <w:r w:rsidRPr="00E1610D">
        <w:t>R.</w:t>
      </w:r>
      <w:r w:rsidRPr="00E1610D">
        <w:tab/>
        <w:t>ottaa huomioon, että EU:n maatalouden tulevaisuudesta käytävän strategisen vuoropuhelun päätelmissä</w:t>
      </w:r>
      <w:r w:rsidRPr="00E1610D">
        <w:rPr>
          <w:rStyle w:val="FootnoteReference"/>
        </w:rPr>
        <w:footnoteReference w:id="14"/>
      </w:r>
      <w:r w:rsidRPr="00E1610D">
        <w:t xml:space="preserve"> kehotetaan komissiota arvioimaan uudelleen omaa lähestymistapaansa tuotavien ja vietävien maatalouselintarvikkeiden markkinoille pääsyyn, kun otetaan huomioon unionin ja sen kauppakumppanien toisistaan poikkeavien normien aiheuttama haaste; ottaa huomioon, että oikeudenmukaisemmat kauppasuhteet, jotka ovat johdonmukaisia terveellistä ruokaa ja terveellistä ympäristöä maailmanlaajuisesti koskevien tavoitteiden kanssa, olivat yksi viljelijöiden keskeisistä vaatimuksista vuosien 2023 ja 2024 mielenosoituksissa;</w:t>
      </w:r>
    </w:p>
    <w:p w:rsidR="00BA06C9" w:rsidRPr="00E1610D" w:rsidRDefault="00BA06C9" w:rsidP="009E5A5A">
      <w:pPr>
        <w:pStyle w:val="NormalHanging12a"/>
        <w:widowControl/>
        <w:ind w:left="720" w:hanging="720"/>
      </w:pPr>
      <w:r w:rsidRPr="00E1610D">
        <w:t>S.</w:t>
      </w:r>
      <w:r w:rsidRPr="00E1610D">
        <w:tab/>
        <w:t>ottaa huomioon, että oikeutta ruokaan käsittelevän YK:n erityisraportoijan vuonna 2017 julkaistussa raportissa todettiin, että vaarallisilla torjunta-aineilla on katastrofaalisia vaikutuksia terveyteen erityisesti kehitysmaissa</w:t>
      </w:r>
      <w:r w:rsidRPr="00E1610D">
        <w:rPr>
          <w:rStyle w:val="FootnoteReference"/>
        </w:rPr>
        <w:footnoteReference w:id="15"/>
      </w:r>
      <w:r w:rsidRPr="00E1610D">
        <w:t>; toteaa, että YK:n kestävän kehityksen tavoitteiden alatavoitteessa 3.9 pyrkimyksenä on vähentää vuoteen 2030 mennessä merkittävästi vaarallisista kemikaaleista ja ilman, veden ja maaperän saastumisesta sekä pilaantumisesta aiheutuvia kuolemia ja sairauksia</w:t>
      </w:r>
      <w:r w:rsidRPr="00E1610D">
        <w:rPr>
          <w:rStyle w:val="FootnoteReference"/>
        </w:rPr>
        <w:footnoteReference w:id="16"/>
      </w:r>
      <w:r w:rsidRPr="00E1610D">
        <w:t>;</w:t>
      </w:r>
    </w:p>
    <w:p w:rsidR="00BA06C9" w:rsidRPr="00E1610D" w:rsidRDefault="00BA06C9" w:rsidP="009E5A5A">
      <w:pPr>
        <w:pStyle w:val="NormalHanging12a"/>
        <w:widowControl/>
        <w:ind w:left="720" w:hanging="720"/>
      </w:pPr>
      <w:r w:rsidRPr="00E1610D">
        <w:t>T.</w:t>
      </w:r>
      <w:r w:rsidRPr="00E1610D">
        <w:tab/>
        <w:t xml:space="preserve">ottaa huomioon, että Kunmingin-Montrealin maailmanlaajuinen luonnon monimuotoisuuskehys, jäljempänä ’Kunmingin-Montrealin monimuotoisuuskehys’, josta sovittiin biologista monimuotoisuutta koskevan Yhdistyneiden kansakuntien yleissopimuksen, jäljempänä ’YK:n </w:t>
      </w:r>
      <w:proofErr w:type="spellStart"/>
      <w:r w:rsidRPr="00E1610D">
        <w:t>biodiversiteettisopimus</w:t>
      </w:r>
      <w:proofErr w:type="spellEnd"/>
      <w:r w:rsidRPr="00E1610D">
        <w:t>’, sopimuspuolten 15. konferenssissa joulukuussa 2022, sisältää maailmanlaajuisen tavoitteen vähentää torjunta-aineista aiheutuvia riskejä vähintään 50 prosentilla vuoteen 2030 mennessä</w:t>
      </w:r>
      <w:r w:rsidRPr="00E1610D">
        <w:rPr>
          <w:rStyle w:val="FootnoteReference"/>
        </w:rPr>
        <w:footnoteReference w:id="17"/>
      </w:r>
      <w:r w:rsidRPr="00E1610D">
        <w:t>;</w:t>
      </w:r>
    </w:p>
    <w:p w:rsidR="00BA06C9" w:rsidRPr="00E1610D" w:rsidRDefault="00BA06C9" w:rsidP="009E5A5A">
      <w:pPr>
        <w:pStyle w:val="NormalHanging12a"/>
        <w:widowControl/>
        <w:ind w:left="720" w:hanging="720"/>
      </w:pPr>
      <w:r w:rsidRPr="00E1610D">
        <w:t>U.</w:t>
      </w:r>
      <w:r w:rsidRPr="00E1610D">
        <w:tab/>
        <w:t xml:space="preserve">panee merkille, että asetuksessa (EY) N:o 1829/2003 todetaan, että muuntogeeniset elintarvikkeet tai rehut eivät saa vaikuttaa haitallisesti ihmisten terveyteen, eläinten terveyteen tai ympäristöön, ja edellytetään komission ottavan päätöstään laatiessaan </w:t>
      </w:r>
      <w:r w:rsidRPr="00E1610D">
        <w:lastRenderedPageBreak/>
        <w:t xml:space="preserve">huomioon kaikki unionin lainsäädännön asiaankuuluvat säännökset sekä muut perustellut tekijät, jotka liittyvät tarkasteltavaan asiaan; katsoo, että tällaisiin perusteltuihin tekijöihin olisi sisällyttävä YK:n kestävän kehityksen tavoitteista ja YK:n </w:t>
      </w:r>
      <w:proofErr w:type="spellStart"/>
      <w:r w:rsidRPr="00E1610D">
        <w:t>biodiversiteettisopimuksesta</w:t>
      </w:r>
      <w:proofErr w:type="spellEnd"/>
      <w:r w:rsidRPr="00E1610D">
        <w:t xml:space="preserve"> johtuvat unionin velvoitteet;</w:t>
      </w:r>
    </w:p>
    <w:p w:rsidR="00BA06C9" w:rsidRPr="00E1610D" w:rsidRDefault="00BA06C9" w:rsidP="009E5A5A">
      <w:pPr>
        <w:pStyle w:val="NormalHanging12a"/>
        <w:widowControl/>
        <w:ind w:left="720" w:hanging="720"/>
      </w:pPr>
      <w:r w:rsidRPr="00E1610D">
        <w:t>V.</w:t>
      </w:r>
      <w:r w:rsidRPr="00E1610D">
        <w:tab/>
        <w:t>toteaa, että unionin lupa muuntogeeniselle soijalle ei olisi torjunta-aineiden vähentämistä koskevien kansainvälisten sitoumusten</w:t>
      </w:r>
      <w:r w:rsidRPr="00E1610D">
        <w:rPr>
          <w:vertAlign w:val="superscript"/>
        </w:rPr>
        <w:footnoteReference w:id="18"/>
      </w:r>
      <w:r w:rsidRPr="00E1610D">
        <w:t xml:space="preserve"> mukainen, kun otetaan huomioon ihmisten ja ympäristön lisääntynyt altistuminen rikkakasvien torjunta</w:t>
      </w:r>
      <w:r w:rsidRPr="00E1610D">
        <w:noBreakHyphen/>
        <w:t>aineille maissa, joissa viljellään torjunta-aineita sietäviä muuntogeenisiä kasveja, sekä siihen mahdollisesti liittyvät vakavat terveysvaikutukset;</w:t>
      </w:r>
    </w:p>
    <w:p w:rsidR="00BA06C9" w:rsidRPr="00E1610D" w:rsidRDefault="00BA06C9" w:rsidP="009E5A5A">
      <w:pPr>
        <w:pStyle w:val="NormalHanging12a"/>
        <w:widowControl/>
        <w:ind w:left="720" w:hanging="720"/>
      </w:pPr>
      <w:r w:rsidRPr="00E1610D">
        <w:t>W.</w:t>
      </w:r>
      <w:r w:rsidRPr="00E1610D">
        <w:tab/>
        <w:t xml:space="preserve">ottaa huomioon, että metsäkato on merkittävä syy </w:t>
      </w:r>
      <w:proofErr w:type="spellStart"/>
      <w:r w:rsidRPr="00E1610D">
        <w:t>biodiversiteetin</w:t>
      </w:r>
      <w:proofErr w:type="spellEnd"/>
      <w:r w:rsidRPr="00E1610D">
        <w:t xml:space="preserve"> vähenemiseen; toteaa, että maankäytöstä ja maankäytön muuttumisesta, joka johtuu pääasiassa metsäkadosta, aiheutuvat päästöt ovat toiseksi suurin ilmastonmuutoksen aiheuttaja fossiilisten polttoaineiden käytön jälkeen</w:t>
      </w:r>
      <w:r w:rsidRPr="00E1610D">
        <w:rPr>
          <w:szCs w:val="24"/>
          <w:vertAlign w:val="superscript"/>
        </w:rPr>
        <w:footnoteReference w:id="19"/>
      </w:r>
      <w:r w:rsidRPr="00E1610D">
        <w:t xml:space="preserve">; toteaa, että Pariisin ilmastosopimuksella ja biologista monimuotoisuutta koskevalla strategisella suunnitelmalla vuosiksi 2011–2020, joka hyväksyttiin biologista monimuotoisuutta koskevan YK:n yleissopimuksen sekä </w:t>
      </w:r>
      <w:proofErr w:type="spellStart"/>
      <w:r w:rsidRPr="00E1610D">
        <w:t>Aichin</w:t>
      </w:r>
      <w:proofErr w:type="spellEnd"/>
      <w:r w:rsidRPr="00E1610D">
        <w:t xml:space="preserve"> </w:t>
      </w:r>
      <w:proofErr w:type="spellStart"/>
      <w:r w:rsidRPr="00E1610D">
        <w:t>biodiversiteettitavoitteiden</w:t>
      </w:r>
      <w:proofErr w:type="spellEnd"/>
      <w:r w:rsidRPr="00E1610D">
        <w:t xml:space="preserve"> mukaisesti, edistetään kestävän metsätalouden, metsien suojelun ja metsien ennallistamisen hyväksi tehtävää työtä</w:t>
      </w:r>
      <w:r w:rsidRPr="00E1610D">
        <w:rPr>
          <w:szCs w:val="24"/>
          <w:vertAlign w:val="superscript"/>
        </w:rPr>
        <w:footnoteReference w:id="20"/>
      </w:r>
      <w:r w:rsidRPr="00E1610D">
        <w:t>; toteaa, että YK:n kestävän kehityksen tavoitteeseen 15 sisältyy metsäkadon pysäyttäminen vuoteen 2020 mennessä</w:t>
      </w:r>
      <w:r w:rsidRPr="00E1610D">
        <w:rPr>
          <w:szCs w:val="24"/>
          <w:vertAlign w:val="superscript"/>
        </w:rPr>
        <w:footnoteReference w:id="21"/>
      </w:r>
      <w:r w:rsidRPr="00E1610D">
        <w:t>; toteaa, että metsillä on monitoimintoinen rooli, joka tukee useimpien YK:n kestävän kehityksen tavoitteiden saavuttamista</w:t>
      </w:r>
      <w:r w:rsidRPr="00E1610D">
        <w:rPr>
          <w:szCs w:val="24"/>
          <w:vertAlign w:val="superscript"/>
        </w:rPr>
        <w:footnoteReference w:id="22"/>
      </w:r>
      <w:r w:rsidRPr="00E1610D">
        <w:t>;</w:t>
      </w:r>
    </w:p>
    <w:p w:rsidR="00BA06C9" w:rsidRPr="00E1610D" w:rsidRDefault="00BA06C9" w:rsidP="009E5A5A">
      <w:pPr>
        <w:pStyle w:val="NormalHanging12a"/>
        <w:widowControl/>
        <w:ind w:left="720" w:hanging="720"/>
      </w:pPr>
      <w:r w:rsidRPr="00E1610D">
        <w:t>X.</w:t>
      </w:r>
      <w:r w:rsidRPr="00E1610D">
        <w:tab/>
        <w:t>ottaa huomioon, että laajamittainen metsäkato kiihdyttää Amazonin metsäpaloja; ottaa huomioon, että komissio ilmaisi vuonna 2019 antamassaan tiedonannossa tavoitteensa suojella ja ennallistaa maailman metsiä</w:t>
      </w:r>
      <w:r w:rsidRPr="00E1610D">
        <w:rPr>
          <w:vertAlign w:val="superscript"/>
        </w:rPr>
        <w:footnoteReference w:id="23"/>
      </w:r>
      <w:r w:rsidRPr="00E1610D">
        <w:t xml:space="preserve">; ottaa huomioon, että biologisen monimuotoisuuden, myös metsien, maailmanlaajuinen suojelu on EU:n </w:t>
      </w:r>
      <w:proofErr w:type="spellStart"/>
      <w:r w:rsidRPr="00E1610D">
        <w:t>biodiversiteettistrategian</w:t>
      </w:r>
      <w:proofErr w:type="spellEnd"/>
      <w:r w:rsidRPr="00E1610D">
        <w:rPr>
          <w:vertAlign w:val="superscript"/>
        </w:rPr>
        <w:footnoteReference w:id="24"/>
      </w:r>
      <w:r w:rsidRPr="00E1610D">
        <w:t xml:space="preserve"> keskeinen tavoite;</w:t>
      </w:r>
    </w:p>
    <w:p w:rsidR="00BA06C9" w:rsidRPr="00E1610D" w:rsidRDefault="00BA06C9" w:rsidP="009E5A5A">
      <w:pPr>
        <w:pStyle w:val="NormalHanging12a"/>
        <w:widowControl/>
        <w:ind w:left="720" w:hanging="720"/>
      </w:pPr>
      <w:r w:rsidRPr="00E1610D">
        <w:t>Y.</w:t>
      </w:r>
      <w:r w:rsidRPr="00E1610D">
        <w:tab/>
        <w:t xml:space="preserve">toteaa, että soijan tuotanto on keskeinen metsäkatoa aiheuttava tekijä Amazonin, </w:t>
      </w:r>
      <w:proofErr w:type="spellStart"/>
      <w:r w:rsidRPr="00E1610D">
        <w:t>Cerradon</w:t>
      </w:r>
      <w:proofErr w:type="spellEnd"/>
      <w:r w:rsidRPr="00E1610D">
        <w:t xml:space="preserve"> ja Gran </w:t>
      </w:r>
      <w:proofErr w:type="spellStart"/>
      <w:r w:rsidRPr="00E1610D">
        <w:t>Chacon</w:t>
      </w:r>
      <w:proofErr w:type="spellEnd"/>
      <w:r w:rsidRPr="00E1610D">
        <w:t xml:space="preserve"> metsissä Etelä-Amerikassa; toteaa, että 97 prosenttia </w:t>
      </w:r>
      <w:r w:rsidRPr="00E1610D">
        <w:lastRenderedPageBreak/>
        <w:t>Brasiliassa viljellystä soijasta ja 100 prosenttia Argentiinassa viljellystä soijasta on muuntogeenistä soijaa</w:t>
      </w:r>
      <w:r w:rsidRPr="00E1610D">
        <w:rPr>
          <w:szCs w:val="24"/>
          <w:vertAlign w:val="superscript"/>
        </w:rPr>
        <w:footnoteReference w:id="25"/>
      </w:r>
      <w:r w:rsidRPr="00E1610D">
        <w:t>;</w:t>
      </w:r>
    </w:p>
    <w:p w:rsidR="00BA06C9" w:rsidRPr="00E1610D" w:rsidRDefault="00BA06C9" w:rsidP="009E5A5A">
      <w:pPr>
        <w:pStyle w:val="NormalHanging12a"/>
        <w:widowControl/>
        <w:ind w:left="720" w:hanging="720"/>
        <w:rPr>
          <w:szCs w:val="24"/>
        </w:rPr>
      </w:pPr>
      <w:r w:rsidRPr="00E1610D">
        <w:t>Z.</w:t>
      </w:r>
      <w:r w:rsidRPr="00E1610D">
        <w:tab/>
        <w:t>ottaa huomioon, että komission analyysissä todettiin, että soija on historiallisesti ollut unionin suurin maailmanlaajuisen metsäkadon ja siihen liittyvien päästöjen aiheuttaja ja että sen osuus unionin koko tuonnin epäsuorasti aiheuttamasta metsäkadosta on lähes puolet</w:t>
      </w:r>
      <w:r w:rsidRPr="00E1610D">
        <w:rPr>
          <w:szCs w:val="24"/>
          <w:vertAlign w:val="superscript"/>
        </w:rPr>
        <w:footnoteReference w:id="26"/>
      </w:r>
      <w:r w:rsidRPr="00E1610D">
        <w:t>;</w:t>
      </w:r>
    </w:p>
    <w:p w:rsidR="00BA06C9" w:rsidRPr="00E1610D" w:rsidRDefault="00BA06C9" w:rsidP="009E5A5A">
      <w:pPr>
        <w:pStyle w:val="NormalHanging12a"/>
        <w:widowControl/>
        <w:ind w:left="284" w:hanging="284"/>
        <w:rPr>
          <w:b/>
          <w:i/>
        </w:rPr>
      </w:pPr>
      <w:r w:rsidRPr="00E1610D">
        <w:rPr>
          <w:b/>
          <w:i/>
        </w:rPr>
        <w:t>Riippuvuuden vähentäminen tuontirehuista</w:t>
      </w:r>
    </w:p>
    <w:p w:rsidR="00BA06C9" w:rsidRPr="00E1610D" w:rsidRDefault="00BA06C9" w:rsidP="009E5A5A">
      <w:pPr>
        <w:pStyle w:val="NormalHanging12a"/>
        <w:widowControl/>
        <w:ind w:left="720" w:hanging="720"/>
      </w:pPr>
      <w:r w:rsidRPr="00E1610D">
        <w:t>AA.</w:t>
      </w:r>
      <w:r w:rsidRPr="00E1610D">
        <w:tab/>
        <w:t xml:space="preserve">ottaa huomioon, että yksi covid-19-kriisistä ja Ukrainassa edelleen jatkuvasta sodasta saatu opetus on se, että unioni ei saa enää olla riippuvainen eräistä kriittisistä materiaaleista; ottaa huomioon, että komission puheenjohtaja Ursula von </w:t>
      </w:r>
      <w:proofErr w:type="spellStart"/>
      <w:r w:rsidRPr="00E1610D">
        <w:t>der</w:t>
      </w:r>
      <w:proofErr w:type="spellEnd"/>
      <w:r w:rsidRPr="00E1610D">
        <w:t xml:space="preserve"> </w:t>
      </w:r>
      <w:proofErr w:type="spellStart"/>
      <w:r w:rsidRPr="00E1610D">
        <w:t>Leyen</w:t>
      </w:r>
      <w:proofErr w:type="spellEnd"/>
      <w:r w:rsidRPr="00E1610D">
        <w:t xml:space="preserve"> pyytää komission jäsenelle </w:t>
      </w:r>
      <w:proofErr w:type="spellStart"/>
      <w:r w:rsidRPr="00E1610D">
        <w:t>Christophe</w:t>
      </w:r>
      <w:proofErr w:type="spellEnd"/>
      <w:r w:rsidRPr="00E1610D">
        <w:t xml:space="preserve"> Hansenille osoitetussa toimeksiantokirjeessä häntä tarkastelemaan keinoja vähentää kriittisten hyödykkeiden tuontia</w:t>
      </w:r>
      <w:r w:rsidRPr="00E1610D">
        <w:rPr>
          <w:rStyle w:val="FootnoteReference"/>
        </w:rPr>
        <w:footnoteReference w:id="27"/>
      </w:r>
      <w:r w:rsidRPr="00E1610D">
        <w:t xml:space="preserve">; </w:t>
      </w:r>
    </w:p>
    <w:p w:rsidR="00BA06C9" w:rsidRPr="00E1610D" w:rsidRDefault="00BA06C9" w:rsidP="009E5A5A">
      <w:pPr>
        <w:pStyle w:val="NormalHanging12a"/>
        <w:widowControl/>
        <w:ind w:left="720" w:hanging="720"/>
      </w:pPr>
      <w:r w:rsidRPr="00E1610D">
        <w:t>AB.</w:t>
      </w:r>
      <w:r w:rsidRPr="00E1610D">
        <w:tab/>
        <w:t>ottaa huomioon, että kauppasopimuksilla kannustetaan tuomaan unioniin muuntogeenisiä organismeja sisältäviä, niistä koostuvia tai niistä valmistettuja elintarvikkeita ja rehuja; toteaa, että Brasilia ja Argentiina ovat maailman suurimpia muuntogeenisten organismien tuottajia ja torjunta-aineiden käyttäjiä, mukaan lukien muuntogeeniset organismit ja torjunta-aineet, jotka on kielletty unionissa terveys- tai ympäristösyistä;</w:t>
      </w:r>
    </w:p>
    <w:p w:rsidR="00BA06C9" w:rsidRPr="00E1610D" w:rsidRDefault="00BA06C9" w:rsidP="009E5A5A">
      <w:pPr>
        <w:pStyle w:val="NormalHanging12a"/>
        <w:widowControl/>
        <w:ind w:left="284" w:hanging="284"/>
        <w:rPr>
          <w:b/>
          <w:i/>
        </w:rPr>
      </w:pPr>
      <w:r w:rsidRPr="00E1610D">
        <w:rPr>
          <w:b/>
          <w:i/>
        </w:rPr>
        <w:t>Epädemokraattinen päätöksenteko</w:t>
      </w:r>
    </w:p>
    <w:p w:rsidR="00BA06C9" w:rsidRPr="00E1610D" w:rsidRDefault="00BA06C9" w:rsidP="009E5A5A">
      <w:pPr>
        <w:pStyle w:val="NormalHanging12a"/>
        <w:widowControl/>
        <w:ind w:left="720" w:hanging="720"/>
      </w:pPr>
      <w:r w:rsidRPr="00E1610D">
        <w:t>AC.</w:t>
      </w:r>
      <w:r w:rsidRPr="00E1610D">
        <w:tab/>
        <w:t xml:space="preserve">ottaa huomioon, että parlamentti antoi kahdeksannella vaalikaudella kaikkiaan 36 päätöslauselmaa, joissa vastustettiin elintarvike- ja rehukäyttöön tarkoitettujen muuntogeenisten organismien markkinoille saattamista (33 päätöslauselmaa) ja muuntogeenisten organismien viljelyä unionissa (kolme päätöslauselmaa); ottaa huomioon, että parlamentti antoi yhdeksännellä vaalikaudella 38 vastalausetta, jotka koskivat muuntogeenisten organismien markkinoille saattamista, ja on nykyisellä kymmenennellä vaalikaudella antanut jo kymmenen tällaista päätöslauselmaa, jotka koskevat muuntogeenisten organismien markkinoille saattamista; </w:t>
      </w:r>
    </w:p>
    <w:p w:rsidR="00BA06C9" w:rsidRPr="00E1610D" w:rsidRDefault="00BA06C9" w:rsidP="009E5A5A">
      <w:pPr>
        <w:pStyle w:val="NormalHanging12a"/>
        <w:widowControl/>
        <w:ind w:left="720" w:hanging="720"/>
      </w:pPr>
      <w:r w:rsidRPr="00E1610D">
        <w:lastRenderedPageBreak/>
        <w:t>AD.</w:t>
      </w:r>
      <w:r w:rsidRPr="00E1610D">
        <w:tab/>
        <w:t>toteaa, että komissio jatkaa lupien myöntämistä muuntogeenisille organismeille, vaikka se itse myöntää demokraattisuuden puutteen, ja huolimatta jäsenvaltioiden tuen puuttumisesta ja parlamentin vastustuksesta;</w:t>
      </w:r>
    </w:p>
    <w:p w:rsidR="00BA06C9" w:rsidRPr="00E1610D" w:rsidRDefault="00BA06C9" w:rsidP="009E5A5A">
      <w:pPr>
        <w:pStyle w:val="NormalHanging12a"/>
        <w:widowControl/>
        <w:ind w:left="720" w:hanging="720"/>
      </w:pPr>
      <w:r w:rsidRPr="00E1610D">
        <w:t>AE.</w:t>
      </w:r>
      <w:r w:rsidRPr="00E1610D">
        <w:tab/>
        <w:t>ottaa huomioon, että komissio voi olla antamatta lupaa muuntogeenisille organismeille ilman, että lainsäädäntöä tarvitsee muuttaa, kun jäsenvaltioiden määräenemmistö ei muutoksenhakukomiteassa puolla luvan myöntämistä</w:t>
      </w:r>
      <w:r w:rsidRPr="00E1610D">
        <w:rPr>
          <w:rStyle w:val="FootnoteReference"/>
        </w:rPr>
        <w:footnoteReference w:id="28"/>
      </w:r>
      <w:r w:rsidRPr="00E1610D">
        <w:t>;</w:t>
      </w:r>
    </w:p>
    <w:p w:rsidR="00BA06C9" w:rsidRPr="00E1610D" w:rsidRDefault="00BA06C9" w:rsidP="009E5A5A">
      <w:pPr>
        <w:pStyle w:val="NormalHanging12a"/>
        <w:widowControl/>
        <w:ind w:left="720" w:hanging="720"/>
      </w:pPr>
      <w:r w:rsidRPr="00E1610D">
        <w:t>AF.</w:t>
      </w:r>
      <w:r w:rsidRPr="00E1610D">
        <w:tab/>
        <w:t xml:space="preserve">ottaa huomioon, että asetuksen (EY) </w:t>
      </w:r>
      <w:proofErr w:type="gramStart"/>
      <w:r w:rsidRPr="00E1610D">
        <w:t>N:o</w:t>
      </w:r>
      <w:proofErr w:type="gramEnd"/>
      <w:r w:rsidRPr="00E1610D">
        <w:t xml:space="preserve"> 1829/2003 35 artiklassa tarkoitetussa pysyvässä kasvi-, eläin-, elintarvike- ja rehukomiteassa 28. helmikuuta 2025 toimitetussa äänestyksessä päätettiin olla antamatta lausuntoa, mikä tarkoittaa, että jäsenvaltioiden määräenemmistö ei tukenut luvan myöntämistä; </w:t>
      </w:r>
    </w:p>
    <w:p w:rsidR="00BA06C9" w:rsidRPr="00E1610D" w:rsidRDefault="00BA06C9" w:rsidP="009E5A5A">
      <w:pPr>
        <w:pStyle w:val="NormalHanging12a"/>
        <w:widowControl/>
        <w:ind w:left="720" w:hanging="720"/>
      </w:pPr>
      <w:r w:rsidRPr="00E1610D">
        <w:t>1.</w:t>
      </w:r>
      <w:r w:rsidRPr="00E1610D">
        <w:tab/>
        <w:t>katsoo, että ehdotus komission täytäntöönpanopäätökseksi ylittää asetuksessa (EY) </w:t>
      </w:r>
      <w:proofErr w:type="gramStart"/>
      <w:r w:rsidRPr="00E1610D">
        <w:t>N:o</w:t>
      </w:r>
      <w:proofErr w:type="gramEnd"/>
      <w:r w:rsidRPr="00E1610D">
        <w:t> 1829/2003 säädetyn täytäntöönpanovallan;</w:t>
      </w:r>
    </w:p>
    <w:p w:rsidR="00BA06C9" w:rsidRPr="00E1610D" w:rsidRDefault="00BA06C9" w:rsidP="009E5A5A">
      <w:pPr>
        <w:pStyle w:val="NormalHanging12a"/>
        <w:widowControl/>
        <w:ind w:left="720" w:hanging="720"/>
      </w:pPr>
      <w:r w:rsidRPr="00E1610D">
        <w:t>2.</w:t>
      </w:r>
      <w:r w:rsidRPr="00E1610D">
        <w:tab/>
        <w:t xml:space="preserve">katsoo, että ehdotus komission täytäntöönpanopäätökseksi ei ole unionin oikeuden mukainen, sillä se on </w:t>
      </w:r>
      <w:proofErr w:type="spellStart"/>
      <w:r w:rsidRPr="00E1610D">
        <w:t>yhteensopimaton</w:t>
      </w:r>
      <w:proofErr w:type="spellEnd"/>
      <w:r w:rsidRPr="00E1610D">
        <w:t xml:space="preserve"> asetuksen (EY) N:o 1829/2003 tavoitteen kanssa; toteaa, että kyseisen asetuksen tavoitteena on Euroopan parlamentin ja neuvoston asetuksessa (EY) N:o 178/2002</w:t>
      </w:r>
      <w:r w:rsidRPr="00E1610D">
        <w:rPr>
          <w:rStyle w:val="FootnoteReference"/>
        </w:rPr>
        <w:footnoteReference w:id="29"/>
      </w:r>
      <w:r w:rsidRPr="00E1610D">
        <w:t xml:space="preserve"> säädettyjen yleisten periaatteiden mukaisesti luoda perusta ihmisten elämän ja terveyden, eläinten terveyden ja hyvinvoinnin sekä ympäristön ja kuluttajien etujen korkeatasoisen suojelun varmistamiselle muuntogeenisten elintarvikkeiden ja rehujen suhteen sekä varmistaa samalla sisämarkkinoiden tehokas toiminta;</w:t>
      </w:r>
    </w:p>
    <w:p w:rsidR="00BA06C9" w:rsidRPr="00E1610D" w:rsidRDefault="00BA06C9" w:rsidP="009E5A5A">
      <w:pPr>
        <w:pStyle w:val="NormalHanging12a"/>
        <w:widowControl/>
        <w:ind w:left="720" w:hanging="720"/>
      </w:pPr>
      <w:r w:rsidRPr="00E1610D">
        <w:t>3.</w:t>
      </w:r>
      <w:r w:rsidRPr="00E1610D">
        <w:tab/>
        <w:t>pyytää komissiota peruuttamaan ehdotuksen täytäntöönpanopäätökseksi ja toimittamaan komitealle uuden ehdotuksen;</w:t>
      </w:r>
    </w:p>
    <w:p w:rsidR="00BA06C9" w:rsidRPr="00E1610D" w:rsidRDefault="00BA06C9" w:rsidP="009E5A5A">
      <w:pPr>
        <w:pStyle w:val="NormalHanging12a"/>
        <w:widowControl/>
        <w:ind w:left="720" w:hanging="720"/>
      </w:pPr>
      <w:r w:rsidRPr="00E1610D">
        <w:t>4.</w:t>
      </w:r>
      <w:r w:rsidRPr="00E1610D">
        <w:tab/>
        <w:t xml:space="preserve">pyytää komissiota toimimaan yhteinen terveys -lähestymistavan mukaisesti ja pidättäytymään myöntämästä lupaa rikkakasvien torjunta-aineille sietokykyisille muuntogeenisille viljelykasveille, sillä luvan myötä täydentävien rikkakasvien torjunta-aineiden käyttö lisääntyisi, mistä aiheutuisi enemmän riskejä </w:t>
      </w:r>
      <w:proofErr w:type="spellStart"/>
      <w:r w:rsidRPr="00E1610D">
        <w:t>biodiversiteetille</w:t>
      </w:r>
      <w:proofErr w:type="spellEnd"/>
      <w:r w:rsidRPr="00E1610D">
        <w:t>, elintarvikkeiden turvallisuudelle ja työntekijöiden terveydelle;</w:t>
      </w:r>
    </w:p>
    <w:p w:rsidR="00BA06C9" w:rsidRPr="00E1610D" w:rsidRDefault="00BA06C9" w:rsidP="009E5A5A">
      <w:pPr>
        <w:pStyle w:val="NormalHanging12a"/>
        <w:widowControl/>
        <w:ind w:left="720" w:hanging="720"/>
      </w:pPr>
      <w:r w:rsidRPr="00E1610D">
        <w:t>5.</w:t>
      </w:r>
      <w:r w:rsidRPr="00E1610D">
        <w:tab/>
        <w:t xml:space="preserve">korostaa tässä yhteydessä, että luvan myöntäminen minkä tahansa sellaisen muuntogeenisen kasvin tuonnille elintarvike- tai rehukäyttöön, josta on tehty sietokykyinen rikkakasvien torjunta-aineille, on ristiriidassa muun muassa YK:n kestävän kehityksen tavoitteista ja YK:n </w:t>
      </w:r>
      <w:proofErr w:type="spellStart"/>
      <w:r w:rsidRPr="00E1610D">
        <w:t>biodiversiteettisopimuksesta</w:t>
      </w:r>
      <w:proofErr w:type="spellEnd"/>
      <w:r w:rsidRPr="00E1610D">
        <w:t xml:space="preserve">, mukaan lukien </w:t>
      </w:r>
      <w:r w:rsidRPr="00E1610D">
        <w:lastRenderedPageBreak/>
        <w:t>äskettäin hyväksytty Kunmingin-Montrealin monimuotoisuuskehys, johtuvien unionin kansainvälisten sitoumusten</w:t>
      </w:r>
      <w:r w:rsidRPr="00E1610D">
        <w:rPr>
          <w:rStyle w:val="FootnoteReference"/>
        </w:rPr>
        <w:footnoteReference w:id="30"/>
      </w:r>
      <w:r w:rsidRPr="00E1610D">
        <w:t xml:space="preserve"> kanssa;</w:t>
      </w:r>
    </w:p>
    <w:p w:rsidR="00BA06C9" w:rsidRPr="00E1610D" w:rsidRDefault="00BA06C9" w:rsidP="009E5A5A">
      <w:pPr>
        <w:pStyle w:val="NormalHanging12a"/>
        <w:widowControl/>
        <w:ind w:left="720" w:hanging="720"/>
      </w:pPr>
      <w:r w:rsidRPr="00E1610D">
        <w:t>6.</w:t>
      </w:r>
      <w:r w:rsidRPr="00E1610D">
        <w:tab/>
        <w:t>odottaa, että komissio noudattaa kiireellisesti sitoumustaan esittää ehdotus sen varmistamiseksi, että unionissa kiellettyjä vaarallisia kemikaaleja ei tuoteta vientiä varten, ja varmistaa vastavuoroisuuden yhdenmukaistamalla tuotantoa koskevat kotimaiset normit paremmin tuontituotteisiin sovellettavien normien kanssa, erityisesti torjunta-aineiden osalta;</w:t>
      </w:r>
    </w:p>
    <w:p w:rsidR="00BA06C9" w:rsidRPr="00E1610D" w:rsidRDefault="00BA06C9" w:rsidP="009E5A5A">
      <w:pPr>
        <w:pStyle w:val="NormalHanging12a"/>
        <w:widowControl/>
        <w:ind w:left="720" w:hanging="720"/>
      </w:pPr>
      <w:r w:rsidRPr="00E1610D">
        <w:t>7.</w:t>
      </w:r>
      <w:r w:rsidRPr="00E1610D">
        <w:tab/>
        <w:t>kehottaa komissiota varmistamaan normien lähentämisen unionin ja sen kumppaneiden välillä vapaakauppasopimusneuvotteluissa, jotta unionin turvallisuusnormit voidaan täyttää;</w:t>
      </w:r>
    </w:p>
    <w:p w:rsidR="00BA06C9" w:rsidRPr="00E1610D" w:rsidRDefault="00BA06C9" w:rsidP="009E5A5A">
      <w:pPr>
        <w:pStyle w:val="NormalHanging12a"/>
        <w:widowControl/>
        <w:ind w:left="720" w:hanging="720"/>
      </w:pPr>
      <w:r w:rsidRPr="00E1610D">
        <w:t xml:space="preserve">8. </w:t>
      </w:r>
      <w:r w:rsidRPr="00E1610D">
        <w:tab/>
        <w:t>on tyytyväinen siihen, että komissio myönsi lopulta 11. syyskuuta 2020 päivätyssä kirjeessään</w:t>
      </w:r>
      <w:r w:rsidRPr="00E1610D">
        <w:rPr>
          <w:rStyle w:val="FootnoteReference"/>
        </w:rPr>
        <w:footnoteReference w:id="31"/>
      </w:r>
      <w:r w:rsidRPr="00E1610D">
        <w:t xml:space="preserve"> parlamentin jäsenille, että muuntogeenisiä organismeja koskevissa lupapäätöksissä on otettava huomioon kestävyysnäkökohdat; on kuitenkin erittäin pettynyt siihen, että komissio on sen jälkeen edelleen myöntänyt lupia muuntogeenisten organismien tuonnille unioniin, vaikka parlamentti vastustaa sitä jatkuvasti ja jäsenvaltioiden enemmistö äänestää sitä vastaan;</w:t>
      </w:r>
    </w:p>
    <w:p w:rsidR="00BA06C9" w:rsidRPr="00E1610D" w:rsidRDefault="00BA06C9" w:rsidP="009E5A5A">
      <w:pPr>
        <w:pStyle w:val="NormalHanging12a"/>
        <w:widowControl/>
        <w:ind w:left="720" w:hanging="720"/>
      </w:pPr>
      <w:r w:rsidRPr="00E1610D">
        <w:t>9.</w:t>
      </w:r>
      <w:r w:rsidRPr="00E1610D">
        <w:tab/>
        <w:t xml:space="preserve">kehottaa jälleen kerran komissiota ottamaan huomioon kansainvälisistä sopimuksista, kuten Pariisin ilmastosopimuksesta, YK:n </w:t>
      </w:r>
      <w:proofErr w:type="spellStart"/>
      <w:r w:rsidRPr="00E1610D">
        <w:t>biodiversiteettisopimuksesta</w:t>
      </w:r>
      <w:proofErr w:type="spellEnd"/>
      <w:r w:rsidRPr="00E1610D">
        <w:t xml:space="preserve"> ja YK:n kestävän kehityksen tavoitteista, johtuvat unionin velvoitteet; toistaa jälleen kehotuksensa liittää ehdotuksiin täytäntöönpanosäädöksiksi perustelut, joissa selitetään, miten niissä varmistetaan vahingon välttämisen periaatteen noudattaminen</w:t>
      </w:r>
      <w:r w:rsidRPr="00E1610D">
        <w:rPr>
          <w:rStyle w:val="FootnoteReference"/>
        </w:rPr>
        <w:footnoteReference w:id="32"/>
      </w:r>
      <w:r w:rsidRPr="00E1610D">
        <w:t xml:space="preserve">; </w:t>
      </w:r>
    </w:p>
    <w:p w:rsidR="007D3058" w:rsidRPr="007D3058" w:rsidRDefault="00BA06C9" w:rsidP="009E5A5A">
      <w:pPr>
        <w:widowControl/>
        <w:ind w:left="720" w:hanging="720"/>
      </w:pPr>
      <w:r w:rsidRPr="00E1610D">
        <w:t>10.</w:t>
      </w:r>
      <w:r w:rsidRPr="00E1610D">
        <w:tab/>
        <w:t>kehottaa puhemiestä välittämään tämän päätöslauselman neuvostolle ja komissiolle sekä jäsenvaltioiden hallituksille ja parlamenteille.</w:t>
      </w:r>
    </w:p>
    <w:sectPr w:rsidR="007D3058" w:rsidRPr="007D3058" w:rsidSect="007D3058">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619E" w:rsidRPr="007D3058" w:rsidRDefault="00EE619E">
      <w:r w:rsidRPr="007D3058">
        <w:separator/>
      </w:r>
    </w:p>
  </w:endnote>
  <w:endnote w:type="continuationSeparator" w:id="0">
    <w:p w:rsidR="00EE619E" w:rsidRPr="007D3058" w:rsidRDefault="00EE619E">
      <w:r w:rsidRPr="007D305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619E" w:rsidRPr="007D3058" w:rsidRDefault="00EE619E">
      <w:r w:rsidRPr="007D3058">
        <w:separator/>
      </w:r>
    </w:p>
  </w:footnote>
  <w:footnote w:type="continuationSeparator" w:id="0">
    <w:p w:rsidR="00EE619E" w:rsidRPr="007D3058" w:rsidRDefault="00EE619E">
      <w:r w:rsidRPr="007D3058">
        <w:continuationSeparator/>
      </w:r>
    </w:p>
  </w:footnote>
  <w:footnote w:id="1">
    <w:p w:rsidR="00BA06C9" w:rsidRPr="007D3058" w:rsidRDefault="00BA06C9" w:rsidP="007D3058">
      <w:pPr>
        <w:pStyle w:val="FootnoteText"/>
        <w:ind w:left="567" w:hanging="567"/>
        <w:rPr>
          <w:sz w:val="24"/>
          <w:lang w:val="fi-FI"/>
        </w:rPr>
      </w:pPr>
      <w:r w:rsidRPr="007D3058">
        <w:rPr>
          <w:rStyle w:val="FootnoteReference"/>
          <w:sz w:val="24"/>
          <w:lang w:val="fi-FI"/>
        </w:rPr>
        <w:footnoteRef/>
      </w:r>
      <w:r w:rsidR="007D3058" w:rsidRPr="007D3058">
        <w:rPr>
          <w:sz w:val="24"/>
          <w:lang w:val="fi-FI"/>
        </w:rPr>
        <w:t xml:space="preserve"> </w:t>
      </w:r>
      <w:r w:rsidR="007D3058" w:rsidRPr="007D3058">
        <w:rPr>
          <w:sz w:val="24"/>
          <w:lang w:val="fi-FI"/>
        </w:rPr>
        <w:tab/>
      </w:r>
      <w:r w:rsidRPr="007D3058">
        <w:rPr>
          <w:sz w:val="24"/>
          <w:lang w:val="fi-FI"/>
        </w:rPr>
        <w:t xml:space="preserve">EUVL L 268, 18.10.2003, s. 1, ELI: </w:t>
      </w:r>
      <w:hyperlink r:id="rId1" w:history="1">
        <w:r w:rsidRPr="007D3058">
          <w:rPr>
            <w:rStyle w:val="Hyperlink"/>
            <w:sz w:val="24"/>
            <w:lang w:val="fi-FI"/>
          </w:rPr>
          <w:t>http://data.europa.eu/eli/reg/2003/1829/oj</w:t>
        </w:r>
      </w:hyperlink>
      <w:r w:rsidRPr="007D3058">
        <w:rPr>
          <w:rStyle w:val="Hyperlink"/>
          <w:color w:val="000000" w:themeColor="text1"/>
          <w:sz w:val="24"/>
          <w:lang w:val="fi-FI"/>
        </w:rPr>
        <w:t>.</w:t>
      </w:r>
    </w:p>
  </w:footnote>
  <w:footnote w:id="2">
    <w:p w:rsidR="00BA06C9" w:rsidRPr="007D3058" w:rsidRDefault="00BA06C9" w:rsidP="007D3058">
      <w:pPr>
        <w:pStyle w:val="FootnoteText"/>
        <w:ind w:left="567" w:hanging="567"/>
        <w:rPr>
          <w:sz w:val="24"/>
          <w:lang w:val="fi-FI"/>
        </w:rPr>
      </w:pPr>
      <w:r w:rsidRPr="007D3058">
        <w:rPr>
          <w:rStyle w:val="FootnoteReference"/>
          <w:sz w:val="24"/>
          <w:lang w:val="fi-FI"/>
        </w:rPr>
        <w:footnoteRef/>
      </w:r>
      <w:r w:rsidR="007D3058" w:rsidRPr="007D3058">
        <w:rPr>
          <w:sz w:val="24"/>
          <w:lang w:val="fi-FI"/>
        </w:rPr>
        <w:t xml:space="preserve"> </w:t>
      </w:r>
      <w:r w:rsidR="007D3058" w:rsidRPr="007D3058">
        <w:rPr>
          <w:sz w:val="24"/>
          <w:lang w:val="fi-FI"/>
        </w:rPr>
        <w:tab/>
      </w:r>
      <w:r w:rsidRPr="007D3058">
        <w:rPr>
          <w:sz w:val="24"/>
          <w:lang w:val="fi-FI"/>
        </w:rPr>
        <w:t>EUVL L 55, 28.2.2011, s. 13, ELI</w:t>
      </w:r>
      <w:r w:rsidRPr="007D3058">
        <w:rPr>
          <w:rStyle w:val="Hyperlink"/>
          <w:sz w:val="24"/>
          <w:lang w:val="fi-FI"/>
        </w:rPr>
        <w:t xml:space="preserve">: </w:t>
      </w:r>
      <w:hyperlink r:id="rId2" w:history="1">
        <w:r w:rsidRPr="007D3058">
          <w:rPr>
            <w:rStyle w:val="Hyperlink"/>
            <w:sz w:val="24"/>
            <w:lang w:val="fi-FI"/>
          </w:rPr>
          <w:t>http://data.europa.eu/eli/reg/2011/182/oj</w:t>
        </w:r>
      </w:hyperlink>
      <w:r w:rsidRPr="007D3058">
        <w:rPr>
          <w:rStyle w:val="Hyperlink"/>
          <w:sz w:val="24"/>
          <w:lang w:val="fi-FI"/>
        </w:rPr>
        <w:t>.</w:t>
      </w:r>
    </w:p>
  </w:footnote>
  <w:footnote w:id="3">
    <w:p w:rsidR="00BA06C9" w:rsidRPr="00E1610D" w:rsidRDefault="00BA06C9" w:rsidP="007D3058">
      <w:pPr>
        <w:pStyle w:val="FootnoteText"/>
        <w:ind w:left="567" w:hanging="567"/>
        <w:rPr>
          <w:color w:val="000000" w:themeColor="text1"/>
          <w:sz w:val="24"/>
          <w:lang w:val="en-GB"/>
        </w:rPr>
      </w:pPr>
      <w:r w:rsidRPr="007D3058">
        <w:rPr>
          <w:rStyle w:val="FootnoteReference"/>
          <w:color w:val="000000" w:themeColor="text1"/>
          <w:sz w:val="24"/>
          <w:lang w:val="fi-FI"/>
        </w:rPr>
        <w:footnoteRef/>
      </w:r>
      <w:r w:rsidR="007D3058" w:rsidRPr="00E1610D">
        <w:rPr>
          <w:color w:val="000000" w:themeColor="text1"/>
          <w:sz w:val="24"/>
          <w:lang w:val="en-GB"/>
        </w:rPr>
        <w:t xml:space="preserve"> </w:t>
      </w:r>
      <w:r w:rsidR="007D3058" w:rsidRPr="00E1610D">
        <w:rPr>
          <w:color w:val="000000" w:themeColor="text1"/>
          <w:sz w:val="24"/>
          <w:lang w:val="en-GB"/>
        </w:rPr>
        <w:tab/>
      </w:r>
      <w:proofErr w:type="spellStart"/>
      <w:r w:rsidRPr="00E1610D">
        <w:rPr>
          <w:color w:val="000000" w:themeColor="text1"/>
          <w:sz w:val="24"/>
          <w:lang w:val="en-GB"/>
        </w:rPr>
        <w:t>Muuntogeenisiä</w:t>
      </w:r>
      <w:proofErr w:type="spellEnd"/>
      <w:r w:rsidRPr="00E1610D">
        <w:rPr>
          <w:color w:val="000000" w:themeColor="text1"/>
          <w:sz w:val="24"/>
          <w:lang w:val="en-GB"/>
        </w:rPr>
        <w:t xml:space="preserve"> </w:t>
      </w:r>
      <w:proofErr w:type="spellStart"/>
      <w:r w:rsidRPr="00E1610D">
        <w:rPr>
          <w:color w:val="000000" w:themeColor="text1"/>
          <w:sz w:val="24"/>
          <w:lang w:val="en-GB"/>
        </w:rPr>
        <w:t>organismeja</w:t>
      </w:r>
      <w:proofErr w:type="spellEnd"/>
      <w:r w:rsidRPr="00E1610D">
        <w:rPr>
          <w:color w:val="000000" w:themeColor="text1"/>
          <w:sz w:val="24"/>
          <w:lang w:val="en-GB"/>
        </w:rPr>
        <w:t xml:space="preserve"> </w:t>
      </w:r>
      <w:proofErr w:type="spellStart"/>
      <w:r w:rsidRPr="00E1610D">
        <w:rPr>
          <w:color w:val="000000" w:themeColor="text1"/>
          <w:sz w:val="24"/>
          <w:lang w:val="en-GB"/>
        </w:rPr>
        <w:t>käsittelevän</w:t>
      </w:r>
      <w:proofErr w:type="spellEnd"/>
      <w:r w:rsidRPr="00E1610D">
        <w:rPr>
          <w:color w:val="000000" w:themeColor="text1"/>
          <w:sz w:val="24"/>
          <w:lang w:val="en-GB"/>
        </w:rPr>
        <w:t xml:space="preserve"> </w:t>
      </w:r>
      <w:proofErr w:type="spellStart"/>
      <w:r w:rsidRPr="00E1610D">
        <w:rPr>
          <w:color w:val="000000" w:themeColor="text1"/>
          <w:sz w:val="24"/>
          <w:lang w:val="en-GB"/>
        </w:rPr>
        <w:t>EFSAn</w:t>
      </w:r>
      <w:proofErr w:type="spellEnd"/>
      <w:r w:rsidRPr="00E1610D">
        <w:rPr>
          <w:color w:val="000000" w:themeColor="text1"/>
          <w:sz w:val="24"/>
          <w:lang w:val="en-GB"/>
        </w:rPr>
        <w:t xml:space="preserve"> </w:t>
      </w:r>
      <w:proofErr w:type="spellStart"/>
      <w:r w:rsidRPr="00E1610D">
        <w:rPr>
          <w:color w:val="000000" w:themeColor="text1"/>
          <w:sz w:val="24"/>
          <w:lang w:val="en-GB"/>
        </w:rPr>
        <w:t>lautakunnan</w:t>
      </w:r>
      <w:proofErr w:type="spellEnd"/>
      <w:r w:rsidRPr="00E1610D">
        <w:rPr>
          <w:color w:val="000000" w:themeColor="text1"/>
          <w:sz w:val="24"/>
          <w:lang w:val="en-GB"/>
        </w:rPr>
        <w:t xml:space="preserve"> </w:t>
      </w:r>
      <w:proofErr w:type="spellStart"/>
      <w:r w:rsidRPr="00E1610D">
        <w:rPr>
          <w:color w:val="000000" w:themeColor="text1"/>
          <w:sz w:val="24"/>
          <w:lang w:val="en-GB"/>
        </w:rPr>
        <w:t>tieteellinen</w:t>
      </w:r>
      <w:proofErr w:type="spellEnd"/>
      <w:r w:rsidRPr="00E1610D">
        <w:rPr>
          <w:color w:val="000000" w:themeColor="text1"/>
          <w:sz w:val="24"/>
          <w:lang w:val="en-GB"/>
        </w:rPr>
        <w:t xml:space="preserve"> </w:t>
      </w:r>
      <w:proofErr w:type="spellStart"/>
      <w:r w:rsidRPr="00E1610D">
        <w:rPr>
          <w:color w:val="000000" w:themeColor="text1"/>
          <w:sz w:val="24"/>
          <w:lang w:val="en-GB"/>
        </w:rPr>
        <w:t>lausunto</w:t>
      </w:r>
      <w:proofErr w:type="spellEnd"/>
      <w:r w:rsidRPr="00E1610D">
        <w:rPr>
          <w:color w:val="000000" w:themeColor="text1"/>
          <w:sz w:val="24"/>
          <w:lang w:val="en-GB"/>
        </w:rPr>
        <w:t xml:space="preserve"> </w:t>
      </w:r>
      <w:proofErr w:type="spellStart"/>
      <w:proofErr w:type="gramStart"/>
      <w:r w:rsidRPr="00E1610D">
        <w:rPr>
          <w:color w:val="000000" w:themeColor="text1"/>
          <w:sz w:val="24"/>
          <w:lang w:val="en-GB"/>
        </w:rPr>
        <w:t>aiheesta</w:t>
      </w:r>
      <w:proofErr w:type="spellEnd"/>
      <w:r w:rsidRPr="00E1610D">
        <w:rPr>
          <w:color w:val="000000" w:themeColor="text1"/>
          <w:sz w:val="24"/>
          <w:lang w:val="en-GB"/>
        </w:rPr>
        <w:t xml:space="preserve"> </w:t>
      </w:r>
      <w:r w:rsidRPr="00E1610D">
        <w:rPr>
          <w:sz w:val="24"/>
          <w:lang w:val="en-GB"/>
        </w:rPr>
        <w:t>”</w:t>
      </w:r>
      <w:proofErr w:type="gramEnd"/>
      <w:r w:rsidRPr="00E1610D">
        <w:rPr>
          <w:sz w:val="24"/>
          <w:lang w:val="en-GB"/>
        </w:rPr>
        <w:t xml:space="preserve">Assessment of genetically modified soybean MON 87705 × MON 87708 × MON 89788, for food and feed uses, under Regulation (EC) No 1829/2003 (application EFSA-GMO-NL-2015-126)”, EFSA Journal 2020;18(5):e06111, </w:t>
      </w:r>
      <w:hyperlink r:id="rId3" w:history="1">
        <w:r w:rsidRPr="00E1610D">
          <w:rPr>
            <w:rStyle w:val="Hyperlink"/>
            <w:sz w:val="24"/>
            <w:lang w:val="en-GB"/>
          </w:rPr>
          <w:t>https://doi.org/10.2903/j.efsa.2020.6111</w:t>
        </w:r>
      </w:hyperlink>
      <w:r w:rsidRPr="00E1610D">
        <w:rPr>
          <w:rStyle w:val="Hyperlink"/>
          <w:sz w:val="24"/>
          <w:lang w:val="en-GB"/>
        </w:rPr>
        <w:t>.</w:t>
      </w:r>
    </w:p>
  </w:footnote>
  <w:footnote w:id="4">
    <w:p w:rsidR="00BA06C9" w:rsidRPr="007D3058" w:rsidRDefault="00BA06C9" w:rsidP="007D3058">
      <w:pPr>
        <w:pStyle w:val="FootnoteText"/>
        <w:ind w:left="567" w:hanging="567"/>
        <w:rPr>
          <w:color w:val="000000" w:themeColor="text1"/>
          <w:sz w:val="24"/>
          <w:vertAlign w:val="superscript"/>
          <w:lang w:val="fi-FI"/>
        </w:rPr>
      </w:pPr>
      <w:r w:rsidRPr="007D3058">
        <w:rPr>
          <w:rStyle w:val="FootnoteReference"/>
          <w:sz w:val="24"/>
          <w:lang w:val="fi-FI"/>
        </w:rPr>
        <w:footnoteRef/>
      </w:r>
      <w:r w:rsidR="007D3058" w:rsidRPr="007D3058">
        <w:rPr>
          <w:color w:val="000000" w:themeColor="text1"/>
          <w:sz w:val="24"/>
          <w:lang w:val="fi-FI"/>
        </w:rPr>
        <w:t xml:space="preserve"> </w:t>
      </w:r>
      <w:r w:rsidR="007D3058" w:rsidRPr="007D3058">
        <w:rPr>
          <w:color w:val="000000" w:themeColor="text1"/>
          <w:sz w:val="24"/>
          <w:lang w:val="fi-FI"/>
        </w:rPr>
        <w:tab/>
      </w:r>
      <w:r w:rsidRPr="007D3058">
        <w:rPr>
          <w:color w:val="000000" w:themeColor="text1"/>
          <w:sz w:val="24"/>
          <w:lang w:val="fi-FI"/>
        </w:rPr>
        <w:t>Kahdeksannella vaalikaudella parlamentti hyväksyi 36 päätöslauselmaa ja yhdeksännellä vaalikaudella 38 päätöslauselmaa, joissa vastustettiin lupien myöntämistä muuntogeenisille organismeille. Lisäksi parlamentti on hyväksynyt kymmenennellä vaalikaudella seuraavat päätöslauselmat:</w:t>
      </w:r>
    </w:p>
    <w:p w:rsidR="00BA06C9" w:rsidRPr="007D3058" w:rsidRDefault="007D3058" w:rsidP="007D3058">
      <w:pPr>
        <w:pStyle w:val="FootnoteText"/>
        <w:ind w:left="567" w:hanging="567"/>
        <w:rPr>
          <w:color w:val="000000" w:themeColor="text1"/>
          <w:sz w:val="24"/>
          <w:vertAlign w:val="superscript"/>
          <w:lang w:val="fi-FI"/>
        </w:rPr>
      </w:pPr>
      <w:r w:rsidRPr="007D3058">
        <w:rPr>
          <w:color w:val="000000" w:themeColor="text1"/>
          <w:sz w:val="24"/>
          <w:lang w:val="fi-FI"/>
        </w:rPr>
        <w:t xml:space="preserve"> </w:t>
      </w:r>
      <w:r w:rsidRPr="007D3058">
        <w:rPr>
          <w:color w:val="000000" w:themeColor="text1"/>
          <w:sz w:val="24"/>
          <w:lang w:val="fi-FI"/>
        </w:rPr>
        <w:tab/>
      </w:r>
      <w:r w:rsidR="00BA06C9" w:rsidRPr="007D3058">
        <w:rPr>
          <w:color w:val="000000" w:themeColor="text1"/>
          <w:sz w:val="24"/>
          <w:lang w:val="fi-FI"/>
        </w:rPr>
        <w:t>–</w:t>
      </w:r>
      <w:r w:rsidR="00BA06C9" w:rsidRPr="007D3058">
        <w:rPr>
          <w:color w:val="000000" w:themeColor="text1"/>
          <w:sz w:val="24"/>
          <w:lang w:val="fi-FI"/>
        </w:rPr>
        <w:tab/>
        <w:t xml:space="preserve">Euroopan parlamentin päätöslauselma 26. marraskuuta 2024 komission täytäntöönpanopäätöksestä (EU) 2024/2628 muuntogeenistä maissia MON 89034 × 1507 × NK603 sisältävien, siitä koostuvien tai siitä valmistettujen tuotteiden markkinoille saattamista koskevan luvan uusimisesta Euroopan parlamentin ja neuvoston asetuksen (EY) N:o 1829/2003 mukaisesti (EUVL C, C/2025/1797, 4.4.2025, ELI: </w:t>
      </w:r>
      <w:hyperlink r:id="rId4" w:history="1">
        <w:r w:rsidR="00BA06C9" w:rsidRPr="007D3058">
          <w:rPr>
            <w:rStyle w:val="Hyperlink"/>
            <w:sz w:val="24"/>
            <w:lang w:val="fi-FI"/>
          </w:rPr>
          <w:t>http://data.europa.eu/eli/C/2025/1797/oj</w:t>
        </w:r>
      </w:hyperlink>
      <w:r w:rsidR="00BA06C9" w:rsidRPr="007D3058">
        <w:rPr>
          <w:color w:val="000000" w:themeColor="text1"/>
          <w:sz w:val="24"/>
          <w:lang w:val="fi-FI"/>
        </w:rPr>
        <w:t>).</w:t>
      </w:r>
    </w:p>
    <w:p w:rsidR="00BA06C9" w:rsidRPr="007D3058" w:rsidRDefault="007D3058" w:rsidP="007D3058">
      <w:pPr>
        <w:pStyle w:val="FootnoteText"/>
        <w:ind w:left="567" w:hanging="567"/>
        <w:rPr>
          <w:color w:val="000000" w:themeColor="text1"/>
          <w:sz w:val="24"/>
          <w:vertAlign w:val="superscript"/>
          <w:lang w:val="fi-FI"/>
        </w:rPr>
      </w:pPr>
      <w:r w:rsidRPr="007D3058">
        <w:rPr>
          <w:color w:val="000000" w:themeColor="text1"/>
          <w:sz w:val="24"/>
          <w:lang w:val="fi-FI"/>
        </w:rPr>
        <w:t xml:space="preserve"> </w:t>
      </w:r>
      <w:r w:rsidRPr="007D3058">
        <w:rPr>
          <w:color w:val="000000" w:themeColor="text1"/>
          <w:sz w:val="24"/>
          <w:lang w:val="fi-FI"/>
        </w:rPr>
        <w:tab/>
      </w:r>
      <w:r w:rsidR="00BA06C9" w:rsidRPr="007D3058">
        <w:rPr>
          <w:color w:val="000000" w:themeColor="text1"/>
          <w:sz w:val="24"/>
          <w:lang w:val="fi-FI"/>
        </w:rPr>
        <w:t>–</w:t>
      </w:r>
      <w:r w:rsidR="00BA06C9" w:rsidRPr="007D3058">
        <w:rPr>
          <w:color w:val="000000" w:themeColor="text1"/>
          <w:sz w:val="24"/>
          <w:lang w:val="fi-FI"/>
        </w:rPr>
        <w:tab/>
        <w:t xml:space="preserve">Euroopan parlamentin päätöslauselma 26. marraskuuta 2024 komission täytäntöönpanopäätöksestä (EU) 2024/2627 luvan myöntämisestä muuntogeenistä puuvillaa COT102 sisältävien, siitä koostuvien tai siitä valmistettujen tuotteiden markkinoille saattamiseen Euroopan parlamentin ja neuvoston asetuksen (EY) N:o 1829/2003 mukaisesti (EUVL C, C/2025/1798, 4.4.2025, ELI: </w:t>
      </w:r>
      <w:hyperlink r:id="rId5" w:history="1">
        <w:r w:rsidR="00BA06C9" w:rsidRPr="007D3058">
          <w:rPr>
            <w:rStyle w:val="Hyperlink"/>
            <w:sz w:val="24"/>
            <w:lang w:val="fi-FI"/>
          </w:rPr>
          <w:t>http://data.europa.eu/eli/C/2025/1798/oj</w:t>
        </w:r>
      </w:hyperlink>
      <w:r w:rsidR="00BA06C9" w:rsidRPr="007D3058">
        <w:rPr>
          <w:color w:val="000000" w:themeColor="text1"/>
          <w:sz w:val="24"/>
          <w:lang w:val="fi-FI"/>
        </w:rPr>
        <w:t>).</w:t>
      </w:r>
    </w:p>
    <w:p w:rsidR="00BA06C9" w:rsidRPr="007D3058" w:rsidRDefault="007D3058" w:rsidP="007D3058">
      <w:pPr>
        <w:pStyle w:val="FootnoteText"/>
        <w:ind w:left="567" w:hanging="567"/>
        <w:rPr>
          <w:color w:val="000000" w:themeColor="text1"/>
          <w:sz w:val="24"/>
          <w:vertAlign w:val="superscript"/>
          <w:lang w:val="fi-FI"/>
        </w:rPr>
      </w:pPr>
      <w:r w:rsidRPr="007D3058">
        <w:rPr>
          <w:color w:val="000000" w:themeColor="text1"/>
          <w:sz w:val="24"/>
          <w:lang w:val="fi-FI"/>
        </w:rPr>
        <w:t xml:space="preserve"> </w:t>
      </w:r>
      <w:r w:rsidRPr="007D3058">
        <w:rPr>
          <w:color w:val="000000" w:themeColor="text1"/>
          <w:sz w:val="24"/>
          <w:lang w:val="fi-FI"/>
        </w:rPr>
        <w:tab/>
      </w:r>
      <w:r w:rsidR="00BA06C9" w:rsidRPr="007D3058">
        <w:rPr>
          <w:color w:val="000000" w:themeColor="text1"/>
          <w:sz w:val="24"/>
          <w:lang w:val="fi-FI"/>
        </w:rPr>
        <w:t>–</w:t>
      </w:r>
      <w:r w:rsidR="00BA06C9" w:rsidRPr="007D3058">
        <w:rPr>
          <w:color w:val="000000" w:themeColor="text1"/>
          <w:sz w:val="24"/>
          <w:lang w:val="fi-FI"/>
        </w:rPr>
        <w:tab/>
        <w:t xml:space="preserve">Euroopan parlamentin päätöslauselma 26. marraskuuta 2024 komission täytäntöönpanopäätöksestä (EU) 2024/2629 muuntogeenistä maissia MON 89034 × 1507 × MON 88017 × 59122 ja sen kahdeksaa alayhdistelmää sisältävien, niistä koostuvien tai niistä valmistettujen tuotteiden markkinoille saattamista koskevan luvan uusimisesta Euroopan parlamentin ja neuvoston asetuksen (EY) N:o 1829/2003 mukaisesti (EUVL C, C/2025/1799, 4.4.2025, ELI: </w:t>
      </w:r>
      <w:hyperlink r:id="rId6" w:history="1">
        <w:r w:rsidR="00BA06C9" w:rsidRPr="007D3058">
          <w:rPr>
            <w:rStyle w:val="Hyperlink"/>
            <w:sz w:val="24"/>
            <w:lang w:val="fi-FI"/>
          </w:rPr>
          <w:t>http://data.europa.eu/eli/C/2025/1799/oj</w:t>
        </w:r>
      </w:hyperlink>
      <w:r w:rsidR="00BA06C9" w:rsidRPr="007D3058">
        <w:rPr>
          <w:color w:val="000000" w:themeColor="text1"/>
          <w:sz w:val="24"/>
          <w:lang w:val="fi-FI"/>
        </w:rPr>
        <w:t>).</w:t>
      </w:r>
    </w:p>
    <w:p w:rsidR="00BA06C9" w:rsidRPr="007D3058" w:rsidRDefault="007D3058" w:rsidP="007D3058">
      <w:pPr>
        <w:pStyle w:val="FootnoteText"/>
        <w:ind w:left="567" w:hanging="567"/>
        <w:rPr>
          <w:color w:val="000000" w:themeColor="text1"/>
          <w:sz w:val="24"/>
          <w:vertAlign w:val="superscript"/>
          <w:lang w:val="fi-FI"/>
        </w:rPr>
      </w:pPr>
      <w:r w:rsidRPr="007D3058">
        <w:rPr>
          <w:color w:val="000000" w:themeColor="text1"/>
          <w:sz w:val="24"/>
          <w:lang w:val="fi-FI"/>
        </w:rPr>
        <w:t xml:space="preserve"> </w:t>
      </w:r>
      <w:r w:rsidRPr="007D3058">
        <w:rPr>
          <w:color w:val="000000" w:themeColor="text1"/>
          <w:sz w:val="24"/>
          <w:lang w:val="fi-FI"/>
        </w:rPr>
        <w:tab/>
      </w:r>
      <w:r w:rsidR="00BA06C9" w:rsidRPr="007D3058">
        <w:rPr>
          <w:color w:val="000000" w:themeColor="text1"/>
          <w:sz w:val="24"/>
          <w:lang w:val="fi-FI"/>
        </w:rPr>
        <w:t>–</w:t>
      </w:r>
      <w:r w:rsidR="00BA06C9" w:rsidRPr="007D3058">
        <w:rPr>
          <w:color w:val="000000" w:themeColor="text1"/>
          <w:sz w:val="24"/>
          <w:lang w:val="fi-FI"/>
        </w:rPr>
        <w:tab/>
        <w:t xml:space="preserve">Euroopan parlamentin päätöslauselma 26. marraskuuta 2024 komission täytäntöönpanopäätöksestä (EU) 2024/1828 muuntogeenistä maissia MON 810 sisältävien tai siitä koostuvien rehujen sekä siitä valmistettujen elintarvikkeiden ja rehujen markkinoille saattamista koskevan luvan uusimisesta Euroopan parlamentin ja neuvoston asetuksen (EY) N:o 1829/2003 mukaisesti ja komission täytäntöönpanopäätöksen (EU) 2017/1207 kumoamisesta (EUVL C, C/2025/1800, 4.4.2025, ELI: </w:t>
      </w:r>
      <w:hyperlink r:id="rId7" w:history="1">
        <w:r w:rsidR="00BA06C9" w:rsidRPr="007D3058">
          <w:rPr>
            <w:rStyle w:val="Hyperlink"/>
            <w:sz w:val="24"/>
            <w:lang w:val="fi-FI"/>
          </w:rPr>
          <w:t>http://data.europa.eu/eli/C/2025/1800/oj</w:t>
        </w:r>
      </w:hyperlink>
      <w:r w:rsidR="00BA06C9" w:rsidRPr="007D3058">
        <w:rPr>
          <w:color w:val="000000" w:themeColor="text1"/>
          <w:sz w:val="24"/>
          <w:lang w:val="fi-FI"/>
        </w:rPr>
        <w:t>).</w:t>
      </w:r>
    </w:p>
    <w:p w:rsidR="00BA06C9" w:rsidRPr="007D3058" w:rsidRDefault="007D3058" w:rsidP="007D3058">
      <w:pPr>
        <w:pStyle w:val="FootnoteText"/>
        <w:ind w:left="567" w:hanging="567"/>
        <w:rPr>
          <w:color w:val="000000" w:themeColor="text1"/>
          <w:sz w:val="24"/>
          <w:vertAlign w:val="superscript"/>
          <w:lang w:val="fi-FI"/>
        </w:rPr>
      </w:pPr>
      <w:r w:rsidRPr="007D3058">
        <w:rPr>
          <w:color w:val="000000" w:themeColor="text1"/>
          <w:sz w:val="24"/>
          <w:lang w:val="fi-FI"/>
        </w:rPr>
        <w:t xml:space="preserve"> </w:t>
      </w:r>
      <w:r w:rsidRPr="007D3058">
        <w:rPr>
          <w:color w:val="000000" w:themeColor="text1"/>
          <w:sz w:val="24"/>
          <w:lang w:val="fi-FI"/>
        </w:rPr>
        <w:tab/>
      </w:r>
      <w:r w:rsidR="00BA06C9" w:rsidRPr="007D3058">
        <w:rPr>
          <w:color w:val="000000" w:themeColor="text1"/>
          <w:sz w:val="24"/>
          <w:lang w:val="fi-FI"/>
        </w:rPr>
        <w:t>–</w:t>
      </w:r>
      <w:r w:rsidR="00BA06C9" w:rsidRPr="007D3058">
        <w:rPr>
          <w:color w:val="000000" w:themeColor="text1"/>
          <w:sz w:val="24"/>
          <w:lang w:val="fi-FI"/>
        </w:rPr>
        <w:tab/>
        <w:t xml:space="preserve">Euroopan parlamentin päätöslauselma 26. marraskuuta 2024 komission täytäntöönpanopäätöksestä (EU) 2024/1822 luvan myöntämisestä muuntogeenistä maissia DP915635 sisältävien, siitä koostuvien tai siitä valmistettujen tuotteiden markkinoille saattamiseen Euroopan parlamentin ja neuvoston asetuksen (EY) N:o 1829/2003 mukaisesti (EUVL C, C/2025/1801, 4.4.2025, ELI: </w:t>
      </w:r>
      <w:hyperlink r:id="rId8" w:history="1">
        <w:r w:rsidR="00BA06C9" w:rsidRPr="007D3058">
          <w:rPr>
            <w:rStyle w:val="Hyperlink"/>
            <w:sz w:val="24"/>
            <w:lang w:val="fi-FI"/>
          </w:rPr>
          <w:t>http://data.europa.eu/eli/C/2025/1801/oj</w:t>
        </w:r>
      </w:hyperlink>
      <w:r w:rsidR="00BA06C9" w:rsidRPr="007D3058">
        <w:rPr>
          <w:color w:val="000000" w:themeColor="text1"/>
          <w:sz w:val="24"/>
          <w:lang w:val="fi-FI"/>
        </w:rPr>
        <w:t>).</w:t>
      </w:r>
    </w:p>
    <w:p w:rsidR="00BA06C9" w:rsidRPr="007D3058" w:rsidRDefault="007D3058" w:rsidP="007D3058">
      <w:pPr>
        <w:pStyle w:val="FootnoteText"/>
        <w:ind w:left="567" w:hanging="567"/>
        <w:rPr>
          <w:color w:val="000000" w:themeColor="text1"/>
          <w:sz w:val="24"/>
          <w:vertAlign w:val="superscript"/>
          <w:lang w:val="fi-FI"/>
        </w:rPr>
      </w:pPr>
      <w:r w:rsidRPr="007D3058">
        <w:rPr>
          <w:color w:val="000000" w:themeColor="text1"/>
          <w:sz w:val="24"/>
          <w:lang w:val="fi-FI"/>
        </w:rPr>
        <w:t xml:space="preserve"> </w:t>
      </w:r>
      <w:r w:rsidRPr="007D3058">
        <w:rPr>
          <w:color w:val="000000" w:themeColor="text1"/>
          <w:sz w:val="24"/>
          <w:lang w:val="fi-FI"/>
        </w:rPr>
        <w:tab/>
      </w:r>
      <w:r w:rsidR="00BA06C9" w:rsidRPr="007D3058">
        <w:rPr>
          <w:color w:val="000000" w:themeColor="text1"/>
          <w:sz w:val="24"/>
          <w:lang w:val="fi-FI"/>
        </w:rPr>
        <w:t>–</w:t>
      </w:r>
      <w:r w:rsidR="00BA06C9" w:rsidRPr="007D3058">
        <w:rPr>
          <w:color w:val="000000" w:themeColor="text1"/>
          <w:sz w:val="24"/>
          <w:lang w:val="fi-FI"/>
        </w:rPr>
        <w:tab/>
        <w:t xml:space="preserve">Euroopan parlamentin päätöslauselma 26. marraskuuta 2024 komission täytäntöönpanopäätöksestä (EU) 2024/1826 luvan myöntämisestä muuntogeenistä maissia DP23211 sisältävien, siitä koostuvien tai siitä valmistettujen tuotteiden markkinoille saattamiseen Euroopan parlamentin ja neuvoston asetuksen (EY) N:o 1829/2003 mukaisesti (EUVL C, C/2025/1802, 4.4.2025, ELI: </w:t>
      </w:r>
      <w:hyperlink r:id="rId9" w:history="1">
        <w:r w:rsidR="00BA06C9" w:rsidRPr="007D3058">
          <w:rPr>
            <w:rStyle w:val="Hyperlink"/>
            <w:sz w:val="24"/>
            <w:lang w:val="fi-FI"/>
          </w:rPr>
          <w:t>http://data.europa.eu/eli/C/2025/1802/oj</w:t>
        </w:r>
      </w:hyperlink>
      <w:r w:rsidR="00BA06C9" w:rsidRPr="007D3058">
        <w:rPr>
          <w:color w:val="000000" w:themeColor="text1"/>
          <w:sz w:val="24"/>
          <w:lang w:val="fi-FI"/>
        </w:rPr>
        <w:t>).</w:t>
      </w:r>
    </w:p>
    <w:p w:rsidR="00BA06C9" w:rsidRPr="007D3058" w:rsidRDefault="007D3058" w:rsidP="007D3058">
      <w:pPr>
        <w:pStyle w:val="FootnoteText"/>
        <w:ind w:left="567" w:hanging="567"/>
        <w:rPr>
          <w:color w:val="000000" w:themeColor="text1"/>
          <w:sz w:val="24"/>
          <w:vertAlign w:val="superscript"/>
          <w:lang w:val="fi-FI"/>
        </w:rPr>
      </w:pPr>
      <w:r w:rsidRPr="007D3058">
        <w:rPr>
          <w:color w:val="000000" w:themeColor="text1"/>
          <w:sz w:val="24"/>
          <w:lang w:val="fi-FI"/>
        </w:rPr>
        <w:t xml:space="preserve"> </w:t>
      </w:r>
      <w:r w:rsidRPr="007D3058">
        <w:rPr>
          <w:color w:val="000000" w:themeColor="text1"/>
          <w:sz w:val="24"/>
          <w:lang w:val="fi-FI"/>
        </w:rPr>
        <w:tab/>
      </w:r>
      <w:r w:rsidR="00BA06C9" w:rsidRPr="007D3058">
        <w:rPr>
          <w:color w:val="000000" w:themeColor="text1"/>
          <w:sz w:val="24"/>
          <w:lang w:val="fi-FI"/>
        </w:rPr>
        <w:t>–</w:t>
      </w:r>
      <w:r w:rsidR="00BA06C9" w:rsidRPr="007D3058">
        <w:rPr>
          <w:color w:val="000000" w:themeColor="text1"/>
          <w:sz w:val="24"/>
          <w:lang w:val="fi-FI"/>
        </w:rPr>
        <w:tab/>
        <w:t xml:space="preserve">Euroopan parlamentin päätöslauselma 26. marraskuuta 2024 komission täytäntöönpanopäätöksestä (EU) 2024/2618 luvan myöntämisestä muuntogeenistä maissia DP202216 sisältävien, siitä koostuvien tai siitä valmistettujen tuotteiden markkinoille saattamiseen Euroopan parlamentin ja neuvoston asetuksen (EY) N:o 1829/2003 mukaisesti (EUVL C, C/2025/1803, 4.4.2025, ELI: </w:t>
      </w:r>
      <w:hyperlink r:id="rId10" w:history="1">
        <w:r w:rsidR="00BA06C9" w:rsidRPr="007D3058">
          <w:rPr>
            <w:rStyle w:val="Hyperlink"/>
            <w:sz w:val="24"/>
            <w:lang w:val="fi-FI"/>
          </w:rPr>
          <w:t>http://data.europa.eu/eli/C/2025/1803/oj</w:t>
        </w:r>
      </w:hyperlink>
      <w:r w:rsidR="00BA06C9" w:rsidRPr="007D3058">
        <w:rPr>
          <w:color w:val="000000" w:themeColor="text1"/>
          <w:sz w:val="24"/>
          <w:lang w:val="fi-FI"/>
        </w:rPr>
        <w:t>).</w:t>
      </w:r>
    </w:p>
    <w:p w:rsidR="00BA06C9" w:rsidRPr="007D3058" w:rsidRDefault="007D3058" w:rsidP="007D3058">
      <w:pPr>
        <w:pStyle w:val="FootnoteText"/>
        <w:ind w:left="567" w:hanging="567"/>
        <w:rPr>
          <w:color w:val="000000" w:themeColor="text1"/>
          <w:sz w:val="24"/>
          <w:vertAlign w:val="superscript"/>
          <w:lang w:val="fi-FI"/>
        </w:rPr>
      </w:pPr>
      <w:r w:rsidRPr="007D3058">
        <w:rPr>
          <w:color w:val="000000" w:themeColor="text1"/>
          <w:sz w:val="24"/>
          <w:lang w:val="fi-FI"/>
        </w:rPr>
        <w:t xml:space="preserve"> </w:t>
      </w:r>
      <w:r w:rsidRPr="007D3058">
        <w:rPr>
          <w:color w:val="000000" w:themeColor="text1"/>
          <w:sz w:val="24"/>
          <w:lang w:val="fi-FI"/>
        </w:rPr>
        <w:tab/>
      </w:r>
      <w:r w:rsidR="00BA06C9" w:rsidRPr="007D3058">
        <w:rPr>
          <w:color w:val="000000" w:themeColor="text1"/>
          <w:sz w:val="24"/>
          <w:lang w:val="fi-FI"/>
        </w:rPr>
        <w:t>–</w:t>
      </w:r>
      <w:r w:rsidR="00BA06C9" w:rsidRPr="007D3058">
        <w:rPr>
          <w:color w:val="000000" w:themeColor="text1"/>
          <w:sz w:val="24"/>
          <w:lang w:val="fi-FI"/>
        </w:rPr>
        <w:tab/>
        <w:t xml:space="preserve">Euroopan parlamentin päätöslauselma 26. marraskuuta 2024 ehdotuksesta komission täytäntöönpanopäätökseksi muuntogeenistä maissia MON 94804 sisältävien, siitä koostuvien tai siitä valmistettujen tuotteiden markkinoille saattamisen sallimisesta Euroopan parlamentin ja neuvoston asetuksen (EY) N:o 1829/2003 mukaisesti (EUVL C, C/2025/1804, 4.4.2025, ELI: </w:t>
      </w:r>
      <w:hyperlink r:id="rId11" w:history="1">
        <w:r w:rsidR="00BA06C9" w:rsidRPr="007D3058">
          <w:rPr>
            <w:rStyle w:val="Hyperlink"/>
            <w:sz w:val="24"/>
            <w:lang w:val="fi-FI"/>
          </w:rPr>
          <w:t>http://data.europa.eu/eli/C/2025/1804/oj</w:t>
        </w:r>
      </w:hyperlink>
      <w:r w:rsidR="00BA06C9" w:rsidRPr="007D3058">
        <w:rPr>
          <w:color w:val="000000" w:themeColor="text1"/>
          <w:sz w:val="24"/>
          <w:lang w:val="fi-FI"/>
        </w:rPr>
        <w:t>).</w:t>
      </w:r>
    </w:p>
    <w:p w:rsidR="00BA06C9" w:rsidRPr="007D3058" w:rsidRDefault="007D3058" w:rsidP="007D3058">
      <w:pPr>
        <w:pStyle w:val="FootnoteText"/>
        <w:ind w:left="567" w:hanging="567"/>
        <w:rPr>
          <w:sz w:val="24"/>
          <w:vertAlign w:val="superscript"/>
          <w:lang w:val="fi-FI"/>
        </w:rPr>
      </w:pPr>
      <w:r w:rsidRPr="007D3058">
        <w:rPr>
          <w:color w:val="000000" w:themeColor="text1"/>
          <w:sz w:val="24"/>
          <w:lang w:val="fi-FI"/>
        </w:rPr>
        <w:t xml:space="preserve"> </w:t>
      </w:r>
      <w:r w:rsidRPr="007D3058">
        <w:rPr>
          <w:color w:val="000000" w:themeColor="text1"/>
          <w:sz w:val="24"/>
          <w:lang w:val="fi-FI"/>
        </w:rPr>
        <w:tab/>
      </w:r>
      <w:r w:rsidR="00BA06C9" w:rsidRPr="007D3058">
        <w:rPr>
          <w:color w:val="000000" w:themeColor="text1"/>
          <w:sz w:val="24"/>
          <w:lang w:val="fi-FI"/>
        </w:rPr>
        <w:t>–</w:t>
      </w:r>
      <w:r w:rsidR="00BA06C9" w:rsidRPr="007D3058">
        <w:rPr>
          <w:color w:val="000000" w:themeColor="text1"/>
          <w:sz w:val="24"/>
          <w:lang w:val="fi-FI"/>
        </w:rPr>
        <w:tab/>
      </w:r>
      <w:r w:rsidR="00BA06C9" w:rsidRPr="007D3058">
        <w:rPr>
          <w:sz w:val="24"/>
          <w:lang w:val="fi-FI"/>
        </w:rPr>
        <w:t>Euroopan parlamentin päätöslauselma 12. helmikuuta 2025 ehdotuksesta komission täytäntöönpanopäätökseksi luvan antamisesta muuntogeenistä maissia DP910521 sisältävien, siitä koostuvien tai siitä valmistettujen tuotteiden saattamiseksi markkinoille Euroopan parlamentin ja neuvoston asetuksen (EY) </w:t>
      </w:r>
      <w:proofErr w:type="gramStart"/>
      <w:r w:rsidR="00BA06C9" w:rsidRPr="007D3058">
        <w:rPr>
          <w:sz w:val="24"/>
          <w:lang w:val="fi-FI"/>
        </w:rPr>
        <w:t>N:o</w:t>
      </w:r>
      <w:proofErr w:type="gramEnd"/>
      <w:r w:rsidR="00BA06C9" w:rsidRPr="007D3058">
        <w:rPr>
          <w:sz w:val="24"/>
          <w:lang w:val="fi-FI"/>
        </w:rPr>
        <w:t> 1829/2003 mukaisesti (</w:t>
      </w:r>
      <w:r w:rsidR="00BA06C9" w:rsidRPr="007D3058">
        <w:rPr>
          <w:color w:val="000000" w:themeColor="text1"/>
          <w:sz w:val="24"/>
          <w:lang w:val="fi-FI"/>
        </w:rPr>
        <w:t>P10_TA(2025)0014</w:t>
      </w:r>
      <w:r w:rsidR="00BA06C9" w:rsidRPr="007D3058">
        <w:rPr>
          <w:sz w:val="24"/>
          <w:lang w:val="fi-FI"/>
        </w:rPr>
        <w:t>).</w:t>
      </w:r>
    </w:p>
    <w:p w:rsidR="00BA06C9" w:rsidRPr="007D3058" w:rsidRDefault="007D3058" w:rsidP="007D3058">
      <w:pPr>
        <w:pStyle w:val="FootnoteText"/>
        <w:ind w:left="567" w:hanging="567"/>
        <w:rPr>
          <w:sz w:val="24"/>
          <w:lang w:val="fi-FI"/>
        </w:rPr>
      </w:pPr>
      <w:r w:rsidRPr="007D3058">
        <w:rPr>
          <w:color w:val="000000" w:themeColor="text1"/>
          <w:sz w:val="24"/>
          <w:lang w:val="fi-FI"/>
        </w:rPr>
        <w:t xml:space="preserve"> </w:t>
      </w:r>
      <w:r w:rsidRPr="007D3058">
        <w:rPr>
          <w:color w:val="000000" w:themeColor="text1"/>
          <w:sz w:val="24"/>
          <w:lang w:val="fi-FI"/>
        </w:rPr>
        <w:tab/>
      </w:r>
      <w:r w:rsidR="00BA06C9" w:rsidRPr="007D3058">
        <w:rPr>
          <w:color w:val="000000" w:themeColor="text1"/>
          <w:sz w:val="24"/>
          <w:lang w:val="fi-FI"/>
        </w:rPr>
        <w:t>–</w:t>
      </w:r>
      <w:r w:rsidR="00BA06C9" w:rsidRPr="007D3058">
        <w:rPr>
          <w:color w:val="000000" w:themeColor="text1"/>
          <w:sz w:val="24"/>
          <w:lang w:val="fi-FI"/>
        </w:rPr>
        <w:tab/>
        <w:t>Euroopan parlamentin päätöslauselma 12. helmikuuta 2025 ehdotuksesta komission täytäntöönpanopäätökseksi luvan antamisesta muuntogeenistä maissia MON 95275 sisältävien, siitä koostuvien tai siitä valmistettujen tuotteiden saattamiseksi markkinoille Euroopan parlamentin ja neuvoston asetuksen (EY) </w:t>
      </w:r>
      <w:proofErr w:type="gramStart"/>
      <w:r w:rsidR="00BA06C9" w:rsidRPr="007D3058">
        <w:rPr>
          <w:color w:val="000000" w:themeColor="text1"/>
          <w:sz w:val="24"/>
          <w:lang w:val="fi-FI"/>
        </w:rPr>
        <w:t>N:o</w:t>
      </w:r>
      <w:proofErr w:type="gramEnd"/>
      <w:r w:rsidR="00BA06C9" w:rsidRPr="007D3058">
        <w:rPr>
          <w:color w:val="000000" w:themeColor="text1"/>
          <w:sz w:val="24"/>
          <w:lang w:val="fi-FI"/>
        </w:rPr>
        <w:t> 1829/2003 mukaisesti (P10_TA(2025)0015).</w:t>
      </w:r>
    </w:p>
  </w:footnote>
  <w:footnote w:id="5">
    <w:p w:rsidR="00BA06C9" w:rsidRPr="007D3058" w:rsidRDefault="00BA06C9" w:rsidP="007D3058">
      <w:pPr>
        <w:pStyle w:val="FootnoteText"/>
        <w:ind w:left="567" w:hanging="567"/>
        <w:rPr>
          <w:sz w:val="24"/>
          <w:lang w:val="fi-FI"/>
        </w:rPr>
      </w:pPr>
      <w:r w:rsidRPr="007D3058">
        <w:rPr>
          <w:rStyle w:val="FootnoteReference"/>
          <w:sz w:val="24"/>
          <w:lang w:val="fi-FI"/>
        </w:rPr>
        <w:footnoteRef/>
      </w:r>
      <w:r w:rsidR="007D3058" w:rsidRPr="00E1610D">
        <w:rPr>
          <w:sz w:val="24"/>
          <w:lang w:val="en-GB"/>
        </w:rPr>
        <w:t xml:space="preserve"> </w:t>
      </w:r>
      <w:r w:rsidR="007D3058" w:rsidRPr="00E1610D">
        <w:rPr>
          <w:sz w:val="24"/>
          <w:lang w:val="en-GB"/>
        </w:rPr>
        <w:tab/>
      </w:r>
      <w:r w:rsidRPr="00E1610D">
        <w:rPr>
          <w:sz w:val="24"/>
          <w:lang w:val="en-GB"/>
        </w:rPr>
        <w:t xml:space="preserve">EFSA Panel on GMOs, ”Statement complementing the EFSA Scientific Opinion on application (EFSA-GMO-NL-2015-126) for authorisation of food and feed containing, consisting of and produced from genetically modified soybean MON 87705 × MON 87708 × MON 89788”. </w:t>
      </w:r>
      <w:r w:rsidRPr="007D3058">
        <w:rPr>
          <w:sz w:val="24"/>
          <w:lang w:val="fi-FI"/>
        </w:rPr>
        <w:t xml:space="preserve">EFSA Journal 2024;22(10):e9061, </w:t>
      </w:r>
      <w:hyperlink r:id="rId12" w:history="1">
        <w:r w:rsidRPr="007D3058">
          <w:rPr>
            <w:rStyle w:val="Hyperlink"/>
            <w:sz w:val="24"/>
            <w:lang w:val="fi-FI"/>
          </w:rPr>
          <w:t>https://doi.org/10.2903/j.efsa.2024.9061</w:t>
        </w:r>
      </w:hyperlink>
      <w:r w:rsidRPr="007D3058">
        <w:rPr>
          <w:sz w:val="24"/>
          <w:lang w:val="fi-FI"/>
        </w:rPr>
        <w:t>.</w:t>
      </w:r>
    </w:p>
  </w:footnote>
  <w:footnote w:id="6">
    <w:p w:rsidR="00BA06C9" w:rsidRPr="007D3058" w:rsidRDefault="00BA06C9" w:rsidP="007D3058">
      <w:pPr>
        <w:pStyle w:val="FootnoteText"/>
        <w:ind w:left="567" w:hanging="567"/>
        <w:rPr>
          <w:sz w:val="24"/>
          <w:lang w:val="fi-FI"/>
        </w:rPr>
      </w:pPr>
      <w:r w:rsidRPr="007D3058">
        <w:rPr>
          <w:rStyle w:val="FootnoteReference"/>
          <w:sz w:val="24"/>
          <w:lang w:val="fi-FI"/>
        </w:rPr>
        <w:footnoteRef/>
      </w:r>
      <w:r w:rsidR="007D3058" w:rsidRPr="007D3058">
        <w:rPr>
          <w:color w:val="000000" w:themeColor="text1"/>
          <w:sz w:val="24"/>
          <w:lang w:val="fi-FI"/>
        </w:rPr>
        <w:t xml:space="preserve"> </w:t>
      </w:r>
      <w:r w:rsidR="007D3058" w:rsidRPr="007D3058">
        <w:rPr>
          <w:color w:val="000000" w:themeColor="text1"/>
          <w:sz w:val="24"/>
          <w:lang w:val="fi-FI"/>
        </w:rPr>
        <w:tab/>
      </w:r>
      <w:r w:rsidRPr="007D3058">
        <w:rPr>
          <w:color w:val="000000" w:themeColor="text1"/>
          <w:sz w:val="24"/>
          <w:lang w:val="fi-FI"/>
        </w:rPr>
        <w:t xml:space="preserve">Komission täytäntöönpanoasetus (EU) N:o 503/2013, annettu 3. huhtikuuta 2013, Euroopan parlamentin ja neuvoston asetuksen (EY) N:o 1829/2003 mukaisista muuntogeenisten elintarvikkeiden ja rehujen lupahakemuksista sekä asetusten (EY) N:o 641/2004 ja (EY) N:o 1981/2006 muuttamisesta (EUVL L 157, 8.6.2013, s. 1, ELI: </w:t>
      </w:r>
      <w:hyperlink r:id="rId13" w:tgtFrame="Gives access to this document through its ELI URI." w:history="1">
        <w:r w:rsidRPr="007D3058">
          <w:rPr>
            <w:rStyle w:val="Hyperlink"/>
            <w:color w:val="0070C0"/>
            <w:sz w:val="24"/>
            <w:lang w:val="fi-FI"/>
          </w:rPr>
          <w:t>http://data.europa.eu/eli/reg_impl/2013/503/oj</w:t>
        </w:r>
      </w:hyperlink>
      <w:r w:rsidRPr="007D3058">
        <w:rPr>
          <w:rStyle w:val="Hyperlink"/>
          <w:color w:val="000000" w:themeColor="text1"/>
          <w:sz w:val="24"/>
          <w:lang w:val="fi-FI"/>
        </w:rPr>
        <w:t>).</w:t>
      </w:r>
    </w:p>
  </w:footnote>
  <w:footnote w:id="7">
    <w:p w:rsidR="00BA06C9" w:rsidRPr="007D3058" w:rsidRDefault="00BA06C9" w:rsidP="007D3058">
      <w:pPr>
        <w:pStyle w:val="FootnoteText"/>
        <w:ind w:left="567" w:hanging="567"/>
        <w:rPr>
          <w:sz w:val="24"/>
          <w:lang w:val="fi-FI"/>
        </w:rPr>
      </w:pPr>
      <w:r w:rsidRPr="007D3058">
        <w:rPr>
          <w:rStyle w:val="FootnoteReference"/>
          <w:sz w:val="24"/>
          <w:lang w:val="fi-FI"/>
        </w:rPr>
        <w:footnoteRef/>
      </w:r>
      <w:r w:rsidR="007D3058" w:rsidRPr="007D3058">
        <w:rPr>
          <w:sz w:val="24"/>
          <w:lang w:val="fi-FI"/>
        </w:rPr>
        <w:t xml:space="preserve"> </w:t>
      </w:r>
      <w:r w:rsidR="007D3058" w:rsidRPr="007D3058">
        <w:rPr>
          <w:sz w:val="24"/>
          <w:lang w:val="fi-FI"/>
        </w:rPr>
        <w:tab/>
      </w:r>
      <w:r w:rsidRPr="007D3058">
        <w:rPr>
          <w:sz w:val="24"/>
          <w:lang w:val="fi-FI"/>
        </w:rPr>
        <w:t xml:space="preserve">Ks. esimerkiksi </w:t>
      </w:r>
      <w:proofErr w:type="spellStart"/>
      <w:r w:rsidRPr="007D3058">
        <w:rPr>
          <w:sz w:val="24"/>
          <w:lang w:val="fi-FI"/>
        </w:rPr>
        <w:t>Bonny</w:t>
      </w:r>
      <w:proofErr w:type="spellEnd"/>
      <w:r w:rsidRPr="007D3058">
        <w:rPr>
          <w:sz w:val="24"/>
          <w:lang w:val="fi-FI"/>
        </w:rPr>
        <w:t>, S., ”</w:t>
      </w:r>
      <w:proofErr w:type="spellStart"/>
      <w:r w:rsidRPr="007D3058">
        <w:rPr>
          <w:sz w:val="24"/>
          <w:lang w:val="fi-FI"/>
        </w:rPr>
        <w:t>Genetically</w:t>
      </w:r>
      <w:proofErr w:type="spellEnd"/>
      <w:r w:rsidRPr="007D3058">
        <w:rPr>
          <w:sz w:val="24"/>
          <w:lang w:val="fi-FI"/>
        </w:rPr>
        <w:t xml:space="preserve"> </w:t>
      </w:r>
      <w:proofErr w:type="spellStart"/>
      <w:r w:rsidRPr="007D3058">
        <w:rPr>
          <w:sz w:val="24"/>
          <w:lang w:val="fi-FI"/>
        </w:rPr>
        <w:t>Modified</w:t>
      </w:r>
      <w:proofErr w:type="spellEnd"/>
      <w:r w:rsidRPr="007D3058">
        <w:rPr>
          <w:sz w:val="24"/>
          <w:lang w:val="fi-FI"/>
        </w:rPr>
        <w:t xml:space="preserve"> </w:t>
      </w:r>
      <w:proofErr w:type="spellStart"/>
      <w:r w:rsidRPr="007D3058">
        <w:rPr>
          <w:sz w:val="24"/>
          <w:lang w:val="fi-FI"/>
        </w:rPr>
        <w:t>Herbicide-Tolerant</w:t>
      </w:r>
      <w:proofErr w:type="spellEnd"/>
      <w:r w:rsidRPr="007D3058">
        <w:rPr>
          <w:sz w:val="24"/>
          <w:lang w:val="fi-FI"/>
        </w:rPr>
        <w:t xml:space="preserve"> </w:t>
      </w:r>
      <w:proofErr w:type="spellStart"/>
      <w:r w:rsidRPr="007D3058">
        <w:rPr>
          <w:sz w:val="24"/>
          <w:lang w:val="fi-FI"/>
        </w:rPr>
        <w:t>Crops</w:t>
      </w:r>
      <w:proofErr w:type="spellEnd"/>
      <w:r w:rsidRPr="007D3058">
        <w:rPr>
          <w:sz w:val="24"/>
          <w:lang w:val="fi-FI"/>
        </w:rPr>
        <w:t xml:space="preserve">, </w:t>
      </w:r>
      <w:proofErr w:type="spellStart"/>
      <w:r w:rsidRPr="007D3058">
        <w:rPr>
          <w:sz w:val="24"/>
          <w:lang w:val="fi-FI"/>
        </w:rPr>
        <w:t>Weeds</w:t>
      </w:r>
      <w:proofErr w:type="spellEnd"/>
      <w:r w:rsidRPr="007D3058">
        <w:rPr>
          <w:sz w:val="24"/>
          <w:lang w:val="fi-FI"/>
        </w:rPr>
        <w:t xml:space="preserve">, and </w:t>
      </w:r>
      <w:proofErr w:type="spellStart"/>
      <w:r w:rsidRPr="007D3058">
        <w:rPr>
          <w:sz w:val="24"/>
          <w:lang w:val="fi-FI"/>
        </w:rPr>
        <w:t>Herbicides</w:t>
      </w:r>
      <w:proofErr w:type="spellEnd"/>
      <w:r w:rsidRPr="007D3058">
        <w:rPr>
          <w:sz w:val="24"/>
          <w:lang w:val="fi-FI"/>
        </w:rPr>
        <w:t xml:space="preserve">: </w:t>
      </w:r>
      <w:proofErr w:type="spellStart"/>
      <w:r w:rsidRPr="007D3058">
        <w:rPr>
          <w:sz w:val="24"/>
          <w:lang w:val="fi-FI"/>
        </w:rPr>
        <w:t>Overview</w:t>
      </w:r>
      <w:proofErr w:type="spellEnd"/>
      <w:r w:rsidRPr="007D3058">
        <w:rPr>
          <w:sz w:val="24"/>
          <w:lang w:val="fi-FI"/>
        </w:rPr>
        <w:t xml:space="preserve"> and </w:t>
      </w:r>
      <w:proofErr w:type="spellStart"/>
      <w:r w:rsidRPr="007D3058">
        <w:rPr>
          <w:sz w:val="24"/>
          <w:lang w:val="fi-FI"/>
        </w:rPr>
        <w:t>Impact</w:t>
      </w:r>
      <w:proofErr w:type="spellEnd"/>
      <w:r w:rsidRPr="007D3058">
        <w:rPr>
          <w:sz w:val="24"/>
          <w:lang w:val="fi-FI"/>
        </w:rPr>
        <w:t xml:space="preserve">”, </w:t>
      </w:r>
      <w:proofErr w:type="spellStart"/>
      <w:r w:rsidRPr="007D3058">
        <w:rPr>
          <w:sz w:val="24"/>
          <w:lang w:val="fi-FI"/>
        </w:rPr>
        <w:t>Environmental</w:t>
      </w:r>
      <w:proofErr w:type="spellEnd"/>
      <w:r w:rsidRPr="007D3058">
        <w:rPr>
          <w:sz w:val="24"/>
          <w:lang w:val="fi-FI"/>
        </w:rPr>
        <w:t xml:space="preserve"> Management, tammikuu 2016; 57(1), s. 31–48, </w:t>
      </w:r>
      <w:hyperlink r:id="rId14" w:history="1">
        <w:r w:rsidRPr="007D3058">
          <w:rPr>
            <w:rStyle w:val="Hyperlink"/>
            <w:sz w:val="24"/>
            <w:lang w:val="fi-FI"/>
          </w:rPr>
          <w:t>https://www.ncbi.nlm.nih.gov/pubmed/26296738</w:t>
        </w:r>
      </w:hyperlink>
      <w:r w:rsidRPr="007D3058">
        <w:rPr>
          <w:sz w:val="24"/>
          <w:lang w:val="fi-FI"/>
        </w:rPr>
        <w:t xml:space="preserve"> ja </w:t>
      </w:r>
      <w:proofErr w:type="spellStart"/>
      <w:r w:rsidRPr="007D3058">
        <w:rPr>
          <w:sz w:val="24"/>
          <w:lang w:val="fi-FI"/>
        </w:rPr>
        <w:t>Benbrook</w:t>
      </w:r>
      <w:proofErr w:type="spellEnd"/>
      <w:r w:rsidRPr="007D3058">
        <w:rPr>
          <w:sz w:val="24"/>
          <w:lang w:val="fi-FI"/>
        </w:rPr>
        <w:t>, C.M., ”</w:t>
      </w:r>
      <w:proofErr w:type="spellStart"/>
      <w:r w:rsidRPr="007D3058">
        <w:rPr>
          <w:sz w:val="24"/>
          <w:lang w:val="fi-FI"/>
        </w:rPr>
        <w:t>Impacts</w:t>
      </w:r>
      <w:proofErr w:type="spellEnd"/>
      <w:r w:rsidRPr="007D3058">
        <w:rPr>
          <w:sz w:val="24"/>
          <w:lang w:val="fi-FI"/>
        </w:rPr>
        <w:t xml:space="preserve"> of </w:t>
      </w:r>
      <w:proofErr w:type="spellStart"/>
      <w:r w:rsidRPr="007D3058">
        <w:rPr>
          <w:sz w:val="24"/>
          <w:lang w:val="fi-FI"/>
        </w:rPr>
        <w:t>genetically</w:t>
      </w:r>
      <w:proofErr w:type="spellEnd"/>
      <w:r w:rsidRPr="007D3058">
        <w:rPr>
          <w:sz w:val="24"/>
          <w:lang w:val="fi-FI"/>
        </w:rPr>
        <w:t xml:space="preserve"> </w:t>
      </w:r>
      <w:proofErr w:type="spellStart"/>
      <w:r w:rsidRPr="007D3058">
        <w:rPr>
          <w:sz w:val="24"/>
          <w:lang w:val="fi-FI"/>
        </w:rPr>
        <w:t>engineered</w:t>
      </w:r>
      <w:proofErr w:type="spellEnd"/>
      <w:r w:rsidRPr="007D3058">
        <w:rPr>
          <w:sz w:val="24"/>
          <w:lang w:val="fi-FI"/>
        </w:rPr>
        <w:t xml:space="preserve"> </w:t>
      </w:r>
      <w:proofErr w:type="spellStart"/>
      <w:r w:rsidRPr="007D3058">
        <w:rPr>
          <w:sz w:val="24"/>
          <w:lang w:val="fi-FI"/>
        </w:rPr>
        <w:t>crops</w:t>
      </w:r>
      <w:proofErr w:type="spellEnd"/>
      <w:r w:rsidRPr="007D3058">
        <w:rPr>
          <w:sz w:val="24"/>
          <w:lang w:val="fi-FI"/>
        </w:rPr>
        <w:t xml:space="preserve"> on </w:t>
      </w:r>
      <w:proofErr w:type="spellStart"/>
      <w:r w:rsidRPr="007D3058">
        <w:rPr>
          <w:sz w:val="24"/>
          <w:lang w:val="fi-FI"/>
        </w:rPr>
        <w:t>pesticide</w:t>
      </w:r>
      <w:proofErr w:type="spellEnd"/>
      <w:r w:rsidRPr="007D3058">
        <w:rPr>
          <w:sz w:val="24"/>
          <w:lang w:val="fi-FI"/>
        </w:rPr>
        <w:t xml:space="preserve"> </w:t>
      </w:r>
      <w:proofErr w:type="spellStart"/>
      <w:r w:rsidRPr="007D3058">
        <w:rPr>
          <w:sz w:val="24"/>
          <w:lang w:val="fi-FI"/>
        </w:rPr>
        <w:t>use</w:t>
      </w:r>
      <w:proofErr w:type="spellEnd"/>
      <w:r w:rsidRPr="007D3058">
        <w:rPr>
          <w:sz w:val="24"/>
          <w:lang w:val="fi-FI"/>
        </w:rPr>
        <w:t xml:space="preserve"> in </w:t>
      </w:r>
      <w:proofErr w:type="spellStart"/>
      <w:r w:rsidRPr="007D3058">
        <w:rPr>
          <w:sz w:val="24"/>
          <w:lang w:val="fi-FI"/>
        </w:rPr>
        <w:t>the</w:t>
      </w:r>
      <w:proofErr w:type="spellEnd"/>
      <w:r w:rsidRPr="007D3058">
        <w:rPr>
          <w:sz w:val="24"/>
          <w:lang w:val="fi-FI"/>
        </w:rPr>
        <w:t xml:space="preserve"> U.S. – </w:t>
      </w:r>
      <w:proofErr w:type="spellStart"/>
      <w:r w:rsidRPr="007D3058">
        <w:rPr>
          <w:sz w:val="24"/>
          <w:lang w:val="fi-FI"/>
        </w:rPr>
        <w:t>The</w:t>
      </w:r>
      <w:proofErr w:type="spellEnd"/>
      <w:r w:rsidRPr="007D3058">
        <w:rPr>
          <w:sz w:val="24"/>
          <w:lang w:val="fi-FI"/>
        </w:rPr>
        <w:t xml:space="preserve"> </w:t>
      </w:r>
      <w:proofErr w:type="spellStart"/>
      <w:r w:rsidRPr="007D3058">
        <w:rPr>
          <w:sz w:val="24"/>
          <w:lang w:val="fi-FI"/>
        </w:rPr>
        <w:t>first</w:t>
      </w:r>
      <w:proofErr w:type="spellEnd"/>
      <w:r w:rsidRPr="007D3058">
        <w:rPr>
          <w:sz w:val="24"/>
          <w:lang w:val="fi-FI"/>
        </w:rPr>
        <w:t xml:space="preserve"> </w:t>
      </w:r>
      <w:proofErr w:type="spellStart"/>
      <w:r w:rsidRPr="007D3058">
        <w:rPr>
          <w:sz w:val="24"/>
          <w:lang w:val="fi-FI"/>
        </w:rPr>
        <w:t>sixteen</w:t>
      </w:r>
      <w:proofErr w:type="spellEnd"/>
      <w:r w:rsidRPr="007D3058">
        <w:rPr>
          <w:sz w:val="24"/>
          <w:lang w:val="fi-FI"/>
        </w:rPr>
        <w:t xml:space="preserve"> </w:t>
      </w:r>
      <w:proofErr w:type="spellStart"/>
      <w:r w:rsidRPr="007D3058">
        <w:rPr>
          <w:sz w:val="24"/>
          <w:lang w:val="fi-FI"/>
        </w:rPr>
        <w:t>years</w:t>
      </w:r>
      <w:proofErr w:type="spellEnd"/>
      <w:r w:rsidRPr="007D3058">
        <w:rPr>
          <w:sz w:val="24"/>
          <w:lang w:val="fi-FI"/>
        </w:rPr>
        <w:t xml:space="preserve">”, </w:t>
      </w:r>
      <w:proofErr w:type="spellStart"/>
      <w:r w:rsidRPr="007D3058">
        <w:rPr>
          <w:sz w:val="24"/>
          <w:lang w:val="fi-FI"/>
        </w:rPr>
        <w:t>Environmental</w:t>
      </w:r>
      <w:proofErr w:type="spellEnd"/>
      <w:r w:rsidRPr="007D3058">
        <w:rPr>
          <w:sz w:val="24"/>
          <w:lang w:val="fi-FI"/>
        </w:rPr>
        <w:t xml:space="preserve"> Sciences Europe, 28. syyskuuta 2012, Vol. 24(1), </w:t>
      </w:r>
      <w:hyperlink r:id="rId15" w:history="1">
        <w:r w:rsidRPr="007D3058">
          <w:rPr>
            <w:rStyle w:val="Hyperlink"/>
            <w:sz w:val="24"/>
            <w:lang w:val="fi-FI"/>
          </w:rPr>
          <w:t>https://enveurope.springeropen.com/articles/10.1186/2190-4715-24-24</w:t>
        </w:r>
      </w:hyperlink>
      <w:r w:rsidRPr="007D3058">
        <w:rPr>
          <w:sz w:val="24"/>
          <w:lang w:val="fi-FI"/>
        </w:rPr>
        <w:t xml:space="preserve">. </w:t>
      </w:r>
    </w:p>
  </w:footnote>
  <w:footnote w:id="8">
    <w:p w:rsidR="00BA06C9" w:rsidRPr="007D3058" w:rsidRDefault="00BA06C9" w:rsidP="007D3058">
      <w:pPr>
        <w:pStyle w:val="FootnoteText"/>
        <w:ind w:left="567" w:hanging="567"/>
        <w:rPr>
          <w:sz w:val="24"/>
          <w:lang w:val="fi-FI"/>
        </w:rPr>
      </w:pPr>
      <w:r w:rsidRPr="007D3058">
        <w:rPr>
          <w:rStyle w:val="FootnoteReference"/>
          <w:rFonts w:eastAsiaTheme="majorEastAsia"/>
          <w:sz w:val="24"/>
          <w:lang w:val="fi-FI"/>
        </w:rPr>
        <w:footnoteRef/>
      </w:r>
      <w:r w:rsidR="007D3058" w:rsidRPr="007D3058">
        <w:rPr>
          <w:sz w:val="24"/>
          <w:lang w:val="fi-FI"/>
        </w:rPr>
        <w:t xml:space="preserve"> </w:t>
      </w:r>
      <w:r w:rsidR="007D3058" w:rsidRPr="007D3058">
        <w:rPr>
          <w:sz w:val="24"/>
          <w:lang w:val="fi-FI"/>
        </w:rPr>
        <w:tab/>
      </w:r>
      <w:proofErr w:type="spellStart"/>
      <w:r w:rsidRPr="007D3058">
        <w:rPr>
          <w:sz w:val="24"/>
          <w:lang w:val="fi-FI"/>
        </w:rPr>
        <w:t>Lerro</w:t>
      </w:r>
      <w:proofErr w:type="spellEnd"/>
      <w:r w:rsidRPr="007D3058">
        <w:rPr>
          <w:sz w:val="24"/>
          <w:lang w:val="fi-FI"/>
        </w:rPr>
        <w:t xml:space="preserve">, C.C., </w:t>
      </w:r>
      <w:proofErr w:type="spellStart"/>
      <w:r w:rsidRPr="007D3058">
        <w:rPr>
          <w:sz w:val="24"/>
          <w:lang w:val="fi-FI"/>
        </w:rPr>
        <w:t>Hofmann</w:t>
      </w:r>
      <w:proofErr w:type="spellEnd"/>
      <w:r w:rsidRPr="007D3058">
        <w:rPr>
          <w:sz w:val="24"/>
          <w:lang w:val="fi-FI"/>
        </w:rPr>
        <w:t xml:space="preserve">, J.N., Andreotti, G., </w:t>
      </w:r>
      <w:proofErr w:type="spellStart"/>
      <w:r w:rsidRPr="007D3058">
        <w:rPr>
          <w:sz w:val="24"/>
          <w:lang w:val="fi-FI"/>
        </w:rPr>
        <w:t>Koutros</w:t>
      </w:r>
      <w:proofErr w:type="spellEnd"/>
      <w:r w:rsidRPr="007D3058">
        <w:rPr>
          <w:sz w:val="24"/>
          <w:lang w:val="fi-FI"/>
        </w:rPr>
        <w:t xml:space="preserve">, S., Parks, C.G., Blair, A., Albert, P.S., </w:t>
      </w:r>
      <w:proofErr w:type="spellStart"/>
      <w:r w:rsidRPr="007D3058">
        <w:rPr>
          <w:sz w:val="24"/>
          <w:lang w:val="fi-FI"/>
        </w:rPr>
        <w:t>Lubin</w:t>
      </w:r>
      <w:proofErr w:type="spellEnd"/>
      <w:r w:rsidRPr="007D3058">
        <w:rPr>
          <w:sz w:val="24"/>
          <w:lang w:val="fi-FI"/>
        </w:rPr>
        <w:t xml:space="preserve">, J.H., Sandler, D.P., </w:t>
      </w:r>
      <w:proofErr w:type="spellStart"/>
      <w:r w:rsidRPr="007D3058">
        <w:rPr>
          <w:sz w:val="24"/>
          <w:lang w:val="fi-FI"/>
        </w:rPr>
        <w:t>Beane</w:t>
      </w:r>
      <w:proofErr w:type="spellEnd"/>
      <w:r w:rsidRPr="007D3058">
        <w:rPr>
          <w:sz w:val="24"/>
          <w:lang w:val="fi-FI"/>
        </w:rPr>
        <w:t xml:space="preserve"> Freeman, L.E., ”</w:t>
      </w:r>
      <w:proofErr w:type="spellStart"/>
      <w:r w:rsidRPr="007D3058">
        <w:rPr>
          <w:sz w:val="24"/>
          <w:lang w:val="fi-FI"/>
        </w:rPr>
        <w:t>Dicamba</w:t>
      </w:r>
      <w:proofErr w:type="spellEnd"/>
      <w:r w:rsidRPr="007D3058">
        <w:rPr>
          <w:sz w:val="24"/>
          <w:lang w:val="fi-FI"/>
        </w:rPr>
        <w:t xml:space="preserve"> </w:t>
      </w:r>
      <w:proofErr w:type="spellStart"/>
      <w:r w:rsidRPr="007D3058">
        <w:rPr>
          <w:sz w:val="24"/>
          <w:lang w:val="fi-FI"/>
        </w:rPr>
        <w:t>use</w:t>
      </w:r>
      <w:proofErr w:type="spellEnd"/>
      <w:r w:rsidRPr="007D3058">
        <w:rPr>
          <w:sz w:val="24"/>
          <w:lang w:val="fi-FI"/>
        </w:rPr>
        <w:t xml:space="preserve"> and </w:t>
      </w:r>
      <w:proofErr w:type="spellStart"/>
      <w:r w:rsidRPr="007D3058">
        <w:rPr>
          <w:sz w:val="24"/>
          <w:lang w:val="fi-FI"/>
        </w:rPr>
        <w:t>cancer</w:t>
      </w:r>
      <w:proofErr w:type="spellEnd"/>
      <w:r w:rsidRPr="007D3058">
        <w:rPr>
          <w:sz w:val="24"/>
          <w:lang w:val="fi-FI"/>
        </w:rPr>
        <w:t xml:space="preserve"> </w:t>
      </w:r>
      <w:proofErr w:type="spellStart"/>
      <w:r w:rsidRPr="007D3058">
        <w:rPr>
          <w:sz w:val="24"/>
          <w:lang w:val="fi-FI"/>
        </w:rPr>
        <w:t>incidence</w:t>
      </w:r>
      <w:proofErr w:type="spellEnd"/>
      <w:r w:rsidRPr="007D3058">
        <w:rPr>
          <w:sz w:val="24"/>
          <w:lang w:val="fi-FI"/>
        </w:rPr>
        <w:t xml:space="preserve"> in </w:t>
      </w:r>
      <w:proofErr w:type="spellStart"/>
      <w:r w:rsidRPr="007D3058">
        <w:rPr>
          <w:sz w:val="24"/>
          <w:lang w:val="fi-FI"/>
        </w:rPr>
        <w:t>the</w:t>
      </w:r>
      <w:proofErr w:type="spellEnd"/>
      <w:r w:rsidRPr="007D3058">
        <w:rPr>
          <w:sz w:val="24"/>
          <w:lang w:val="fi-FI"/>
        </w:rPr>
        <w:t xml:space="preserve"> </w:t>
      </w:r>
      <w:proofErr w:type="spellStart"/>
      <w:r w:rsidRPr="007D3058">
        <w:rPr>
          <w:sz w:val="24"/>
          <w:lang w:val="fi-FI"/>
        </w:rPr>
        <w:t>agricultural</w:t>
      </w:r>
      <w:proofErr w:type="spellEnd"/>
      <w:r w:rsidRPr="007D3058">
        <w:rPr>
          <w:sz w:val="24"/>
          <w:lang w:val="fi-FI"/>
        </w:rPr>
        <w:t xml:space="preserve"> </w:t>
      </w:r>
      <w:proofErr w:type="spellStart"/>
      <w:r w:rsidRPr="007D3058">
        <w:rPr>
          <w:sz w:val="24"/>
          <w:lang w:val="fi-FI"/>
        </w:rPr>
        <w:t>health</w:t>
      </w:r>
      <w:proofErr w:type="spellEnd"/>
      <w:r w:rsidRPr="007D3058">
        <w:rPr>
          <w:sz w:val="24"/>
          <w:lang w:val="fi-FI"/>
        </w:rPr>
        <w:t xml:space="preserve"> </w:t>
      </w:r>
      <w:proofErr w:type="spellStart"/>
      <w:r w:rsidRPr="007D3058">
        <w:rPr>
          <w:sz w:val="24"/>
          <w:lang w:val="fi-FI"/>
        </w:rPr>
        <w:t>study</w:t>
      </w:r>
      <w:proofErr w:type="spellEnd"/>
      <w:r w:rsidRPr="007D3058">
        <w:rPr>
          <w:sz w:val="24"/>
          <w:lang w:val="fi-FI"/>
        </w:rPr>
        <w:t xml:space="preserve">: an </w:t>
      </w:r>
      <w:proofErr w:type="spellStart"/>
      <w:r w:rsidRPr="007D3058">
        <w:rPr>
          <w:sz w:val="24"/>
          <w:lang w:val="fi-FI"/>
        </w:rPr>
        <w:t>updated</w:t>
      </w:r>
      <w:proofErr w:type="spellEnd"/>
      <w:r w:rsidRPr="007D3058">
        <w:rPr>
          <w:sz w:val="24"/>
          <w:lang w:val="fi-FI"/>
        </w:rPr>
        <w:t xml:space="preserve"> </w:t>
      </w:r>
      <w:proofErr w:type="spellStart"/>
      <w:r w:rsidRPr="007D3058">
        <w:rPr>
          <w:sz w:val="24"/>
          <w:lang w:val="fi-FI"/>
        </w:rPr>
        <w:t>analysis</w:t>
      </w:r>
      <w:proofErr w:type="spellEnd"/>
      <w:r w:rsidRPr="007D3058">
        <w:rPr>
          <w:sz w:val="24"/>
          <w:lang w:val="fi-FI"/>
        </w:rPr>
        <w:t xml:space="preserve">”, International Journal of </w:t>
      </w:r>
      <w:proofErr w:type="spellStart"/>
      <w:r w:rsidRPr="007D3058">
        <w:rPr>
          <w:sz w:val="24"/>
          <w:lang w:val="fi-FI"/>
        </w:rPr>
        <w:t>Epidemiology</w:t>
      </w:r>
      <w:proofErr w:type="spellEnd"/>
      <w:r w:rsidRPr="007D3058">
        <w:rPr>
          <w:sz w:val="24"/>
          <w:lang w:val="fi-FI"/>
        </w:rPr>
        <w:t xml:space="preserve">, elokuu 2020; 49(4), s. 1326–1337, </w:t>
      </w:r>
      <w:hyperlink r:id="rId16" w:history="1">
        <w:r w:rsidRPr="007D3058">
          <w:rPr>
            <w:rStyle w:val="Hyperlink"/>
            <w:sz w:val="24"/>
            <w:lang w:val="fi-FI"/>
          </w:rPr>
          <w:t>https://academic.oup.com/ije/advance-article-abstract/doi/10.1093/ije/dyaa066/5827818?redirectedFrom=fulltext</w:t>
        </w:r>
      </w:hyperlink>
      <w:r w:rsidRPr="007D3058">
        <w:rPr>
          <w:rStyle w:val="Hyperlink"/>
          <w:sz w:val="24"/>
          <w:lang w:val="fi-FI"/>
        </w:rPr>
        <w:t>.</w:t>
      </w:r>
    </w:p>
  </w:footnote>
  <w:footnote w:id="9">
    <w:p w:rsidR="00BA06C9" w:rsidRPr="007D3058" w:rsidRDefault="00BA06C9" w:rsidP="007D3058">
      <w:pPr>
        <w:pStyle w:val="FootnoteText"/>
        <w:ind w:left="567" w:hanging="567"/>
        <w:rPr>
          <w:sz w:val="24"/>
          <w:lang w:val="fi-FI"/>
        </w:rPr>
      </w:pPr>
      <w:r w:rsidRPr="007D3058">
        <w:rPr>
          <w:rStyle w:val="FootnoteReference"/>
          <w:rFonts w:eastAsiaTheme="majorEastAsia"/>
          <w:sz w:val="24"/>
          <w:lang w:val="fi-FI"/>
        </w:rPr>
        <w:footnoteRef/>
      </w:r>
      <w:r w:rsidR="007D3058" w:rsidRPr="007D3058">
        <w:rPr>
          <w:sz w:val="24"/>
          <w:lang w:val="fi-FI"/>
        </w:rPr>
        <w:t xml:space="preserve"> </w:t>
      </w:r>
      <w:r w:rsidR="007D3058" w:rsidRPr="007D3058">
        <w:rPr>
          <w:sz w:val="24"/>
          <w:lang w:val="fi-FI"/>
        </w:rPr>
        <w:tab/>
      </w:r>
      <w:hyperlink r:id="rId17" w:history="1">
        <w:r w:rsidRPr="007D3058">
          <w:rPr>
            <w:rStyle w:val="Hyperlink"/>
            <w:sz w:val="24"/>
            <w:lang w:val="fi-FI"/>
          </w:rPr>
          <w:t>https://hh-ra.org/projects/measuring-pesticide-use/interactive-herbicide-use-tables/</w:t>
        </w:r>
      </w:hyperlink>
      <w:r w:rsidRPr="007D3058">
        <w:rPr>
          <w:rStyle w:val="Hyperlink"/>
          <w:sz w:val="24"/>
          <w:lang w:val="fi-FI"/>
        </w:rPr>
        <w:t>.</w:t>
      </w:r>
    </w:p>
  </w:footnote>
  <w:footnote w:id="10">
    <w:p w:rsidR="00BA06C9" w:rsidRPr="007D3058" w:rsidRDefault="00BA06C9" w:rsidP="007D3058">
      <w:pPr>
        <w:pStyle w:val="FootnoteText"/>
        <w:ind w:left="567" w:hanging="567"/>
        <w:rPr>
          <w:sz w:val="24"/>
          <w:vertAlign w:val="superscript"/>
          <w:lang w:val="fi-FI"/>
        </w:rPr>
      </w:pPr>
      <w:r w:rsidRPr="007D3058">
        <w:rPr>
          <w:rStyle w:val="FootnoteReference"/>
          <w:rFonts w:eastAsiaTheme="majorEastAsia"/>
          <w:sz w:val="24"/>
          <w:lang w:val="fi-FI"/>
        </w:rPr>
        <w:footnoteRef/>
      </w:r>
      <w:r w:rsidR="007D3058" w:rsidRPr="007D3058">
        <w:rPr>
          <w:sz w:val="24"/>
          <w:lang w:val="fi-FI"/>
        </w:rPr>
        <w:t xml:space="preserve"> </w:t>
      </w:r>
      <w:r w:rsidR="007D3058" w:rsidRPr="007D3058">
        <w:rPr>
          <w:sz w:val="24"/>
          <w:lang w:val="fi-FI"/>
        </w:rPr>
        <w:tab/>
      </w:r>
      <w:r w:rsidRPr="007D3058">
        <w:rPr>
          <w:sz w:val="24"/>
          <w:lang w:val="fi-FI"/>
        </w:rPr>
        <w:t xml:space="preserve">Ks. esimerkiksi: </w:t>
      </w:r>
      <w:hyperlink r:id="rId18" w:history="1">
        <w:r w:rsidRPr="007D3058">
          <w:rPr>
            <w:rStyle w:val="Hyperlink"/>
            <w:sz w:val="24"/>
            <w:lang w:val="fi-FI"/>
          </w:rPr>
          <w:t>https://www.sciencedirect.com/science/article/pii/S1383574218300887</w:t>
        </w:r>
      </w:hyperlink>
      <w:r w:rsidRPr="007D3058">
        <w:rPr>
          <w:rStyle w:val="Hyperlink"/>
          <w:sz w:val="24"/>
          <w:lang w:val="fi-FI"/>
        </w:rPr>
        <w:t>,</w:t>
      </w:r>
      <w:r w:rsidRPr="007D3058">
        <w:rPr>
          <w:sz w:val="24"/>
          <w:lang w:val="fi-FI"/>
        </w:rPr>
        <w:t xml:space="preserve"> </w:t>
      </w:r>
    </w:p>
    <w:p w:rsidR="00BA06C9" w:rsidRPr="007D3058" w:rsidRDefault="007D3058" w:rsidP="007D3058">
      <w:pPr>
        <w:pStyle w:val="FootnoteText"/>
        <w:ind w:left="567" w:hanging="567"/>
        <w:rPr>
          <w:sz w:val="24"/>
          <w:vertAlign w:val="superscript"/>
          <w:lang w:val="fi-FI"/>
        </w:rPr>
      </w:pPr>
      <w:r w:rsidRPr="007D3058">
        <w:rPr>
          <w:sz w:val="24"/>
          <w:lang w:val="fi-FI"/>
        </w:rPr>
        <w:t xml:space="preserve"> </w:t>
      </w:r>
      <w:r w:rsidRPr="007D3058">
        <w:rPr>
          <w:sz w:val="24"/>
          <w:lang w:val="fi-FI"/>
        </w:rPr>
        <w:tab/>
      </w:r>
      <w:hyperlink r:id="rId19" w:history="1">
        <w:r w:rsidR="00BA06C9" w:rsidRPr="007D3058">
          <w:rPr>
            <w:rStyle w:val="Hyperlink"/>
            <w:sz w:val="24"/>
            <w:lang w:val="fi-FI"/>
          </w:rPr>
          <w:t>https://academic.oup.com/ije/advance-article/doi/10.1093/ije/dyz017/5382278</w:t>
        </w:r>
      </w:hyperlink>
      <w:r w:rsidR="00BA06C9" w:rsidRPr="007D3058">
        <w:rPr>
          <w:rStyle w:val="Hyperlink"/>
          <w:sz w:val="24"/>
          <w:lang w:val="fi-FI"/>
        </w:rPr>
        <w:t>,</w:t>
      </w:r>
      <w:r w:rsidR="00BA06C9" w:rsidRPr="007D3058">
        <w:rPr>
          <w:sz w:val="24"/>
          <w:lang w:val="fi-FI"/>
        </w:rPr>
        <w:t xml:space="preserve"> </w:t>
      </w:r>
    </w:p>
    <w:p w:rsidR="00BA06C9" w:rsidRPr="007D3058" w:rsidRDefault="007D3058" w:rsidP="007D3058">
      <w:pPr>
        <w:pStyle w:val="FootnoteText"/>
        <w:ind w:left="567" w:hanging="567"/>
        <w:rPr>
          <w:sz w:val="24"/>
          <w:vertAlign w:val="superscript"/>
          <w:lang w:val="fi-FI"/>
        </w:rPr>
      </w:pPr>
      <w:r w:rsidRPr="007D3058">
        <w:rPr>
          <w:sz w:val="24"/>
          <w:lang w:val="fi-FI"/>
        </w:rPr>
        <w:t xml:space="preserve"> </w:t>
      </w:r>
      <w:r w:rsidRPr="007D3058">
        <w:rPr>
          <w:sz w:val="24"/>
          <w:lang w:val="fi-FI"/>
        </w:rPr>
        <w:tab/>
      </w:r>
      <w:hyperlink r:id="rId20" w:history="1">
        <w:r w:rsidR="00BA06C9" w:rsidRPr="007D3058">
          <w:rPr>
            <w:rStyle w:val="Hyperlink"/>
            <w:sz w:val="24"/>
            <w:lang w:val="fi-FI"/>
          </w:rPr>
          <w:t>https://journals.plos.org/plosone/article?id=10.1371/journal.pone.0219610</w:t>
        </w:r>
      </w:hyperlink>
      <w:r w:rsidR="00BA06C9" w:rsidRPr="007D3058">
        <w:rPr>
          <w:sz w:val="24"/>
          <w:lang w:val="fi-FI"/>
        </w:rPr>
        <w:t xml:space="preserve"> ja</w:t>
      </w:r>
    </w:p>
    <w:p w:rsidR="00BA06C9" w:rsidRPr="007D3058" w:rsidRDefault="007D3058" w:rsidP="007D3058">
      <w:pPr>
        <w:pStyle w:val="FootnoteText"/>
        <w:ind w:left="567" w:hanging="567"/>
        <w:rPr>
          <w:sz w:val="24"/>
          <w:lang w:val="fi-FI"/>
        </w:rPr>
      </w:pPr>
      <w:r w:rsidRPr="007D3058">
        <w:rPr>
          <w:sz w:val="24"/>
          <w:lang w:val="fi-FI"/>
        </w:rPr>
        <w:t xml:space="preserve"> </w:t>
      </w:r>
      <w:r w:rsidRPr="007D3058">
        <w:rPr>
          <w:sz w:val="24"/>
          <w:lang w:val="fi-FI"/>
        </w:rPr>
        <w:tab/>
      </w:r>
      <w:hyperlink r:id="rId21" w:history="1">
        <w:r w:rsidR="00BA06C9" w:rsidRPr="007D3058">
          <w:rPr>
            <w:rStyle w:val="Hyperlink"/>
            <w:sz w:val="24"/>
            <w:lang w:val="fi-FI"/>
          </w:rPr>
          <w:t>https://www.ncbi.nlm.nih.gov/pmc/articles/PMC6612199/</w:t>
        </w:r>
      </w:hyperlink>
      <w:r w:rsidR="00BA06C9" w:rsidRPr="007D3058">
        <w:rPr>
          <w:sz w:val="24"/>
          <w:lang w:val="fi-FI"/>
        </w:rPr>
        <w:t>.</w:t>
      </w:r>
    </w:p>
  </w:footnote>
  <w:footnote w:id="11">
    <w:p w:rsidR="00BA06C9" w:rsidRPr="007D3058" w:rsidRDefault="00BA06C9" w:rsidP="007D3058">
      <w:pPr>
        <w:pStyle w:val="FootnoteText"/>
        <w:ind w:left="567" w:hanging="567"/>
        <w:rPr>
          <w:sz w:val="24"/>
          <w:lang w:val="fi-FI"/>
        </w:rPr>
      </w:pPr>
      <w:r w:rsidRPr="007D3058">
        <w:rPr>
          <w:rStyle w:val="FootnoteReference"/>
          <w:rFonts w:eastAsiaTheme="majorEastAsia"/>
          <w:sz w:val="24"/>
          <w:lang w:val="fi-FI"/>
        </w:rPr>
        <w:footnoteRef/>
      </w:r>
      <w:r w:rsidR="007D3058" w:rsidRPr="007D3058">
        <w:rPr>
          <w:sz w:val="24"/>
          <w:lang w:val="fi-FI"/>
        </w:rPr>
        <w:t xml:space="preserve"> </w:t>
      </w:r>
      <w:r w:rsidR="007D3058" w:rsidRPr="007D3058">
        <w:rPr>
          <w:sz w:val="24"/>
          <w:lang w:val="fi-FI"/>
        </w:rPr>
        <w:tab/>
      </w:r>
      <w:hyperlink r:id="rId22" w:history="1">
        <w:r w:rsidRPr="007D3058">
          <w:rPr>
            <w:rStyle w:val="Hyperlink"/>
            <w:sz w:val="24"/>
            <w:lang w:val="fi-FI"/>
          </w:rPr>
          <w:t>https://www.ncbi.nlm.nih.gov/pubmed/24491722</w:t>
        </w:r>
      </w:hyperlink>
      <w:r w:rsidRPr="007D3058">
        <w:rPr>
          <w:rStyle w:val="Hyperlink"/>
          <w:sz w:val="24"/>
          <w:lang w:val="fi-FI"/>
        </w:rPr>
        <w:t>.</w:t>
      </w:r>
      <w:r w:rsidRPr="007D3058">
        <w:rPr>
          <w:sz w:val="24"/>
          <w:lang w:val="fi-FI"/>
        </w:rPr>
        <w:t xml:space="preserve"> </w:t>
      </w:r>
    </w:p>
  </w:footnote>
  <w:footnote w:id="12">
    <w:p w:rsidR="00BA06C9" w:rsidRPr="007D3058" w:rsidRDefault="00BA06C9" w:rsidP="007D3058">
      <w:pPr>
        <w:pStyle w:val="FootnoteText"/>
        <w:ind w:left="567" w:hanging="567"/>
        <w:rPr>
          <w:sz w:val="24"/>
          <w:lang w:val="fi-FI"/>
        </w:rPr>
      </w:pPr>
      <w:r w:rsidRPr="007D3058">
        <w:rPr>
          <w:rStyle w:val="FootnoteReference"/>
          <w:rFonts w:eastAsiaTheme="majorEastAsia"/>
          <w:sz w:val="24"/>
          <w:lang w:val="fi-FI"/>
        </w:rPr>
        <w:footnoteRef/>
      </w:r>
      <w:r w:rsidR="007D3058" w:rsidRPr="007D3058">
        <w:rPr>
          <w:sz w:val="24"/>
          <w:lang w:val="fi-FI"/>
        </w:rPr>
        <w:t xml:space="preserve"> </w:t>
      </w:r>
      <w:r w:rsidR="007D3058" w:rsidRPr="007D3058">
        <w:rPr>
          <w:sz w:val="24"/>
          <w:lang w:val="fi-FI"/>
        </w:rPr>
        <w:tab/>
      </w:r>
      <w:hyperlink r:id="rId23" w:history="1">
        <w:r w:rsidRPr="007D3058">
          <w:rPr>
            <w:rStyle w:val="Hyperlink"/>
            <w:sz w:val="24"/>
            <w:lang w:val="fi-FI"/>
          </w:rPr>
          <w:t>https://www.testbiotech.org/en/resource/high-levels-residues-spraying-glyphosate-found-soybeans-argentina/</w:t>
        </w:r>
      </w:hyperlink>
    </w:p>
  </w:footnote>
  <w:footnote w:id="13">
    <w:p w:rsidR="00BA06C9" w:rsidRPr="007D3058" w:rsidRDefault="00BA06C9" w:rsidP="007D3058">
      <w:pPr>
        <w:pStyle w:val="FootnoteText"/>
        <w:ind w:left="567" w:hanging="567"/>
        <w:rPr>
          <w:sz w:val="24"/>
          <w:lang w:val="fi-FI"/>
        </w:rPr>
      </w:pPr>
      <w:r w:rsidRPr="007D3058">
        <w:rPr>
          <w:rStyle w:val="FootnoteReference"/>
          <w:rFonts w:eastAsiaTheme="majorEastAsia"/>
          <w:sz w:val="24"/>
          <w:lang w:val="fi-FI"/>
        </w:rPr>
        <w:footnoteRef/>
      </w:r>
      <w:r w:rsidR="007D3058" w:rsidRPr="007D3058">
        <w:rPr>
          <w:sz w:val="24"/>
          <w:lang w:val="fi-FI"/>
        </w:rPr>
        <w:t xml:space="preserve"> </w:t>
      </w:r>
      <w:r w:rsidR="007D3058" w:rsidRPr="007D3058">
        <w:rPr>
          <w:sz w:val="24"/>
          <w:lang w:val="fi-FI"/>
        </w:rPr>
        <w:tab/>
      </w:r>
      <w:r w:rsidRPr="007D3058">
        <w:rPr>
          <w:sz w:val="24"/>
          <w:lang w:val="fi-FI"/>
        </w:rPr>
        <w:t xml:space="preserve">Tämä koskee myös </w:t>
      </w:r>
      <w:proofErr w:type="spellStart"/>
      <w:r w:rsidRPr="007D3058">
        <w:rPr>
          <w:sz w:val="24"/>
          <w:lang w:val="fi-FI"/>
        </w:rPr>
        <w:t>glyfosaattia</w:t>
      </w:r>
      <w:proofErr w:type="spellEnd"/>
      <w:r w:rsidRPr="007D3058">
        <w:rPr>
          <w:sz w:val="24"/>
          <w:lang w:val="fi-FI"/>
        </w:rPr>
        <w:t xml:space="preserve">, kuten todetaan </w:t>
      </w:r>
      <w:proofErr w:type="spellStart"/>
      <w:r w:rsidRPr="007D3058">
        <w:rPr>
          <w:sz w:val="24"/>
          <w:lang w:val="fi-FI"/>
        </w:rPr>
        <w:t>EFSAn</w:t>
      </w:r>
      <w:proofErr w:type="spellEnd"/>
      <w:r w:rsidRPr="007D3058">
        <w:rPr>
          <w:sz w:val="24"/>
          <w:lang w:val="fi-FI"/>
        </w:rPr>
        <w:t xml:space="preserve"> arvioinnissa ”</w:t>
      </w:r>
      <w:proofErr w:type="spellStart"/>
      <w:r w:rsidRPr="007D3058">
        <w:rPr>
          <w:sz w:val="24"/>
          <w:lang w:val="fi-FI"/>
        </w:rPr>
        <w:t>Review</w:t>
      </w:r>
      <w:proofErr w:type="spellEnd"/>
      <w:r w:rsidRPr="007D3058">
        <w:rPr>
          <w:sz w:val="24"/>
          <w:lang w:val="fi-FI"/>
        </w:rPr>
        <w:t xml:space="preserve"> of </w:t>
      </w:r>
      <w:proofErr w:type="spellStart"/>
      <w:r w:rsidRPr="007D3058">
        <w:rPr>
          <w:sz w:val="24"/>
          <w:lang w:val="fi-FI"/>
        </w:rPr>
        <w:t>the</w:t>
      </w:r>
      <w:proofErr w:type="spellEnd"/>
      <w:r w:rsidRPr="007D3058">
        <w:rPr>
          <w:sz w:val="24"/>
          <w:lang w:val="fi-FI"/>
        </w:rPr>
        <w:t xml:space="preserve"> </w:t>
      </w:r>
      <w:proofErr w:type="spellStart"/>
      <w:r w:rsidRPr="007D3058">
        <w:rPr>
          <w:sz w:val="24"/>
          <w:lang w:val="fi-FI"/>
        </w:rPr>
        <w:t>existing</w:t>
      </w:r>
      <w:proofErr w:type="spellEnd"/>
      <w:r w:rsidRPr="007D3058">
        <w:rPr>
          <w:sz w:val="24"/>
          <w:lang w:val="fi-FI"/>
        </w:rPr>
        <w:t xml:space="preserve"> </w:t>
      </w:r>
      <w:proofErr w:type="spellStart"/>
      <w:r w:rsidRPr="007D3058">
        <w:rPr>
          <w:sz w:val="24"/>
          <w:lang w:val="fi-FI"/>
        </w:rPr>
        <w:t>maximum</w:t>
      </w:r>
      <w:proofErr w:type="spellEnd"/>
      <w:r w:rsidRPr="007D3058">
        <w:rPr>
          <w:sz w:val="24"/>
          <w:lang w:val="fi-FI"/>
        </w:rPr>
        <w:t xml:space="preserve"> </w:t>
      </w:r>
      <w:proofErr w:type="spellStart"/>
      <w:r w:rsidRPr="007D3058">
        <w:rPr>
          <w:sz w:val="24"/>
          <w:lang w:val="fi-FI"/>
        </w:rPr>
        <w:t>residue</w:t>
      </w:r>
      <w:proofErr w:type="spellEnd"/>
      <w:r w:rsidRPr="007D3058">
        <w:rPr>
          <w:sz w:val="24"/>
          <w:lang w:val="fi-FI"/>
        </w:rPr>
        <w:t xml:space="preserve"> </w:t>
      </w:r>
      <w:proofErr w:type="spellStart"/>
      <w:r w:rsidRPr="007D3058">
        <w:rPr>
          <w:sz w:val="24"/>
          <w:lang w:val="fi-FI"/>
        </w:rPr>
        <w:t>levels</w:t>
      </w:r>
      <w:proofErr w:type="spellEnd"/>
      <w:r w:rsidRPr="007D3058">
        <w:rPr>
          <w:sz w:val="24"/>
          <w:lang w:val="fi-FI"/>
        </w:rPr>
        <w:t xml:space="preserve"> for </w:t>
      </w:r>
      <w:proofErr w:type="spellStart"/>
      <w:r w:rsidRPr="007D3058">
        <w:rPr>
          <w:sz w:val="24"/>
          <w:lang w:val="fi-FI"/>
        </w:rPr>
        <w:t>glyphosate</w:t>
      </w:r>
      <w:proofErr w:type="spellEnd"/>
      <w:r w:rsidRPr="007D3058">
        <w:rPr>
          <w:sz w:val="24"/>
          <w:lang w:val="fi-FI"/>
        </w:rPr>
        <w:t xml:space="preserve"> </w:t>
      </w:r>
      <w:proofErr w:type="spellStart"/>
      <w:r w:rsidRPr="007D3058">
        <w:rPr>
          <w:sz w:val="24"/>
          <w:lang w:val="fi-FI"/>
        </w:rPr>
        <w:t>according</w:t>
      </w:r>
      <w:proofErr w:type="spellEnd"/>
      <w:r w:rsidRPr="007D3058">
        <w:rPr>
          <w:sz w:val="24"/>
          <w:lang w:val="fi-FI"/>
        </w:rPr>
        <w:t xml:space="preserve"> to </w:t>
      </w:r>
      <w:proofErr w:type="spellStart"/>
      <w:r w:rsidRPr="007D3058">
        <w:rPr>
          <w:sz w:val="24"/>
          <w:lang w:val="fi-FI"/>
        </w:rPr>
        <w:t>Article</w:t>
      </w:r>
      <w:proofErr w:type="spellEnd"/>
      <w:r w:rsidRPr="007D3058">
        <w:rPr>
          <w:sz w:val="24"/>
          <w:lang w:val="fi-FI"/>
        </w:rPr>
        <w:t xml:space="preserve"> 12 of </w:t>
      </w:r>
      <w:proofErr w:type="spellStart"/>
      <w:r w:rsidRPr="007D3058">
        <w:rPr>
          <w:sz w:val="24"/>
          <w:lang w:val="fi-FI"/>
        </w:rPr>
        <w:t>Regulation</w:t>
      </w:r>
      <w:proofErr w:type="spellEnd"/>
      <w:r w:rsidRPr="007D3058">
        <w:rPr>
          <w:sz w:val="24"/>
          <w:lang w:val="fi-FI"/>
        </w:rPr>
        <w:t xml:space="preserve"> (EC) No 396/2005”, EFSA Journal 2018;16(5):e5263, s. 12, </w:t>
      </w:r>
      <w:hyperlink r:id="rId24" w:history="1">
        <w:r w:rsidRPr="007D3058">
          <w:rPr>
            <w:rStyle w:val="Hyperlink"/>
            <w:sz w:val="24"/>
            <w:lang w:val="fi-FI"/>
          </w:rPr>
          <w:t>https://www.efsa.europa.eu/fr/efsajournal/pub/5263</w:t>
        </w:r>
      </w:hyperlink>
      <w:r w:rsidRPr="007D3058">
        <w:rPr>
          <w:sz w:val="24"/>
          <w:lang w:val="fi-FI"/>
        </w:rPr>
        <w:t>.</w:t>
      </w:r>
    </w:p>
  </w:footnote>
  <w:footnote w:id="14">
    <w:p w:rsidR="00BA06C9" w:rsidRPr="00E1610D" w:rsidRDefault="00BA06C9" w:rsidP="007D3058">
      <w:pPr>
        <w:pStyle w:val="FootnoteText"/>
        <w:ind w:left="567" w:hanging="567"/>
        <w:rPr>
          <w:sz w:val="24"/>
          <w:lang w:val="en-GB"/>
        </w:rPr>
      </w:pPr>
      <w:r w:rsidRPr="007D3058">
        <w:rPr>
          <w:rStyle w:val="FootnoteReference"/>
          <w:sz w:val="24"/>
          <w:lang w:val="fi-FI"/>
        </w:rPr>
        <w:footnoteRef/>
      </w:r>
      <w:r w:rsidR="007D3058" w:rsidRPr="00E1610D">
        <w:rPr>
          <w:sz w:val="24"/>
          <w:lang w:val="en-GB"/>
        </w:rPr>
        <w:t xml:space="preserve"> </w:t>
      </w:r>
      <w:r w:rsidR="007D3058" w:rsidRPr="00E1610D">
        <w:rPr>
          <w:sz w:val="24"/>
          <w:lang w:val="en-GB"/>
        </w:rPr>
        <w:tab/>
      </w:r>
      <w:r w:rsidRPr="00E1610D">
        <w:rPr>
          <w:sz w:val="24"/>
          <w:lang w:val="en-GB"/>
        </w:rPr>
        <w:t xml:space="preserve">”Strategic Dialogue on the Future of EU Agriculture - A shared prospect for farming and food in Europe”, 2024, </w:t>
      </w:r>
      <w:hyperlink r:id="rId25" w:history="1">
        <w:r w:rsidRPr="00E1610D">
          <w:rPr>
            <w:rStyle w:val="Hyperlink"/>
            <w:sz w:val="24"/>
            <w:lang w:val="en-GB"/>
          </w:rPr>
          <w:t>https://agriculture.ec.europa.eu/document/download/171329ff-0f50-4fa5-946f-aea11032172e_en?filename=strategic-dialogue-report-2024_en.pdf</w:t>
        </w:r>
      </w:hyperlink>
      <w:r w:rsidRPr="00E1610D">
        <w:rPr>
          <w:sz w:val="24"/>
          <w:lang w:val="en-GB"/>
        </w:rPr>
        <w:t>.</w:t>
      </w:r>
    </w:p>
  </w:footnote>
  <w:footnote w:id="15">
    <w:p w:rsidR="00BA06C9" w:rsidRPr="00E1610D" w:rsidRDefault="00BA06C9" w:rsidP="007D3058">
      <w:pPr>
        <w:pStyle w:val="NoSpacing"/>
        <w:ind w:left="567" w:hanging="567"/>
        <w:jc w:val="left"/>
        <w:rPr>
          <w:szCs w:val="20"/>
          <w:lang w:val="en-GB"/>
        </w:rPr>
      </w:pPr>
      <w:r w:rsidRPr="007D3058">
        <w:rPr>
          <w:rStyle w:val="FootnoteReference"/>
          <w:szCs w:val="20"/>
        </w:rPr>
        <w:footnoteRef/>
      </w:r>
      <w:r w:rsidR="007D3058" w:rsidRPr="00E1610D">
        <w:rPr>
          <w:lang w:val="en-GB"/>
        </w:rPr>
        <w:t xml:space="preserve"> </w:t>
      </w:r>
      <w:r w:rsidR="007D3058" w:rsidRPr="00E1610D">
        <w:rPr>
          <w:lang w:val="en-GB"/>
        </w:rPr>
        <w:tab/>
      </w:r>
      <w:r w:rsidRPr="00E1610D">
        <w:rPr>
          <w:lang w:val="en-GB"/>
        </w:rPr>
        <w:t xml:space="preserve">A/HRC/34/48: Report of the Special Rapporteur on the right to food </w:t>
      </w:r>
      <w:hyperlink r:id="rId26" w:history="1">
        <w:r w:rsidRPr="00E1610D">
          <w:rPr>
            <w:rStyle w:val="Hyperlink"/>
            <w:lang w:val="en-GB"/>
          </w:rPr>
          <w:t>https://www.ohchr.org/en/documents/thematic-reports/ahrc3448-report-special-rapporteur-right-food</w:t>
        </w:r>
      </w:hyperlink>
      <w:r w:rsidRPr="00E1610D">
        <w:rPr>
          <w:lang w:val="en-GB"/>
        </w:rPr>
        <w:t>.</w:t>
      </w:r>
    </w:p>
  </w:footnote>
  <w:footnote w:id="16">
    <w:p w:rsidR="00BA06C9" w:rsidRPr="00E1610D" w:rsidRDefault="00BA06C9" w:rsidP="007D3058">
      <w:pPr>
        <w:pStyle w:val="FootnoteText"/>
        <w:ind w:left="567" w:hanging="567"/>
        <w:rPr>
          <w:sz w:val="24"/>
          <w:lang w:val="pl-PL"/>
        </w:rPr>
      </w:pPr>
      <w:r w:rsidRPr="007D3058">
        <w:rPr>
          <w:rStyle w:val="FootnoteReference"/>
          <w:sz w:val="24"/>
          <w:lang w:val="fi-FI"/>
        </w:rPr>
        <w:footnoteRef/>
      </w:r>
      <w:r w:rsidR="007D3058" w:rsidRPr="00E1610D">
        <w:rPr>
          <w:sz w:val="24"/>
          <w:lang w:val="pl-PL"/>
        </w:rPr>
        <w:t xml:space="preserve"> </w:t>
      </w:r>
      <w:r w:rsidR="007D3058" w:rsidRPr="00E1610D">
        <w:rPr>
          <w:sz w:val="24"/>
          <w:lang w:val="pl-PL"/>
        </w:rPr>
        <w:tab/>
      </w:r>
      <w:hyperlink r:id="rId27" w:history="1">
        <w:r w:rsidRPr="00E1610D">
          <w:rPr>
            <w:rStyle w:val="Hyperlink"/>
            <w:sz w:val="24"/>
            <w:lang w:val="pl-PL"/>
          </w:rPr>
          <w:t>https://indicators.report/targets/3-9/</w:t>
        </w:r>
      </w:hyperlink>
      <w:r w:rsidRPr="00E1610D">
        <w:rPr>
          <w:rStyle w:val="Hyperlink"/>
          <w:sz w:val="24"/>
          <w:lang w:val="pl-PL"/>
        </w:rPr>
        <w:t>.</w:t>
      </w:r>
    </w:p>
  </w:footnote>
  <w:footnote w:id="17">
    <w:p w:rsidR="00BA06C9" w:rsidRPr="007D3058" w:rsidRDefault="00BA06C9" w:rsidP="007D3058">
      <w:pPr>
        <w:pStyle w:val="FootnoteText"/>
        <w:ind w:left="567" w:hanging="567"/>
        <w:rPr>
          <w:sz w:val="24"/>
          <w:lang w:val="fi-FI"/>
        </w:rPr>
      </w:pPr>
      <w:r w:rsidRPr="007D3058">
        <w:rPr>
          <w:rStyle w:val="FootnoteReference"/>
          <w:sz w:val="24"/>
          <w:lang w:val="fi-FI"/>
        </w:rPr>
        <w:footnoteRef/>
      </w:r>
      <w:r w:rsidR="007D3058" w:rsidRPr="00E1610D">
        <w:rPr>
          <w:sz w:val="24"/>
          <w:lang w:val="pl-PL"/>
        </w:rPr>
        <w:t xml:space="preserve"> </w:t>
      </w:r>
      <w:r w:rsidR="007D3058" w:rsidRPr="00E1610D">
        <w:rPr>
          <w:sz w:val="24"/>
          <w:lang w:val="pl-PL"/>
        </w:rPr>
        <w:tab/>
      </w:r>
      <w:r w:rsidRPr="00E1610D">
        <w:rPr>
          <w:sz w:val="24"/>
          <w:lang w:val="pl-PL"/>
        </w:rPr>
        <w:t xml:space="preserve">Ks. </w:t>
      </w:r>
      <w:hyperlink r:id="rId28" w:history="1">
        <w:r w:rsidRPr="007D3058">
          <w:rPr>
            <w:rStyle w:val="Hyperlink"/>
            <w:sz w:val="24"/>
            <w:lang w:val="fi-FI"/>
          </w:rPr>
          <w:t>https://ec.europa.eu/commission/presscorner/detail/fi/ip_22_7834</w:t>
        </w:r>
      </w:hyperlink>
      <w:r w:rsidRPr="007D3058">
        <w:rPr>
          <w:sz w:val="24"/>
          <w:lang w:val="fi-FI"/>
        </w:rPr>
        <w:t>.</w:t>
      </w:r>
    </w:p>
  </w:footnote>
  <w:footnote w:id="18">
    <w:p w:rsidR="00BA06C9" w:rsidRPr="007D3058" w:rsidRDefault="00BA06C9" w:rsidP="007D3058">
      <w:pPr>
        <w:pStyle w:val="FootnoteText"/>
        <w:ind w:left="567" w:hanging="567"/>
        <w:rPr>
          <w:sz w:val="24"/>
          <w:lang w:val="fi-FI"/>
        </w:rPr>
      </w:pPr>
      <w:r w:rsidRPr="007D3058">
        <w:rPr>
          <w:rStyle w:val="FootnoteReference"/>
          <w:rFonts w:eastAsiaTheme="majorEastAsia"/>
          <w:sz w:val="24"/>
          <w:lang w:val="fi-FI"/>
        </w:rPr>
        <w:footnoteRef/>
      </w:r>
      <w:r w:rsidR="007D3058" w:rsidRPr="007D3058">
        <w:rPr>
          <w:color w:val="000000" w:themeColor="text1"/>
          <w:sz w:val="24"/>
          <w:lang w:val="fi-FI"/>
        </w:rPr>
        <w:t xml:space="preserve"> </w:t>
      </w:r>
      <w:r w:rsidR="007D3058" w:rsidRPr="007D3058">
        <w:rPr>
          <w:color w:val="000000" w:themeColor="text1"/>
          <w:sz w:val="24"/>
          <w:lang w:val="fi-FI"/>
        </w:rPr>
        <w:tab/>
      </w:r>
      <w:r w:rsidRPr="007D3058">
        <w:rPr>
          <w:color w:val="000000" w:themeColor="text1"/>
          <w:sz w:val="24"/>
          <w:lang w:val="fi-FI"/>
        </w:rPr>
        <w:t xml:space="preserve">Joulukuussa 2022 pidetyssä biologista monimuotoisuutta koskevan Yhdistyneiden kansakuntien yleissopimuksen sopimuspuolten 15. konferenssissa hyväksyttiin maailmanlaajuinen </w:t>
      </w:r>
      <w:proofErr w:type="spellStart"/>
      <w:r w:rsidRPr="007D3058">
        <w:rPr>
          <w:color w:val="000000" w:themeColor="text1"/>
          <w:sz w:val="24"/>
          <w:lang w:val="fi-FI"/>
        </w:rPr>
        <w:t>biodiversiteettikehys</w:t>
      </w:r>
      <w:proofErr w:type="spellEnd"/>
      <w:r w:rsidRPr="007D3058">
        <w:rPr>
          <w:color w:val="000000" w:themeColor="text1"/>
          <w:sz w:val="24"/>
          <w:lang w:val="fi-FI"/>
        </w:rPr>
        <w:t>, joka sisältää maailmanlaajuisen tavoitteen vähentää torjunta-aineista aiheutuvia riskejä vähintään 50 prosentilla vuoteen 2030 mennessä</w:t>
      </w:r>
      <w:r w:rsidRPr="007D3058">
        <w:rPr>
          <w:sz w:val="24"/>
          <w:lang w:val="fi-FI"/>
        </w:rPr>
        <w:t xml:space="preserve"> (ks. </w:t>
      </w:r>
      <w:hyperlink r:id="rId29" w:history="1">
        <w:r w:rsidRPr="007D3058">
          <w:rPr>
            <w:rStyle w:val="Hyperlink"/>
            <w:sz w:val="24"/>
            <w:lang w:val="fi-FI"/>
          </w:rPr>
          <w:t>https://ec.europa.eu/commission/presscorner/detail/fi/ip_22_7834</w:t>
        </w:r>
      </w:hyperlink>
      <w:r w:rsidRPr="007D3058">
        <w:rPr>
          <w:sz w:val="24"/>
          <w:lang w:val="fi-FI"/>
        </w:rPr>
        <w:t xml:space="preserve">). </w:t>
      </w:r>
    </w:p>
  </w:footnote>
  <w:footnote w:id="19">
    <w:p w:rsidR="00BA06C9" w:rsidRPr="007D3058" w:rsidRDefault="00BA06C9" w:rsidP="007D3058">
      <w:pPr>
        <w:pStyle w:val="FootnoteText"/>
        <w:ind w:left="567" w:hanging="567"/>
        <w:rPr>
          <w:sz w:val="24"/>
          <w:lang w:val="fi-FI"/>
        </w:rPr>
      </w:pPr>
      <w:r w:rsidRPr="007D3058">
        <w:rPr>
          <w:rStyle w:val="FootnoteReference"/>
          <w:rFonts w:eastAsiaTheme="majorEastAsia"/>
          <w:sz w:val="24"/>
          <w:lang w:val="fi-FI"/>
        </w:rPr>
        <w:footnoteRef/>
      </w:r>
      <w:r w:rsidR="007D3058" w:rsidRPr="007D3058">
        <w:rPr>
          <w:color w:val="000000"/>
          <w:sz w:val="24"/>
          <w:lang w:val="fi-FI"/>
        </w:rPr>
        <w:t xml:space="preserve"> </w:t>
      </w:r>
      <w:r w:rsidR="007D3058" w:rsidRPr="007D3058">
        <w:rPr>
          <w:color w:val="000000"/>
          <w:sz w:val="24"/>
          <w:lang w:val="fi-FI"/>
        </w:rPr>
        <w:tab/>
      </w:r>
      <w:r w:rsidRPr="007D3058">
        <w:rPr>
          <w:color w:val="000000"/>
          <w:sz w:val="24"/>
          <w:lang w:val="fi-FI"/>
        </w:rPr>
        <w:t xml:space="preserve">Komission tiedonanto 23. heinäkuuta 2019 EU:n toimien tehostamisesta maailman metsien suojelemiseksi ja ennallistamiseksi, </w:t>
      </w:r>
      <w:hyperlink r:id="rId30" w:history="1">
        <w:r w:rsidRPr="007D3058">
          <w:rPr>
            <w:rStyle w:val="Hyperlink"/>
            <w:sz w:val="24"/>
            <w:lang w:val="fi-FI"/>
          </w:rPr>
          <w:t>COM(2019)0352</w:t>
        </w:r>
      </w:hyperlink>
      <w:r w:rsidRPr="007D3058">
        <w:rPr>
          <w:color w:val="000000"/>
          <w:sz w:val="24"/>
          <w:lang w:val="fi-FI"/>
        </w:rPr>
        <w:t>, s. 1.</w:t>
      </w:r>
    </w:p>
  </w:footnote>
  <w:footnote w:id="20">
    <w:p w:rsidR="00BA06C9" w:rsidRPr="007D3058" w:rsidRDefault="00BA06C9" w:rsidP="007D3058">
      <w:pPr>
        <w:pStyle w:val="FootnoteText"/>
        <w:ind w:left="567" w:hanging="567"/>
        <w:rPr>
          <w:sz w:val="24"/>
          <w:lang w:val="fi-FI"/>
        </w:rPr>
      </w:pPr>
      <w:r w:rsidRPr="007D3058">
        <w:rPr>
          <w:rStyle w:val="FootnoteReference"/>
          <w:rFonts w:eastAsiaTheme="majorEastAsia"/>
          <w:sz w:val="24"/>
          <w:lang w:val="fi-FI"/>
        </w:rPr>
        <w:footnoteRef/>
      </w:r>
      <w:r w:rsidR="007D3058" w:rsidRPr="007D3058">
        <w:rPr>
          <w:sz w:val="24"/>
          <w:lang w:val="fi-FI"/>
        </w:rPr>
        <w:t xml:space="preserve"> </w:t>
      </w:r>
      <w:r w:rsidR="007D3058" w:rsidRPr="007D3058">
        <w:rPr>
          <w:sz w:val="24"/>
          <w:lang w:val="fi-FI"/>
        </w:rPr>
        <w:tab/>
      </w:r>
      <w:r w:rsidRPr="007D3058">
        <w:rPr>
          <w:sz w:val="24"/>
          <w:lang w:val="fi-FI"/>
        </w:rPr>
        <w:t>Ks. edellinen alaviite, s. 2.</w:t>
      </w:r>
    </w:p>
  </w:footnote>
  <w:footnote w:id="21">
    <w:p w:rsidR="00BA06C9" w:rsidRPr="007D3058" w:rsidRDefault="00BA06C9" w:rsidP="007D3058">
      <w:pPr>
        <w:pStyle w:val="FootnoteText"/>
        <w:ind w:left="567" w:hanging="567"/>
        <w:rPr>
          <w:sz w:val="24"/>
          <w:lang w:val="fi-FI"/>
        </w:rPr>
      </w:pPr>
      <w:r w:rsidRPr="007D3058">
        <w:rPr>
          <w:rStyle w:val="FootnoteReference"/>
          <w:rFonts w:eastAsiaTheme="majorEastAsia"/>
          <w:sz w:val="24"/>
          <w:lang w:val="fi-FI"/>
        </w:rPr>
        <w:footnoteRef/>
      </w:r>
      <w:r w:rsidR="007D3058" w:rsidRPr="007D3058">
        <w:rPr>
          <w:color w:val="000000"/>
          <w:sz w:val="24"/>
          <w:lang w:val="fi-FI"/>
        </w:rPr>
        <w:t xml:space="preserve"> </w:t>
      </w:r>
      <w:r w:rsidR="007D3058" w:rsidRPr="007D3058">
        <w:rPr>
          <w:color w:val="000000"/>
          <w:sz w:val="24"/>
          <w:lang w:val="fi-FI"/>
        </w:rPr>
        <w:tab/>
      </w:r>
      <w:r w:rsidRPr="007D3058">
        <w:rPr>
          <w:color w:val="000000"/>
          <w:sz w:val="24"/>
          <w:lang w:val="fi-FI"/>
        </w:rPr>
        <w:t xml:space="preserve">Ks. alatavoite 15.2: </w:t>
      </w:r>
      <w:hyperlink r:id="rId31" w:history="1">
        <w:r w:rsidRPr="007D3058">
          <w:rPr>
            <w:rStyle w:val="Hyperlink"/>
            <w:sz w:val="24"/>
            <w:lang w:val="fi-FI"/>
          </w:rPr>
          <w:t>https://www.un.org/sustainabledevelopment/biodiversity/</w:t>
        </w:r>
      </w:hyperlink>
      <w:r w:rsidRPr="007D3058">
        <w:rPr>
          <w:rStyle w:val="Hyperlink"/>
          <w:sz w:val="24"/>
          <w:lang w:val="fi-FI"/>
        </w:rPr>
        <w:t>.</w:t>
      </w:r>
      <w:r w:rsidRPr="007D3058">
        <w:rPr>
          <w:color w:val="000000"/>
          <w:sz w:val="24"/>
          <w:lang w:val="fi-FI"/>
        </w:rPr>
        <w:t xml:space="preserve"> </w:t>
      </w:r>
    </w:p>
  </w:footnote>
  <w:footnote w:id="22">
    <w:p w:rsidR="00BA06C9" w:rsidRPr="007D3058" w:rsidRDefault="00BA06C9" w:rsidP="007D3058">
      <w:pPr>
        <w:pStyle w:val="FootnoteText"/>
        <w:ind w:left="567" w:hanging="567"/>
        <w:rPr>
          <w:sz w:val="24"/>
          <w:lang w:val="fi-FI"/>
        </w:rPr>
      </w:pPr>
      <w:r w:rsidRPr="007D3058">
        <w:rPr>
          <w:rStyle w:val="FootnoteReference"/>
          <w:rFonts w:eastAsiaTheme="majorEastAsia"/>
          <w:sz w:val="24"/>
          <w:lang w:val="fi-FI"/>
        </w:rPr>
        <w:footnoteRef/>
      </w:r>
      <w:r w:rsidR="007D3058" w:rsidRPr="007D3058">
        <w:rPr>
          <w:color w:val="000000"/>
          <w:sz w:val="24"/>
          <w:lang w:val="fi-FI"/>
        </w:rPr>
        <w:t xml:space="preserve"> </w:t>
      </w:r>
      <w:r w:rsidR="007D3058" w:rsidRPr="007D3058">
        <w:rPr>
          <w:color w:val="000000"/>
          <w:sz w:val="24"/>
          <w:lang w:val="fi-FI"/>
        </w:rPr>
        <w:tab/>
      </w:r>
      <w:r w:rsidRPr="007D3058">
        <w:rPr>
          <w:color w:val="000000"/>
          <w:sz w:val="24"/>
          <w:lang w:val="fi-FI"/>
        </w:rPr>
        <w:t>Komission tiedonanto 23. heinäkuuta 2019 EU:n toimien tehostamisesta maailman metsien suojelemiseksi ja ennallistamiseksi,</w:t>
      </w:r>
      <w:r w:rsidRPr="007D3058">
        <w:rPr>
          <w:sz w:val="24"/>
          <w:lang w:val="fi-FI"/>
        </w:rPr>
        <w:t xml:space="preserve"> </w:t>
      </w:r>
      <w:hyperlink r:id="rId32" w:history="1">
        <w:r w:rsidRPr="007D3058">
          <w:rPr>
            <w:rStyle w:val="Hyperlink"/>
            <w:sz w:val="24"/>
            <w:lang w:val="fi-FI"/>
          </w:rPr>
          <w:t>COM(2019)0352</w:t>
        </w:r>
      </w:hyperlink>
      <w:r w:rsidRPr="007D3058">
        <w:rPr>
          <w:sz w:val="24"/>
          <w:lang w:val="fi-FI"/>
        </w:rPr>
        <w:t>, s. 2.</w:t>
      </w:r>
    </w:p>
  </w:footnote>
  <w:footnote w:id="23">
    <w:p w:rsidR="00BA06C9" w:rsidRPr="007D3058" w:rsidRDefault="00BA06C9" w:rsidP="007D3058">
      <w:pPr>
        <w:pStyle w:val="FootnoteText"/>
        <w:ind w:left="567" w:hanging="567"/>
        <w:rPr>
          <w:sz w:val="24"/>
          <w:lang w:val="fi-FI"/>
        </w:rPr>
      </w:pPr>
      <w:r w:rsidRPr="007D3058">
        <w:rPr>
          <w:rStyle w:val="FootnoteReference"/>
          <w:rFonts w:eastAsiaTheme="majorEastAsia"/>
          <w:sz w:val="24"/>
          <w:lang w:val="fi-FI"/>
        </w:rPr>
        <w:footnoteRef/>
      </w:r>
      <w:r w:rsidR="007D3058" w:rsidRPr="007D3058">
        <w:rPr>
          <w:sz w:val="24"/>
          <w:lang w:val="fi-FI"/>
        </w:rPr>
        <w:t xml:space="preserve"> </w:t>
      </w:r>
      <w:r w:rsidR="007D3058" w:rsidRPr="007D3058">
        <w:rPr>
          <w:sz w:val="24"/>
          <w:lang w:val="fi-FI"/>
        </w:rPr>
        <w:tab/>
      </w:r>
      <w:r w:rsidRPr="007D3058">
        <w:rPr>
          <w:sz w:val="24"/>
          <w:lang w:val="fi-FI"/>
        </w:rPr>
        <w:t xml:space="preserve">Komission tiedonanto EU:n toimien tehostamisesta maailman metsien suojelemiseksi ja ennallistamiseksi, </w:t>
      </w:r>
      <w:hyperlink r:id="rId33" w:history="1">
        <w:r w:rsidRPr="007D3058">
          <w:rPr>
            <w:rStyle w:val="Hyperlink"/>
            <w:sz w:val="24"/>
            <w:lang w:val="fi-FI"/>
          </w:rPr>
          <w:t>https://eur-lex.europa.eu/legal-content/FI/TXT/HTML/?uri=CELEX:52019DC0352&amp;from=FI</w:t>
        </w:r>
      </w:hyperlink>
    </w:p>
  </w:footnote>
  <w:footnote w:id="24">
    <w:p w:rsidR="00BA06C9" w:rsidRPr="007D3058" w:rsidRDefault="00BA06C9" w:rsidP="007D3058">
      <w:pPr>
        <w:pStyle w:val="FootnoteText"/>
        <w:ind w:left="567" w:hanging="567"/>
        <w:rPr>
          <w:sz w:val="24"/>
          <w:lang w:val="fi-FI"/>
        </w:rPr>
      </w:pPr>
      <w:r w:rsidRPr="007D3058">
        <w:rPr>
          <w:rStyle w:val="FootnoteReference"/>
          <w:rFonts w:eastAsiaTheme="majorEastAsia"/>
          <w:sz w:val="24"/>
          <w:lang w:val="fi-FI"/>
        </w:rPr>
        <w:footnoteRef/>
      </w:r>
      <w:r w:rsidR="007D3058" w:rsidRPr="007D3058">
        <w:rPr>
          <w:sz w:val="24"/>
          <w:lang w:val="fi-FI"/>
        </w:rPr>
        <w:t xml:space="preserve"> </w:t>
      </w:r>
      <w:r w:rsidR="007D3058" w:rsidRPr="007D3058">
        <w:rPr>
          <w:sz w:val="24"/>
          <w:lang w:val="fi-FI"/>
        </w:rPr>
        <w:tab/>
      </w:r>
      <w:r w:rsidRPr="007D3058">
        <w:rPr>
          <w:sz w:val="24"/>
          <w:lang w:val="fi-FI"/>
        </w:rPr>
        <w:t xml:space="preserve">Komission tiedonanto Euroopan parlamentille, neuvostolle, Euroopan talous- ja sosiaalikomitealle ja alueiden komitealle: ”Vuoteen 2030 ulottuva EU:n </w:t>
      </w:r>
      <w:proofErr w:type="spellStart"/>
      <w:r w:rsidRPr="007D3058">
        <w:rPr>
          <w:sz w:val="24"/>
          <w:lang w:val="fi-FI"/>
        </w:rPr>
        <w:t>biodiversiteettistrategia</w:t>
      </w:r>
      <w:proofErr w:type="spellEnd"/>
      <w:r w:rsidRPr="007D3058">
        <w:rPr>
          <w:sz w:val="24"/>
          <w:lang w:val="fi-FI"/>
        </w:rPr>
        <w:t xml:space="preserve"> – Luonto takaisin osaksi elämäämme”, </w:t>
      </w:r>
      <w:hyperlink r:id="rId34" w:history="1">
        <w:r w:rsidRPr="007D3058">
          <w:rPr>
            <w:rStyle w:val="Hyperlink"/>
            <w:sz w:val="24"/>
            <w:lang w:val="fi-FI"/>
          </w:rPr>
          <w:t>COM(2020)0380</w:t>
        </w:r>
      </w:hyperlink>
      <w:r w:rsidRPr="007D3058">
        <w:rPr>
          <w:rStyle w:val="Hyperlink"/>
          <w:sz w:val="24"/>
          <w:lang w:val="fi-FI"/>
        </w:rPr>
        <w:t>.</w:t>
      </w:r>
    </w:p>
  </w:footnote>
  <w:footnote w:id="25">
    <w:p w:rsidR="00BA06C9" w:rsidRPr="00E1610D" w:rsidRDefault="00BA06C9" w:rsidP="007D3058">
      <w:pPr>
        <w:pStyle w:val="FootnoteText"/>
        <w:ind w:left="567" w:hanging="567"/>
        <w:rPr>
          <w:sz w:val="24"/>
          <w:lang w:val="en-GB"/>
        </w:rPr>
      </w:pPr>
      <w:r w:rsidRPr="007D3058">
        <w:rPr>
          <w:rStyle w:val="FootnoteReference"/>
          <w:rFonts w:eastAsiaTheme="majorEastAsia"/>
          <w:sz w:val="24"/>
          <w:lang w:val="fi-FI"/>
        </w:rPr>
        <w:footnoteRef/>
      </w:r>
      <w:r w:rsidR="007D3058" w:rsidRPr="00E1610D">
        <w:rPr>
          <w:sz w:val="24"/>
          <w:lang w:val="en-GB"/>
        </w:rPr>
        <w:t xml:space="preserve"> </w:t>
      </w:r>
      <w:r w:rsidR="007D3058" w:rsidRPr="00E1610D">
        <w:rPr>
          <w:sz w:val="24"/>
          <w:lang w:val="en-GB"/>
        </w:rPr>
        <w:tab/>
      </w:r>
      <w:r w:rsidRPr="00E1610D">
        <w:rPr>
          <w:sz w:val="24"/>
          <w:lang w:val="en-GB"/>
        </w:rPr>
        <w:t xml:space="preserve">International Service for the Acquisition of </w:t>
      </w:r>
      <w:proofErr w:type="spellStart"/>
      <w:r w:rsidRPr="00E1610D">
        <w:rPr>
          <w:sz w:val="24"/>
          <w:lang w:val="en-GB"/>
        </w:rPr>
        <w:t>Agri</w:t>
      </w:r>
      <w:proofErr w:type="spellEnd"/>
      <w:r w:rsidRPr="00E1610D">
        <w:rPr>
          <w:sz w:val="24"/>
          <w:lang w:val="en-GB"/>
        </w:rPr>
        <w:t>-biotech Applications</w:t>
      </w:r>
      <w:proofErr w:type="gramStart"/>
      <w:r w:rsidRPr="00E1610D">
        <w:rPr>
          <w:sz w:val="24"/>
          <w:lang w:val="en-GB"/>
        </w:rPr>
        <w:t>, ”</w:t>
      </w:r>
      <w:proofErr w:type="gramEnd"/>
      <w:r w:rsidRPr="00E1610D">
        <w:rPr>
          <w:sz w:val="24"/>
          <w:lang w:val="en-GB"/>
        </w:rPr>
        <w:t xml:space="preserve">Global status of commercialized biotech/GM crops in 2017: Biotech Crop Adoption Surges as Economic Benefits Accumulate in 22 Years”, ISAAA Brief No. 53 (2017), s. 16 </w:t>
      </w:r>
      <w:proofErr w:type="spellStart"/>
      <w:r w:rsidRPr="00E1610D">
        <w:rPr>
          <w:sz w:val="24"/>
          <w:lang w:val="en-GB"/>
        </w:rPr>
        <w:t>ja</w:t>
      </w:r>
      <w:proofErr w:type="spellEnd"/>
      <w:r w:rsidRPr="00E1610D">
        <w:rPr>
          <w:sz w:val="24"/>
          <w:lang w:val="en-GB"/>
        </w:rPr>
        <w:t xml:space="preserve"> 21, </w:t>
      </w:r>
      <w:hyperlink r:id="rId35" w:history="1">
        <w:r w:rsidRPr="00E1610D">
          <w:rPr>
            <w:rStyle w:val="Hyperlink"/>
            <w:sz w:val="24"/>
            <w:lang w:val="en-GB"/>
          </w:rPr>
          <w:t>http://www.isaaa.org/resources/publications/briefs/53/download/isaaa-brief-53-2017.pdf</w:t>
        </w:r>
      </w:hyperlink>
      <w:r w:rsidRPr="00E1610D">
        <w:rPr>
          <w:rStyle w:val="Hyperlink"/>
          <w:sz w:val="24"/>
          <w:lang w:val="en-GB"/>
        </w:rPr>
        <w:t>.</w:t>
      </w:r>
      <w:r w:rsidRPr="00E1610D">
        <w:rPr>
          <w:sz w:val="24"/>
          <w:lang w:val="en-GB"/>
        </w:rPr>
        <w:t xml:space="preserve"> </w:t>
      </w:r>
    </w:p>
  </w:footnote>
  <w:footnote w:id="26">
    <w:p w:rsidR="00BA06C9" w:rsidRPr="007D3058" w:rsidRDefault="00BA06C9" w:rsidP="007D3058">
      <w:pPr>
        <w:pStyle w:val="FootnoteText"/>
        <w:ind w:left="567" w:hanging="567"/>
        <w:rPr>
          <w:sz w:val="24"/>
          <w:lang w:val="fi-FI"/>
        </w:rPr>
      </w:pPr>
      <w:r w:rsidRPr="007D3058">
        <w:rPr>
          <w:rStyle w:val="FootnoteReference"/>
          <w:rFonts w:eastAsiaTheme="majorEastAsia"/>
          <w:sz w:val="24"/>
          <w:lang w:val="fi-FI"/>
        </w:rPr>
        <w:footnoteRef/>
      </w:r>
      <w:r w:rsidR="007D3058" w:rsidRPr="00E1610D">
        <w:rPr>
          <w:sz w:val="24"/>
          <w:lang w:val="en-GB"/>
        </w:rPr>
        <w:t xml:space="preserve"> </w:t>
      </w:r>
      <w:r w:rsidR="007D3058" w:rsidRPr="00E1610D">
        <w:rPr>
          <w:sz w:val="24"/>
          <w:lang w:val="en-GB"/>
        </w:rPr>
        <w:tab/>
      </w:r>
      <w:r w:rsidRPr="00E1610D">
        <w:rPr>
          <w:sz w:val="24"/>
          <w:lang w:val="en-GB"/>
        </w:rPr>
        <w:t xml:space="preserve">Euroopan komission tekninen raportti 2013 - 063 aiheesta ”The impact of EU consumption on deforestation: Comprehensive analysis of the impact of EU consumption on deforestation”, </w:t>
      </w:r>
      <w:hyperlink r:id="rId36" w:history="1">
        <w:r w:rsidRPr="00E1610D">
          <w:rPr>
            <w:rStyle w:val="Hyperlink"/>
            <w:sz w:val="24"/>
            <w:lang w:val="en-GB"/>
          </w:rPr>
          <w:t>https://op.europa.eu/en/publication-detail/-/publication/c1d3ef3e-d07e-4229-91e5-41001b47dba8/language-en,</w:t>
        </w:r>
      </w:hyperlink>
      <w:r w:rsidRPr="00E1610D">
        <w:rPr>
          <w:sz w:val="24"/>
          <w:lang w:val="en-GB"/>
        </w:rPr>
        <w:t xml:space="preserve"> s. 23–24: Vuosina 1990–2008 unioniin tuotiin kasvi- ja eläintuotteita, jotka aiheuttivat epäsuorasti metsäkatoa 90 000 neliökilometrin edestä. </w:t>
      </w:r>
      <w:r w:rsidRPr="007D3058">
        <w:rPr>
          <w:sz w:val="24"/>
          <w:lang w:val="fi-FI"/>
        </w:rPr>
        <w:t xml:space="preserve">Kasvituotteiden osuus oli 74 000 neliökilometriä (82 prosenttia) tästä määrästä, josta öljykasvien osuus oli suurin (52 000 neliökilometriä). Soijapapujen ja soijakakkujen osuus tästä oli 82 prosenttia (42 600 neliökilometriä), mikä vastaa </w:t>
      </w:r>
      <w:proofErr w:type="gramStart"/>
      <w:r w:rsidRPr="007D3058">
        <w:rPr>
          <w:sz w:val="24"/>
          <w:lang w:val="fi-FI"/>
        </w:rPr>
        <w:t>47:ää</w:t>
      </w:r>
      <w:proofErr w:type="gramEnd"/>
      <w:r w:rsidRPr="007D3058">
        <w:rPr>
          <w:sz w:val="24"/>
          <w:lang w:val="fi-FI"/>
        </w:rPr>
        <w:t xml:space="preserve"> prosenttia unionin koko tuonnin epäsuorasti aiheuttamasta metsäkadosta.</w:t>
      </w:r>
    </w:p>
  </w:footnote>
  <w:footnote w:id="27">
    <w:p w:rsidR="00BA06C9" w:rsidRPr="007D3058" w:rsidRDefault="00BA06C9" w:rsidP="007D3058">
      <w:pPr>
        <w:pStyle w:val="FootnoteText"/>
        <w:ind w:left="567" w:hanging="567"/>
        <w:rPr>
          <w:sz w:val="24"/>
          <w:lang w:val="fi-FI"/>
        </w:rPr>
      </w:pPr>
      <w:r w:rsidRPr="007D3058">
        <w:rPr>
          <w:rStyle w:val="FootnoteReference"/>
          <w:sz w:val="24"/>
          <w:lang w:val="fi-FI"/>
        </w:rPr>
        <w:footnoteRef/>
      </w:r>
      <w:r w:rsidR="007D3058" w:rsidRPr="007D3058">
        <w:rPr>
          <w:sz w:val="24"/>
          <w:lang w:val="fi-FI"/>
        </w:rPr>
        <w:t xml:space="preserve"> </w:t>
      </w:r>
      <w:r w:rsidR="007D3058" w:rsidRPr="007D3058">
        <w:rPr>
          <w:sz w:val="24"/>
          <w:lang w:val="fi-FI"/>
        </w:rPr>
        <w:tab/>
      </w:r>
      <w:hyperlink r:id="rId37" w:history="1">
        <w:r w:rsidRPr="007D3058">
          <w:rPr>
            <w:rStyle w:val="Hyperlink"/>
            <w:sz w:val="24"/>
            <w:lang w:val="fi-FI"/>
          </w:rPr>
          <w:t>https://commission.europa.eu/document/2c64e540-c07a-4376-a1da-368d289f4afe_en</w:t>
        </w:r>
      </w:hyperlink>
      <w:r w:rsidRPr="007D3058">
        <w:rPr>
          <w:sz w:val="24"/>
          <w:lang w:val="fi-FI"/>
        </w:rPr>
        <w:t>.</w:t>
      </w:r>
    </w:p>
  </w:footnote>
  <w:footnote w:id="28">
    <w:p w:rsidR="00BA06C9" w:rsidRPr="007D3058" w:rsidRDefault="00BA06C9" w:rsidP="007D3058">
      <w:pPr>
        <w:pStyle w:val="FootnoteText"/>
        <w:ind w:left="567" w:hanging="567"/>
        <w:rPr>
          <w:sz w:val="24"/>
          <w:lang w:val="fi-FI"/>
        </w:rPr>
      </w:pPr>
      <w:r w:rsidRPr="007D3058">
        <w:rPr>
          <w:rStyle w:val="FootnoteReference"/>
          <w:sz w:val="24"/>
          <w:lang w:val="fi-FI"/>
        </w:rPr>
        <w:footnoteRef/>
      </w:r>
      <w:r w:rsidR="007D3058" w:rsidRPr="007D3058">
        <w:rPr>
          <w:sz w:val="24"/>
          <w:lang w:val="fi-FI"/>
        </w:rPr>
        <w:t xml:space="preserve"> </w:t>
      </w:r>
      <w:r w:rsidR="007D3058" w:rsidRPr="007D3058">
        <w:rPr>
          <w:sz w:val="24"/>
          <w:lang w:val="fi-FI"/>
        </w:rPr>
        <w:tab/>
      </w:r>
      <w:r w:rsidRPr="007D3058">
        <w:rPr>
          <w:sz w:val="24"/>
          <w:lang w:val="fi-FI"/>
        </w:rPr>
        <w:t xml:space="preserve">Asetuksen (EU) </w:t>
      </w:r>
      <w:proofErr w:type="gramStart"/>
      <w:r w:rsidRPr="007D3058">
        <w:rPr>
          <w:sz w:val="24"/>
          <w:lang w:val="fi-FI"/>
        </w:rPr>
        <w:t>N:o</w:t>
      </w:r>
      <w:proofErr w:type="gramEnd"/>
      <w:r w:rsidRPr="007D3058">
        <w:rPr>
          <w:sz w:val="24"/>
          <w:lang w:val="fi-FI"/>
        </w:rPr>
        <w:t> 182/2011 6 artiklan 3 kohdan mukaisesti komissio ”voi hyväksyä” luvan – eikä ”hyväksyy” luvan –, jos jäsenvaltiot eivät muutoksenhakukomiteassa anna määräenemmistöllä puoltavaa lausuntoa.</w:t>
      </w:r>
    </w:p>
  </w:footnote>
  <w:footnote w:id="29">
    <w:p w:rsidR="00BA06C9" w:rsidRPr="007D3058" w:rsidRDefault="00BA06C9" w:rsidP="007D3058">
      <w:pPr>
        <w:pStyle w:val="FootnoteText"/>
        <w:ind w:left="567" w:hanging="567"/>
        <w:rPr>
          <w:sz w:val="24"/>
          <w:lang w:val="fi-FI"/>
        </w:rPr>
      </w:pPr>
      <w:r w:rsidRPr="007D3058">
        <w:rPr>
          <w:rStyle w:val="FootnoteReference"/>
          <w:sz w:val="24"/>
          <w:lang w:val="fi-FI"/>
        </w:rPr>
        <w:footnoteRef/>
      </w:r>
      <w:r w:rsidR="007D3058" w:rsidRPr="007D3058">
        <w:rPr>
          <w:sz w:val="24"/>
          <w:lang w:val="fi-FI"/>
        </w:rPr>
        <w:t xml:space="preserve"> </w:t>
      </w:r>
      <w:r w:rsidR="007D3058" w:rsidRPr="007D3058">
        <w:rPr>
          <w:sz w:val="24"/>
          <w:lang w:val="fi-FI"/>
        </w:rPr>
        <w:tab/>
      </w:r>
      <w:r w:rsidRPr="007D3058">
        <w:rPr>
          <w:sz w:val="24"/>
          <w:lang w:val="fi-FI"/>
        </w:rPr>
        <w:t>Euroopan parlamentin ja neuvoston asetus (EY) N:o 178/2002, annettu 28. tammikuuta 2002, elintarvikelainsäädäntöä koskevista yleisistä periaatteista ja vaatimuksista, Euroopan elintarviketurvallisuusviranomaisen perustamisesta sekä elintarvikkeiden turvallisuuteen liittyvistä menettelyistä (EYVL L 31, 1.2.2002, s. 1, ELI:</w:t>
      </w:r>
      <w:r w:rsidRPr="007D3058">
        <w:rPr>
          <w:color w:val="000000" w:themeColor="text1"/>
          <w:sz w:val="24"/>
          <w:lang w:val="fi-FI"/>
        </w:rPr>
        <w:t> </w:t>
      </w:r>
      <w:hyperlink r:id="rId38" w:tgtFrame="Gives access to this document through its ELI URI." w:history="1">
        <w:r w:rsidRPr="007D3058">
          <w:rPr>
            <w:rStyle w:val="Hyperlink"/>
            <w:color w:val="0070C0"/>
            <w:sz w:val="24"/>
            <w:lang w:val="fi-FI"/>
          </w:rPr>
          <w:t>http://data.europa.eu/eli/reg/2002/178/oj</w:t>
        </w:r>
      </w:hyperlink>
      <w:r w:rsidRPr="007D3058">
        <w:rPr>
          <w:sz w:val="24"/>
          <w:lang w:val="fi-FI"/>
        </w:rPr>
        <w:t>).</w:t>
      </w:r>
    </w:p>
  </w:footnote>
  <w:footnote w:id="30">
    <w:p w:rsidR="00BA06C9" w:rsidRPr="00E1610D" w:rsidRDefault="00BA06C9" w:rsidP="007D3058">
      <w:pPr>
        <w:pStyle w:val="FootnoteText"/>
        <w:ind w:left="567" w:hanging="567"/>
        <w:rPr>
          <w:sz w:val="24"/>
        </w:rPr>
      </w:pPr>
      <w:r w:rsidRPr="007D3058">
        <w:rPr>
          <w:rStyle w:val="FootnoteReference"/>
          <w:sz w:val="24"/>
          <w:lang w:val="fi-FI"/>
        </w:rPr>
        <w:footnoteRef/>
      </w:r>
      <w:r w:rsidR="007D3058" w:rsidRPr="007D3058">
        <w:rPr>
          <w:sz w:val="24"/>
          <w:lang w:val="fi-FI"/>
        </w:rPr>
        <w:t xml:space="preserve"> </w:t>
      </w:r>
      <w:r w:rsidR="007D3058" w:rsidRPr="007D3058">
        <w:rPr>
          <w:sz w:val="24"/>
          <w:lang w:val="fi-FI"/>
        </w:rPr>
        <w:tab/>
      </w:r>
      <w:r w:rsidRPr="007D3058">
        <w:rPr>
          <w:sz w:val="24"/>
          <w:lang w:val="fi-FI"/>
        </w:rPr>
        <w:t xml:space="preserve">Joulukuussa 2022 pidetyssä biologista monimuotoisuutta koskevan Yhdistyneiden kansakuntien yleissopimuksen sopimuspuolten 15. konferenssissa hyväksyttiin maailmanlaajuinen </w:t>
      </w:r>
      <w:proofErr w:type="spellStart"/>
      <w:r w:rsidRPr="007D3058">
        <w:rPr>
          <w:sz w:val="24"/>
          <w:lang w:val="fi-FI"/>
        </w:rPr>
        <w:t>biodiversiteettikehys</w:t>
      </w:r>
      <w:proofErr w:type="spellEnd"/>
      <w:r w:rsidRPr="007D3058">
        <w:rPr>
          <w:sz w:val="24"/>
          <w:lang w:val="fi-FI"/>
        </w:rPr>
        <w:t xml:space="preserve">, joka sisältää maailmanlaajuisen tavoitteen vähentää torjunta-aineista aiheutuvia riskejä vähintään 50 prosentilla vuoteen 2030 mennessä (ks. </w:t>
      </w:r>
      <w:hyperlink r:id="rId39" w:history="1">
        <w:r w:rsidRPr="00E1610D">
          <w:rPr>
            <w:rStyle w:val="Hyperlink"/>
            <w:sz w:val="24"/>
          </w:rPr>
          <w:t>https://ec.europa.eu/commission/presscorner/detail/fi/ip_22_7834</w:t>
        </w:r>
      </w:hyperlink>
      <w:r w:rsidRPr="00E1610D">
        <w:rPr>
          <w:sz w:val="24"/>
        </w:rPr>
        <w:t>).</w:t>
      </w:r>
    </w:p>
  </w:footnote>
  <w:footnote w:id="31">
    <w:p w:rsidR="00BA06C9" w:rsidRPr="00E1610D" w:rsidRDefault="00BA06C9" w:rsidP="007D3058">
      <w:pPr>
        <w:pStyle w:val="FootnoteText"/>
        <w:ind w:left="567" w:hanging="567"/>
        <w:rPr>
          <w:sz w:val="24"/>
        </w:rPr>
      </w:pPr>
      <w:r w:rsidRPr="007D3058">
        <w:rPr>
          <w:rStyle w:val="FootnoteReference"/>
          <w:sz w:val="24"/>
          <w:lang w:val="fi-FI"/>
        </w:rPr>
        <w:footnoteRef/>
      </w:r>
      <w:r w:rsidR="007D3058" w:rsidRPr="00E1610D">
        <w:rPr>
          <w:sz w:val="24"/>
        </w:rPr>
        <w:t xml:space="preserve"> </w:t>
      </w:r>
      <w:r w:rsidR="007D3058" w:rsidRPr="00E1610D">
        <w:rPr>
          <w:sz w:val="24"/>
        </w:rPr>
        <w:tab/>
      </w:r>
      <w:hyperlink r:id="rId40" w:history="1">
        <w:r w:rsidRPr="00E1610D">
          <w:rPr>
            <w:rStyle w:val="Hyperlink"/>
            <w:sz w:val="24"/>
          </w:rPr>
          <w:t>https://tillymetz.lu/wp-content/uploads/2020/09/Co-signed-letter-MEP-Metz.pdf</w:t>
        </w:r>
      </w:hyperlink>
      <w:r w:rsidRPr="00E1610D">
        <w:rPr>
          <w:rStyle w:val="Hyperlink"/>
          <w:sz w:val="24"/>
        </w:rPr>
        <w:t>.</w:t>
      </w:r>
    </w:p>
  </w:footnote>
  <w:footnote w:id="32">
    <w:p w:rsidR="00BA06C9" w:rsidRPr="007D3058" w:rsidRDefault="00BA06C9" w:rsidP="007D3058">
      <w:pPr>
        <w:pStyle w:val="FootnoteText"/>
        <w:ind w:left="567" w:hanging="567"/>
        <w:rPr>
          <w:sz w:val="24"/>
          <w:lang w:val="fi-FI"/>
        </w:rPr>
      </w:pPr>
      <w:r w:rsidRPr="007D3058">
        <w:rPr>
          <w:rStyle w:val="FootnoteReference"/>
          <w:sz w:val="24"/>
          <w:lang w:val="fi-FI"/>
        </w:rPr>
        <w:footnoteRef/>
      </w:r>
      <w:r w:rsidR="007D3058" w:rsidRPr="007D3058">
        <w:rPr>
          <w:sz w:val="24"/>
          <w:lang w:val="fi-FI"/>
        </w:rPr>
        <w:t xml:space="preserve"> </w:t>
      </w:r>
      <w:r w:rsidR="007D3058" w:rsidRPr="007D3058">
        <w:rPr>
          <w:sz w:val="24"/>
          <w:lang w:val="fi-FI"/>
        </w:rPr>
        <w:tab/>
      </w:r>
      <w:r w:rsidRPr="007D3058">
        <w:rPr>
          <w:sz w:val="24"/>
          <w:lang w:val="fi-FI"/>
        </w:rPr>
        <w:t>Euroopan parlamentin päätöslauselma, annettu 15. tammikuuta 2020, Euroopan vihreän kehityksen ohjelmasta (EUVL C 270, 7.7.2021, s. 2), 102 kohta.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44/2025"/>
    <w:docVar w:name="dvlangue" w:val="FI"/>
    <w:docVar w:name="dvnumam" w:val="0"/>
    <w:docVar w:name="dvpe" w:val="772.013"/>
    <w:docVar w:name="dvtitre" w:val="Euroopan parlamentin päätöslauselma 8. toukokuuta 2025 ehdotuksesta komission täytäntöönpanopäätökseksi muuntogeenistä soijaa MON 87705 × MON 87708 × MON 89788 sisältävien, siitä koostuvien tai siitä valmistettujen tuotteiden markkinoille saattamisen sallimisesta Euroopan parlamentin ja neuvoston asetuksen (EY) N:o 1829/2003 mukaisesti(D105678/01 – 2025/2647(RSP))"/>
  </w:docVars>
  <w:rsids>
    <w:rsidRoot w:val="00EE619E"/>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D3058"/>
    <w:rsid w:val="007E22AD"/>
    <w:rsid w:val="00817416"/>
    <w:rsid w:val="00842779"/>
    <w:rsid w:val="00865F67"/>
    <w:rsid w:val="00881A7B"/>
    <w:rsid w:val="008840E5"/>
    <w:rsid w:val="00887B3E"/>
    <w:rsid w:val="008C2AC6"/>
    <w:rsid w:val="00930C23"/>
    <w:rsid w:val="0093193B"/>
    <w:rsid w:val="009509D8"/>
    <w:rsid w:val="00950B64"/>
    <w:rsid w:val="00981893"/>
    <w:rsid w:val="009E5A5A"/>
    <w:rsid w:val="00A1687D"/>
    <w:rsid w:val="00A43E52"/>
    <w:rsid w:val="00A4678D"/>
    <w:rsid w:val="00A778C7"/>
    <w:rsid w:val="00AB441E"/>
    <w:rsid w:val="00AB6293"/>
    <w:rsid w:val="00AE0928"/>
    <w:rsid w:val="00AF3B82"/>
    <w:rsid w:val="00B12E95"/>
    <w:rsid w:val="00B22876"/>
    <w:rsid w:val="00B24BE9"/>
    <w:rsid w:val="00B558F0"/>
    <w:rsid w:val="00BA06C9"/>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E470E"/>
    <w:rsid w:val="00E1610D"/>
    <w:rsid w:val="00E365E1"/>
    <w:rsid w:val="00E820A4"/>
    <w:rsid w:val="00EB006A"/>
    <w:rsid w:val="00EB4772"/>
    <w:rsid w:val="00ED169E"/>
    <w:rsid w:val="00ED4235"/>
    <w:rsid w:val="00EE619E"/>
    <w:rsid w:val="00F04346"/>
    <w:rsid w:val="00F075DC"/>
    <w:rsid w:val="00F149E9"/>
    <w:rsid w:val="00F5134D"/>
    <w:rsid w:val="00F70C63"/>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71B60D9-5B47-4994-A447-4B12B03C5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A06C9"/>
    <w:pPr>
      <w:spacing w:before="480" w:after="240"/>
    </w:pPr>
  </w:style>
  <w:style w:type="paragraph" w:customStyle="1" w:styleId="NormalHanging12a">
    <w:name w:val="NormalHanging12a"/>
    <w:basedOn w:val="Normal"/>
    <w:qFormat/>
    <w:rsid w:val="00BA06C9"/>
    <w:pPr>
      <w:spacing w:after="240"/>
      <w:ind w:left="567" w:hanging="567"/>
    </w:pPr>
  </w:style>
  <w:style w:type="character" w:styleId="Hyperlink">
    <w:name w:val="Hyperlink"/>
    <w:basedOn w:val="DefaultParagraphFont"/>
    <w:uiPriority w:val="99"/>
    <w:rsid w:val="00BA06C9"/>
    <w:rPr>
      <w:color w:val="0563C1" w:themeColor="hyperlink"/>
      <w:u w:val="single"/>
    </w:rPr>
  </w:style>
  <w:style w:type="paragraph" w:styleId="NoSpacing">
    <w:name w:val="No Spacing"/>
    <w:basedOn w:val="Normal"/>
    <w:uiPriority w:val="1"/>
    <w:qFormat/>
    <w:rsid w:val="00BA06C9"/>
    <w:pPr>
      <w:widowControl/>
      <w:jc w:val="both"/>
    </w:pPr>
    <w:rPr>
      <w:rFonts w:eastAsiaTheme="minorHAnsi"/>
      <w:szCs w:val="32"/>
      <w:lang w:eastAsia="en-US"/>
    </w:rPr>
  </w:style>
  <w:style w:type="paragraph" w:styleId="Footer">
    <w:name w:val="footer"/>
    <w:basedOn w:val="Normal"/>
    <w:link w:val="FooterChar"/>
    <w:rsid w:val="009E5A5A"/>
    <w:pPr>
      <w:tabs>
        <w:tab w:val="center" w:pos="4513"/>
        <w:tab w:val="right" w:pos="9026"/>
      </w:tabs>
    </w:pPr>
  </w:style>
  <w:style w:type="character" w:customStyle="1" w:styleId="FooterChar">
    <w:name w:val="Footer Char"/>
    <w:basedOn w:val="DefaultParagraphFont"/>
    <w:link w:val="Footer"/>
    <w:rsid w:val="009E5A5A"/>
    <w:rPr>
      <w:sz w:val="24"/>
      <w:lang w:val="fi-FI"/>
    </w:rPr>
  </w:style>
  <w:style w:type="paragraph" w:styleId="BalloonText">
    <w:name w:val="Balloon Text"/>
    <w:basedOn w:val="Normal"/>
    <w:link w:val="BalloonTextChar"/>
    <w:rsid w:val="00B24BE9"/>
    <w:rPr>
      <w:rFonts w:ascii="Segoe UI" w:hAnsi="Segoe UI" w:cs="Segoe UI"/>
      <w:sz w:val="18"/>
      <w:szCs w:val="18"/>
    </w:rPr>
  </w:style>
  <w:style w:type="character" w:customStyle="1" w:styleId="BalloonTextChar">
    <w:name w:val="Balloon Text Char"/>
    <w:basedOn w:val="DefaultParagraphFont"/>
    <w:link w:val="BalloonText"/>
    <w:rsid w:val="00B24BE9"/>
    <w:rPr>
      <w:rFonts w:ascii="Segoe UI" w:hAnsi="Segoe UI" w:cs="Segoe UI"/>
      <w:sz w:val="18"/>
      <w:szCs w:val="18"/>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reg_impl/2013/503/oj" TargetMode="External"/><Relationship Id="rId18" Type="http://schemas.openxmlformats.org/officeDocument/2006/relationships/hyperlink" Target="https://www.sciencedirect.com/science/article/pii/S1383574218300887" TargetMode="External"/><Relationship Id="rId26" Type="http://schemas.openxmlformats.org/officeDocument/2006/relationships/hyperlink" Target="https://www.ohchr.org/en/documents/thematic-reports/ahrc3448-report-special-rapporteur-right-food" TargetMode="External"/><Relationship Id="rId39" Type="http://schemas.openxmlformats.org/officeDocument/2006/relationships/hyperlink" Target="https://ec.europa.eu/commission/presscorner/detail/fi/ip_22_7834" TargetMode="External"/><Relationship Id="rId3" Type="http://schemas.openxmlformats.org/officeDocument/2006/relationships/hyperlink" Target="https://doi.org/10.2903/j.efsa.2020.6111" TargetMode="External"/><Relationship Id="rId21" Type="http://schemas.openxmlformats.org/officeDocument/2006/relationships/hyperlink" Target="https://www.ncbi.nlm.nih.gov/pmc/articles/PMC6612199/" TargetMode="External"/><Relationship Id="rId34" Type="http://schemas.openxmlformats.org/officeDocument/2006/relationships/hyperlink" Target="https://eur-lex.europa.eu/legal-content/FI/TXT/?uri=CELEX:52020DC0380&amp;qid=1744014455633" TargetMode="External"/><Relationship Id="rId7" Type="http://schemas.openxmlformats.org/officeDocument/2006/relationships/hyperlink" Target="http://data.europa.eu/eli/C/2025/1800/oj" TargetMode="External"/><Relationship Id="rId12" Type="http://schemas.openxmlformats.org/officeDocument/2006/relationships/hyperlink" Target="https://doi.org/10.2903/j.efsa.2024.9061" TargetMode="External"/><Relationship Id="rId17" Type="http://schemas.openxmlformats.org/officeDocument/2006/relationships/hyperlink" Target="https://hh-ra.org/projects/measuring-pesticide-use/interactive-herbicide-use-tables/" TargetMode="External"/><Relationship Id="rId25" Type="http://schemas.openxmlformats.org/officeDocument/2006/relationships/hyperlink" Target="https://agriculture.ec.europa.eu/document/download/171329ff-0f50-4fa5-946f-aea11032172e_en?filename=strategic-dialogue-report-2024_en.pdf" TargetMode="External"/><Relationship Id="rId33" Type="http://schemas.openxmlformats.org/officeDocument/2006/relationships/hyperlink" Target="https://eur-lex.europa.eu/legal-content/FI/TXT/HTML/?uri=CELEX:52019DC0352&amp;from=EN" TargetMode="External"/><Relationship Id="rId38" Type="http://schemas.openxmlformats.org/officeDocument/2006/relationships/hyperlink" Target="http://data.europa.eu/eli/reg/2002/178/oj" TargetMode="External"/><Relationship Id="rId2" Type="http://schemas.openxmlformats.org/officeDocument/2006/relationships/hyperlink" Target="http://data.europa.eu/eli/reg/2011/182/oj" TargetMode="External"/><Relationship Id="rId16" Type="http://schemas.openxmlformats.org/officeDocument/2006/relationships/hyperlink" Target="https://academic.oup.com/ije/advance-article-abstract/doi/10.1093/ije/dyaa066/5827818?redirectedFrom=fulltext" TargetMode="External"/><Relationship Id="rId20" Type="http://schemas.openxmlformats.org/officeDocument/2006/relationships/hyperlink" Target="https://journals.plos.org/plosone/article?id=10.1371/journal.pone.0219610" TargetMode="External"/><Relationship Id="rId29" Type="http://schemas.openxmlformats.org/officeDocument/2006/relationships/hyperlink" Target="https://ec.europa.eu/commission/presscorner/detail/fi/ip_22_7834"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efsa.onlinelibrary.wiley.com/doi/abs/10.2903/j.efsa.2018.5263" TargetMode="External"/><Relationship Id="rId32" Type="http://schemas.openxmlformats.org/officeDocument/2006/relationships/hyperlink" Target="https://eur-lex.europa.eu/legal-content/FI/TXT/?uri=CELEX:52019DC0352&amp;qid=1743764921930" TargetMode="External"/><Relationship Id="rId37" Type="http://schemas.openxmlformats.org/officeDocument/2006/relationships/hyperlink" Target="https://commission.europa.eu/document/2c64e540-c07a-4376-a1da-368d289f4afe_en" TargetMode="External"/><Relationship Id="rId40" Type="http://schemas.openxmlformats.org/officeDocument/2006/relationships/hyperlink" Target="https://tillymetz.lu/wp-content/uploads/2020/09/Co-signed-letter-MEP-Metz.pdf" TargetMode="External"/><Relationship Id="rId5" Type="http://schemas.openxmlformats.org/officeDocument/2006/relationships/hyperlink" Target="http://data.europa.eu/eli/C/2025/1798/oj" TargetMode="External"/><Relationship Id="rId15" Type="http://schemas.openxmlformats.org/officeDocument/2006/relationships/hyperlink" Target="https://enveurope.springeropen.com/articles/10.1186/2190-4715-24-24" TargetMode="External"/><Relationship Id="rId23" Type="http://schemas.openxmlformats.org/officeDocument/2006/relationships/hyperlink" Target="https://www.testbiotech.org/en/resource/high-levels-residues-spraying-glyphosate-found-soybeans-argentina/" TargetMode="External"/><Relationship Id="rId28" Type="http://schemas.openxmlformats.org/officeDocument/2006/relationships/hyperlink" Target="https://ec.europa.eu/commission/presscorner/detail/fi/ip_22_7834" TargetMode="External"/><Relationship Id="rId36" Type="http://schemas.openxmlformats.org/officeDocument/2006/relationships/hyperlink" Target="https://op.europa.eu/en/publication-detail/-/publication/c1d3ef3e-d07e-4229-91e5-41001b47dba8/language-en" TargetMode="External"/><Relationship Id="rId10" Type="http://schemas.openxmlformats.org/officeDocument/2006/relationships/hyperlink" Target="http://data.europa.eu/eli/C/2025/1803/oj" TargetMode="External"/><Relationship Id="rId19" Type="http://schemas.openxmlformats.org/officeDocument/2006/relationships/hyperlink" Target="https://academic.oup.com/ije/advance-article/doi/10.1093/ije/dyz017/5382278" TargetMode="External"/><Relationship Id="rId31" Type="http://schemas.openxmlformats.org/officeDocument/2006/relationships/hyperlink" Target="https://www.un.org/sustainabledevelopment/biodiversity/"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s://www.ncbi.nlm.nih.gov/pubmed/26296738" TargetMode="External"/><Relationship Id="rId22" Type="http://schemas.openxmlformats.org/officeDocument/2006/relationships/hyperlink" Target="https://www.ncbi.nlm.nih.gov/pubmed/24491722" TargetMode="External"/><Relationship Id="rId27" Type="http://schemas.openxmlformats.org/officeDocument/2006/relationships/hyperlink" Target="https://indicators.report/targets/3-9/" TargetMode="External"/><Relationship Id="rId30" Type="http://schemas.openxmlformats.org/officeDocument/2006/relationships/hyperlink" Target="https://eur-lex.europa.eu/legal-content/FI/TXT/?uri=CELEX:52019DC0352&amp;qid=1743760403889" TargetMode="External"/><Relationship Id="rId35" Type="http://schemas.openxmlformats.org/officeDocument/2006/relationships/hyperlink" Target="http://www.isaaa.org/resources/publications/briefs/53/download/isaaa-brief-53-201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258C6B-7CFB-4C6B-9A41-2D4789B731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2054</Words>
  <Characters>17055</Characters>
  <Application>Microsoft Office Word</Application>
  <DocSecurity>0</DocSecurity>
  <Lines>142</Lines>
  <Paragraphs>38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Anne Kristiina VUORIHUHTA</cp:lastModifiedBy>
  <cp:revision>2</cp:revision>
  <cp:lastPrinted>2004-11-19T15:42:00Z</cp:lastPrinted>
  <dcterms:created xsi:type="dcterms:W3CDTF">2025-05-08T13:36:00Z</dcterms:created>
  <dcterms:modified xsi:type="dcterms:W3CDTF">2025-05-08T13:36:00Z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B10-0244/2025</vt:lpwstr>
  </property>
  <property fmtid="{D5CDD505-2E9C-101B-9397-08002B2CF9AE}" pid="4" name="&lt;Type&gt;">
    <vt:lpwstr>RR</vt:lpwstr>
  </property>
</Properties>
</file>