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11CA" w:rsidTr="0010095E">
        <w:trPr>
          <w:trHeight w:hRule="exact" w:val="1418"/>
        </w:trPr>
        <w:tc>
          <w:tcPr>
            <w:tcW w:w="6804" w:type="dxa"/>
            <w:shd w:val="clear" w:color="auto" w:fill="auto"/>
            <w:vAlign w:val="center"/>
          </w:tcPr>
          <w:p w:rsidR="00751A4A" w:rsidRPr="003811CA" w:rsidRDefault="00C07EEE" w:rsidP="0010095E">
            <w:pPr>
              <w:pStyle w:val="EPName"/>
            </w:pPr>
            <w:bookmarkStart w:id="0" w:name="_GoBack"/>
            <w:bookmarkEnd w:id="0"/>
            <w:r w:rsidRPr="003811CA">
              <w:t>Europski parlament</w:t>
            </w:r>
          </w:p>
          <w:p w:rsidR="00751A4A" w:rsidRPr="003811CA" w:rsidRDefault="005F1B17" w:rsidP="005F1B17">
            <w:pPr>
              <w:pStyle w:val="EPTerm"/>
              <w:rPr>
                <w:rStyle w:val="HideTWBExt"/>
                <w:noProof w:val="0"/>
                <w:vanish w:val="0"/>
                <w:color w:val="auto"/>
              </w:rPr>
            </w:pPr>
            <w:r w:rsidRPr="003811CA">
              <w:t>2024</w:t>
            </w:r>
            <w:r w:rsidR="00817416" w:rsidRPr="003811CA">
              <w:t>-202</w:t>
            </w:r>
            <w:r w:rsidRPr="003811CA">
              <w:t>9</w:t>
            </w:r>
          </w:p>
        </w:tc>
        <w:tc>
          <w:tcPr>
            <w:tcW w:w="2268" w:type="dxa"/>
            <w:shd w:val="clear" w:color="auto" w:fill="auto"/>
          </w:tcPr>
          <w:p w:rsidR="00751A4A" w:rsidRPr="003811CA" w:rsidRDefault="00187494" w:rsidP="0010095E">
            <w:pPr>
              <w:pStyle w:val="EPLogo"/>
            </w:pPr>
            <w:r w:rsidRPr="003811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11CA" w:rsidRDefault="00D058B8" w:rsidP="004C5D52">
      <w:pPr>
        <w:pStyle w:val="LineTop"/>
      </w:pPr>
    </w:p>
    <w:p w:rsidR="00680577" w:rsidRPr="003811CA" w:rsidRDefault="00C07EEE" w:rsidP="00680577">
      <w:pPr>
        <w:pStyle w:val="EPBodyTA1"/>
      </w:pPr>
      <w:r w:rsidRPr="003811CA">
        <w:t>USVOJENI TEKSTOVI</w:t>
      </w:r>
    </w:p>
    <w:p w:rsidR="00D058B8" w:rsidRPr="003811CA" w:rsidRDefault="00D058B8" w:rsidP="00D058B8">
      <w:pPr>
        <w:pStyle w:val="LineBottom"/>
      </w:pPr>
    </w:p>
    <w:p w:rsidR="00C07EEE" w:rsidRPr="003811CA" w:rsidRDefault="00C07EEE" w:rsidP="00C07EEE">
      <w:pPr>
        <w:pStyle w:val="ATHeading1"/>
      </w:pPr>
      <w:bookmarkStart w:id="1" w:name="TANumber"/>
      <w:r w:rsidRPr="003811CA">
        <w:t>P10_TA(2025)0</w:t>
      </w:r>
      <w:bookmarkEnd w:id="1"/>
      <w:r w:rsidR="003811CA" w:rsidRPr="003811CA">
        <w:t>106</w:t>
      </w:r>
    </w:p>
    <w:p w:rsidR="00C07EEE" w:rsidRPr="003811CA" w:rsidRDefault="006B2B8E" w:rsidP="00C07EEE">
      <w:pPr>
        <w:pStyle w:val="ATHeading2"/>
      </w:pPr>
      <w:bookmarkStart w:id="2" w:name="title"/>
      <w:r w:rsidRPr="003811CA">
        <w:t>Genetski modificirana soja</w:t>
      </w:r>
      <w:r w:rsidR="00C07EEE" w:rsidRPr="003811CA">
        <w:t xml:space="preserve"> MON 87705 × MON 87708 × MON 89788</w:t>
      </w:r>
      <w:bookmarkEnd w:id="2"/>
    </w:p>
    <w:p w:rsidR="00C07EEE" w:rsidRPr="003811CA" w:rsidRDefault="00C07EEE" w:rsidP="00C07EEE">
      <w:pPr>
        <w:rPr>
          <w:i/>
          <w:vanish/>
        </w:rPr>
      </w:pPr>
      <w:r w:rsidRPr="003811CA">
        <w:rPr>
          <w:i/>
        </w:rPr>
        <w:fldChar w:fldCharType="begin"/>
      </w:r>
      <w:r w:rsidRPr="003811CA">
        <w:rPr>
          <w:i/>
        </w:rPr>
        <w:instrText xml:space="preserve"> TC"(</w:instrText>
      </w:r>
      <w:bookmarkStart w:id="3" w:name="DocNumber"/>
      <w:r w:rsidRPr="003811CA">
        <w:rPr>
          <w:i/>
        </w:rPr>
        <w:instrText>B10-0244/2025</w:instrText>
      </w:r>
      <w:bookmarkEnd w:id="3"/>
      <w:r w:rsidRPr="003811CA">
        <w:rPr>
          <w:i/>
        </w:rPr>
        <w:instrText xml:space="preserve">)"\l3 \n&gt; \* MERGEFORMAT </w:instrText>
      </w:r>
      <w:r w:rsidRPr="003811CA">
        <w:rPr>
          <w:i/>
        </w:rPr>
        <w:fldChar w:fldCharType="end"/>
      </w:r>
    </w:p>
    <w:p w:rsidR="00C07EEE" w:rsidRPr="003811CA" w:rsidRDefault="00C07EEE" w:rsidP="00C07EEE">
      <w:pPr>
        <w:rPr>
          <w:vanish/>
        </w:rPr>
      </w:pPr>
      <w:bookmarkStart w:id="4" w:name="PE"/>
      <w:r w:rsidRPr="003811CA">
        <w:rPr>
          <w:vanish/>
        </w:rPr>
        <w:t>PE772.013</w:t>
      </w:r>
      <w:bookmarkEnd w:id="4"/>
    </w:p>
    <w:p w:rsidR="00C07EEE" w:rsidRPr="003811CA" w:rsidRDefault="00C07EEE" w:rsidP="00C07EEE">
      <w:pPr>
        <w:pStyle w:val="ATHeading3"/>
      </w:pPr>
      <w:bookmarkStart w:id="5" w:name="Sujet"/>
      <w:r w:rsidRPr="003811CA">
        <w:t>Rezoluc</w:t>
      </w:r>
      <w:r w:rsidR="006B2B8E" w:rsidRPr="003811CA">
        <w:t>ija Europskog parlamenta od 8. svibnja</w:t>
      </w:r>
      <w:r w:rsidRPr="003811CA">
        <w:t xml:space="preserve"> 2025. o Nacrtu provedbene odluke Komisije o odobravanju stavljanja na tržište proizvoda koji sadržavaju genetski modificiranu soju MON 87705 × MON 87708 × MON 89788, sastoje se od nje ili su proizvedeni od nje, na temelju Uredbe (EZ) br. 1829/2003 Europskog parlamenta i Vijeća</w:t>
      </w:r>
      <w:bookmarkEnd w:id="5"/>
      <w:r w:rsidRPr="003811CA">
        <w:t xml:space="preserve"> </w:t>
      </w:r>
      <w:bookmarkStart w:id="6" w:name="References"/>
      <w:r w:rsidRPr="003811CA">
        <w:t>(D105678/0</w:t>
      </w:r>
      <w:r w:rsidR="006B2B8E" w:rsidRPr="003811CA">
        <w:t>3</w:t>
      </w:r>
      <w:r w:rsidRPr="003811CA">
        <w:t xml:space="preserve"> – 2025/2647(RSP))</w:t>
      </w:r>
      <w:bookmarkEnd w:id="6"/>
    </w:p>
    <w:p w:rsidR="00F630E9" w:rsidRPr="003811CA" w:rsidRDefault="00F630E9" w:rsidP="00F630E9">
      <w:pPr>
        <w:pStyle w:val="EPComma"/>
      </w:pPr>
      <w:bookmarkStart w:id="7" w:name="TextBodyBegin"/>
      <w:bookmarkEnd w:id="7"/>
      <w:r w:rsidRPr="003811CA">
        <w:rPr>
          <w:i/>
          <w:iCs/>
        </w:rPr>
        <w:t>Europski parlament</w:t>
      </w:r>
      <w:r w:rsidRPr="003811CA">
        <w:t>,</w:t>
      </w:r>
    </w:p>
    <w:p w:rsidR="00F630E9" w:rsidRPr="003811CA" w:rsidRDefault="00F630E9" w:rsidP="00F630E9">
      <w:pPr>
        <w:pStyle w:val="NormalHanging12a"/>
      </w:pPr>
      <w:r w:rsidRPr="003811CA">
        <w:t>–</w:t>
      </w:r>
      <w:r w:rsidRPr="003811CA">
        <w:tab/>
        <w:t>uzimajući u obzir Nacrt provedbene odluke Komisije o odobravanju stavljanja na tržište proizvoda koji sadržavaju genetski modificiranu soju MON 87705 × MON 87708 × MON 89788, sastoje se od nje ili su proizvedeni od nje, na temelju Uredbe (EZ) br. 1829/2003 Europskog parlamenta i Vijeća (D105678/03),</w:t>
      </w:r>
    </w:p>
    <w:p w:rsidR="00F630E9" w:rsidRPr="003811CA" w:rsidRDefault="00F630E9" w:rsidP="00F630E9">
      <w:pPr>
        <w:pStyle w:val="NormalHanging12a"/>
      </w:pPr>
      <w:r w:rsidRPr="003811CA">
        <w:t>–</w:t>
      </w:r>
      <w:r w:rsidRPr="003811CA">
        <w:tab/>
        <w:t>uzimajući u obzir Uredbu (EZ) br. 1829/2003 Europskog parlamenta i Vijeća od 22. rujna 2003. o genetski modificiranoj hrani i hrani za životinje</w:t>
      </w:r>
      <w:r w:rsidRPr="003811CA">
        <w:rPr>
          <w:rStyle w:val="FootnoteReference"/>
        </w:rPr>
        <w:footnoteReference w:id="1"/>
      </w:r>
      <w:r w:rsidRPr="003811CA">
        <w:t>, a posebno njezin članak 7. stavak 3. i članak 19. stavak 3.,</w:t>
      </w:r>
    </w:p>
    <w:p w:rsidR="00F630E9" w:rsidRPr="003811CA" w:rsidRDefault="00F630E9" w:rsidP="00F630E9">
      <w:pPr>
        <w:pStyle w:val="NormalHanging12a"/>
        <w:rPr>
          <w:szCs w:val="24"/>
        </w:rPr>
      </w:pPr>
      <w:r w:rsidRPr="003811CA">
        <w:t>–</w:t>
      </w:r>
      <w:r w:rsidRPr="003811CA">
        <w:tab/>
        <w:t xml:space="preserve">uzimajući u obzir </w:t>
      </w:r>
      <w:r w:rsidRPr="003811CA">
        <w:rPr>
          <w:shd w:val="clear" w:color="auto" w:fill="FFFFFF"/>
        </w:rPr>
        <w:t>glasovanje Stalnog odbora za bilje, životinje, hranu i hranu za životinje iz članka 35. Uredbe (EZ) br. 1829/2003 od 28. veljače 2025., koje nije dovelo do usvajanja mišljenja</w:t>
      </w:r>
      <w:r w:rsidRPr="003811CA">
        <w:t>,</w:t>
      </w:r>
    </w:p>
    <w:p w:rsidR="00F630E9" w:rsidRPr="003811CA" w:rsidRDefault="00F630E9" w:rsidP="00F630E9">
      <w:pPr>
        <w:pStyle w:val="NormalHanging12a"/>
      </w:pPr>
      <w:r w:rsidRPr="003811CA">
        <w:t>–</w:t>
      </w:r>
      <w:r w:rsidRPr="003811CA">
        <w:tab/>
        <w:t>uzimajući u obzir članak 11. Uredbe (EU) br. 182/2011 Europskog parlamenta i Vijeća od 16. veljače 2011. o utvrđivanju pravila i općih načela u vezi s mehanizmima nadzora država članica nad izvršavanjem provedbenih ovlasti Komisije</w:t>
      </w:r>
      <w:r w:rsidRPr="003811CA">
        <w:rPr>
          <w:rStyle w:val="FootnoteReference"/>
        </w:rPr>
        <w:footnoteReference w:id="2"/>
      </w:r>
      <w:r w:rsidRPr="003811CA">
        <w:t>,</w:t>
      </w:r>
    </w:p>
    <w:p w:rsidR="00F630E9" w:rsidRPr="003811CA" w:rsidRDefault="00F630E9" w:rsidP="00F630E9">
      <w:pPr>
        <w:pStyle w:val="NormalHanging12a"/>
      </w:pPr>
      <w:r w:rsidRPr="003811CA">
        <w:t>–</w:t>
      </w:r>
      <w:r w:rsidRPr="003811CA">
        <w:tab/>
        <w:t>uzimajući u obzir mišljenje Europske agencije za sigurnost hrane (EFSA) usvojeno 2. travnja 2020. i objavljeno 18. svibnja 2020.</w:t>
      </w:r>
      <w:r w:rsidRPr="003811CA">
        <w:rPr>
          <w:rStyle w:val="FootnoteReference"/>
        </w:rPr>
        <w:footnoteReference w:id="3"/>
      </w:r>
      <w:r w:rsidRPr="003811CA">
        <w:t>,</w:t>
      </w:r>
    </w:p>
    <w:p w:rsidR="00F630E9" w:rsidRPr="003811CA" w:rsidRDefault="00F630E9" w:rsidP="00F630E9">
      <w:pPr>
        <w:pStyle w:val="NormalHanging12a"/>
        <w:rPr>
          <w:szCs w:val="24"/>
        </w:rPr>
      </w:pPr>
      <w:r w:rsidRPr="003811CA">
        <w:rPr>
          <w:rFonts w:ascii="Symbol" w:hAnsi="Symbol"/>
        </w:rPr>
        <w:lastRenderedPageBreak/>
        <w:t></w:t>
      </w:r>
      <w:r w:rsidRPr="003811CA">
        <w:rPr>
          <w:rFonts w:ascii="Symbol" w:hAnsi="Symbol"/>
        </w:rPr>
        <w:tab/>
      </w:r>
      <w:r w:rsidRPr="003811CA">
        <w:rPr>
          <w:shd w:val="clear" w:color="auto" w:fill="FFFFFF"/>
        </w:rPr>
        <w:t>uzimajući u obzir svoje prethodne rezolucije u kojima se protivi odobravanju genetski modificiranih organizama</w:t>
      </w:r>
      <w:r w:rsidRPr="003811CA">
        <w:rPr>
          <w:rStyle w:val="FootnoteReference"/>
          <w:szCs w:val="24"/>
          <w:shd w:val="clear" w:color="auto" w:fill="FFFFFF"/>
        </w:rPr>
        <w:footnoteReference w:id="4"/>
      </w:r>
      <w:r w:rsidRPr="003811CA">
        <w:rPr>
          <w:shd w:val="clear" w:color="auto" w:fill="FFFFFF"/>
        </w:rPr>
        <w:t>,</w:t>
      </w:r>
    </w:p>
    <w:p w:rsidR="00F630E9" w:rsidRPr="003811CA" w:rsidRDefault="00F630E9" w:rsidP="00F630E9">
      <w:pPr>
        <w:pStyle w:val="NormalHanging12a"/>
      </w:pPr>
      <w:r w:rsidRPr="003811CA">
        <w:lastRenderedPageBreak/>
        <w:t>–</w:t>
      </w:r>
      <w:r w:rsidRPr="003811CA">
        <w:tab/>
        <w:t>uzimajući u obzir članak 115. stavke 2. i 3. Poslovnika,</w:t>
      </w:r>
    </w:p>
    <w:p w:rsidR="00F630E9" w:rsidRPr="003811CA" w:rsidRDefault="00F630E9" w:rsidP="00F630E9">
      <w:pPr>
        <w:pStyle w:val="NormalHanging12a"/>
      </w:pPr>
      <w:r w:rsidRPr="003811CA">
        <w:t>–</w:t>
      </w:r>
      <w:r w:rsidRPr="003811CA">
        <w:tab/>
        <w:t>uzimajući u obzir prijedlog rezolucije Odbora za okoliš, klimu i sigurnost hrane,</w:t>
      </w:r>
    </w:p>
    <w:p w:rsidR="00F630E9" w:rsidRPr="003811CA" w:rsidRDefault="00F630E9" w:rsidP="00F630E9">
      <w:pPr>
        <w:pStyle w:val="NormalHanging12a"/>
      </w:pPr>
      <w:r w:rsidRPr="003811CA">
        <w:t>A.</w:t>
      </w:r>
      <w:r w:rsidRPr="003811CA">
        <w:tab/>
        <w:t xml:space="preserve">u skladu s člancima 5. i 17. Uredbe (EZ) br. 1829/2003 društvo </w:t>
      </w:r>
      <w:proofErr w:type="spellStart"/>
      <w:r w:rsidRPr="003811CA">
        <w:t>Monsanto</w:t>
      </w:r>
      <w:proofErr w:type="spellEnd"/>
      <w:r w:rsidRPr="003811CA">
        <w:t xml:space="preserve"> Europe S.A./N.V. u ime društva </w:t>
      </w:r>
      <w:proofErr w:type="spellStart"/>
      <w:r w:rsidRPr="003811CA">
        <w:t>Monsanto</w:t>
      </w:r>
      <w:proofErr w:type="spellEnd"/>
      <w:r w:rsidRPr="003811CA">
        <w:t xml:space="preserve"> Company, sa sjedištem u Sjedinjenim Američkim Državama, podnijelo je 11. rujna 2015. nacionalnom nadležnom tijelu Nizozemske zahtjev za stavljanje na tržište hrane, sastojaka hrane i hrane za životinje koji sadržavaju genetski modificiranu soju </w:t>
      </w:r>
      <w:bookmarkStart w:id="8" w:name="_Hlk183685905"/>
      <w:r w:rsidRPr="003811CA">
        <w:t>MON 87705 × MON 87708 × MON 89788</w:t>
      </w:r>
      <w:bookmarkEnd w:id="8"/>
      <w:r w:rsidRPr="003811CA">
        <w:t>, sastoje se ili su proizvedeni od nje (u daljnjem tekstu „zahtjev”). Taj zahtjev obuhvaćao je i stavljanje na tržište proizvoda koji sadržavaju genetski modificiranu soju ili se sastoje od nje za druge namjene osim uporabe u hrani i hrani za životinje, no ne i za uzgoj;</w:t>
      </w:r>
    </w:p>
    <w:p w:rsidR="00F630E9" w:rsidRPr="003811CA" w:rsidRDefault="006B2B8E" w:rsidP="00F630E9">
      <w:pPr>
        <w:pStyle w:val="NormalHanging12a"/>
      </w:pPr>
      <w:r w:rsidRPr="003811CA">
        <w:t>B.</w:t>
      </w:r>
      <w:r w:rsidR="00F630E9" w:rsidRPr="003811CA">
        <w:tab/>
        <w:t>budući da je EFSA 2. travnja 2020. donijela pozitivno mišljenje o genetski modificiranoj soji, koje je objavljeno 18. svibnja 2020.; budući da je EFSA u svojemu mišljenju uzela u obzir sva pitanja i dvojbe država članica koji su izneseni u okviru savjetovanja s nacionalnim nadležnim tijelima, kako je predviđeno u članku 6. stavku 4. i članku 18. stavku 4. Uredbe (EZ) br. 1829/2003;</w:t>
      </w:r>
    </w:p>
    <w:p w:rsidR="00F630E9" w:rsidRPr="003811CA" w:rsidRDefault="00F630E9" w:rsidP="00F630E9">
      <w:pPr>
        <w:pStyle w:val="NormalHanging12a"/>
      </w:pPr>
      <w:r w:rsidRPr="003811CA">
        <w:t>C.</w:t>
      </w:r>
      <w:r w:rsidRPr="003811CA">
        <w:tab/>
        <w:t>budući da EFSA, međutim, nije mogla dovršiti procjenu rizika i donijeti zaključak o sigurnosti genetski modificirane soje zbog nepostojanja 90-dnevne studije o genetski modificiranoj soji i nepostojanja plana praćenja nakon stavljanja na tržište kojim bi se uzeo u obzir izmijenjeni profil masnih kiselina genetski modificirane soje;</w:t>
      </w:r>
    </w:p>
    <w:p w:rsidR="00F630E9" w:rsidRPr="003811CA" w:rsidRDefault="006B2B8E" w:rsidP="00F630E9">
      <w:pPr>
        <w:pStyle w:val="NormalHanging12a"/>
      </w:pPr>
      <w:r w:rsidRPr="003811CA">
        <w:t>D.</w:t>
      </w:r>
      <w:r w:rsidR="00F630E9" w:rsidRPr="003811CA">
        <w:tab/>
        <w:t>budući da je EFSA 3. listopada 2024. donijela izjavu (objavljena 28. listopada 2024.) kojom se na temelju dodatnih podataka koje je dostavio podnositelj zahtjeva</w:t>
      </w:r>
      <w:r w:rsidR="00F630E9" w:rsidRPr="003811CA">
        <w:rPr>
          <w:rStyle w:val="FootnoteReference"/>
        </w:rPr>
        <w:footnoteReference w:id="5"/>
      </w:r>
      <w:r w:rsidR="00F630E9" w:rsidRPr="003811CA">
        <w:t xml:space="preserve"> dopunjuje njezino znanstveno mišljenje od 2. travnja 2020., EFSA je zaključila da je genetski modificirana soja, kako je opisana u zahtjevu i kad je riječ o njezinim mogućim učincima na zdravlje ljudi i životinja te na okoliš, jednako sigurna kao njezina konvencionalna inačica i testirane referentne sorte soje koje nisu genetski modificirane. EFSA je također zaključila da konzumacija genetski modificirane </w:t>
      </w:r>
      <w:bookmarkStart w:id="9" w:name="_Hlk183443299"/>
      <w:r w:rsidR="00F630E9" w:rsidRPr="003811CA">
        <w:t>soje</w:t>
      </w:r>
      <w:bookmarkEnd w:id="9"/>
      <w:r w:rsidR="00F630E9" w:rsidRPr="003811CA">
        <w:t xml:space="preserve"> ne predstavlja problem s nutritivnog stajališta;</w:t>
      </w:r>
    </w:p>
    <w:p w:rsidR="00F630E9" w:rsidRPr="003811CA" w:rsidRDefault="00F630E9" w:rsidP="00F630E9">
      <w:pPr>
        <w:pStyle w:val="NormalHanging12a"/>
        <w:rPr>
          <w:color w:val="000000"/>
        </w:rPr>
      </w:pPr>
      <w:r w:rsidRPr="003811CA">
        <w:t>E.</w:t>
      </w:r>
      <w:r w:rsidRPr="003811CA">
        <w:tab/>
        <w:t xml:space="preserve">budući da je genetski modificirana soja modificirana kako bi bila otporna na </w:t>
      </w:r>
      <w:proofErr w:type="spellStart"/>
      <w:r w:rsidRPr="003811CA">
        <w:t>dikambu</w:t>
      </w:r>
      <w:proofErr w:type="spellEnd"/>
      <w:r w:rsidRPr="003811CA">
        <w:t xml:space="preserve"> i herbicide na bazi </w:t>
      </w:r>
      <w:proofErr w:type="spellStart"/>
      <w:r w:rsidRPr="003811CA">
        <w:t>glifosata</w:t>
      </w:r>
      <w:proofErr w:type="spellEnd"/>
      <w:r w:rsidRPr="003811CA">
        <w:t xml:space="preserve"> te kako bi se izmijenio njezin profil masnih kiselina;</w:t>
      </w:r>
    </w:p>
    <w:p w:rsidR="00F630E9" w:rsidRPr="003811CA" w:rsidRDefault="00F630E9" w:rsidP="00F630E9">
      <w:pPr>
        <w:pStyle w:val="NormalHanging12a"/>
        <w:ind w:left="284" w:hanging="284"/>
        <w:rPr>
          <w:b/>
          <w:i/>
        </w:rPr>
      </w:pPr>
      <w:r w:rsidRPr="003811CA">
        <w:rPr>
          <w:b/>
          <w:i/>
        </w:rPr>
        <w:t>Nepostojanje procjene za komplementarne herbicide</w:t>
      </w:r>
    </w:p>
    <w:p w:rsidR="00F630E9" w:rsidRPr="003811CA" w:rsidRDefault="00F630E9" w:rsidP="00F630E9">
      <w:pPr>
        <w:pStyle w:val="NormalHanging12a"/>
        <w:ind w:left="720" w:hanging="720"/>
      </w:pPr>
      <w:r w:rsidRPr="003811CA">
        <w:t>F.</w:t>
      </w:r>
      <w:r w:rsidRPr="003811CA">
        <w:tab/>
        <w:t>budući da se Provedbenom uredbom Komisije (EU) br. 503/2013</w:t>
      </w:r>
      <w:r w:rsidRPr="003811CA">
        <w:rPr>
          <w:rStyle w:val="FootnoteReference"/>
        </w:rPr>
        <w:footnoteReference w:id="6"/>
      </w:r>
      <w:r w:rsidRPr="003811CA">
        <w:t xml:space="preserve"> zahtijeva procjena o tome utječu li očekivane poljoprivredne prakse na ishod proučavanih krajnjih točaka; budući da je u skladu s tom Provedbenom uredbom to posebno relevantno za biljke otporne na herbicide;</w:t>
      </w:r>
    </w:p>
    <w:p w:rsidR="00F630E9" w:rsidRPr="003811CA" w:rsidRDefault="00F630E9" w:rsidP="00F630E9">
      <w:pPr>
        <w:pStyle w:val="NormalHanging12a"/>
        <w:ind w:left="720" w:hanging="720"/>
      </w:pPr>
      <w:r w:rsidRPr="003811CA">
        <w:t>G.</w:t>
      </w:r>
      <w:r w:rsidRPr="003811CA">
        <w:tab/>
        <w:t>budući da je velika većina genetski modificiranih usjeva genetski modificirana kako bi bila otporna na jedan ili više „komplementarnih” herbicida koji se mogu upotrebljavati tijekom cijelog uzgoja takvih usjeva, a da pritom ne dođe do njihova odumiranja, što bi bio slučaj s usjevima koji nisu otporni na herbicide; budući da se u brojnim studijama navodi da je za genetski modificirane usjeve otporne na herbicide potrebna veća upotreba komplementarnih herbicida, velikim dijelom zbog pojave korova otpornih na herbicide</w:t>
      </w:r>
      <w:r w:rsidRPr="003811CA">
        <w:rPr>
          <w:rStyle w:val="FootnoteReference"/>
        </w:rPr>
        <w:footnoteReference w:id="7"/>
      </w:r>
      <w:r w:rsidRPr="003811CA">
        <w:t>;</w:t>
      </w:r>
    </w:p>
    <w:p w:rsidR="00F630E9" w:rsidRPr="003811CA" w:rsidRDefault="00F630E9" w:rsidP="00F630E9">
      <w:pPr>
        <w:pStyle w:val="NormalHanging12a"/>
        <w:ind w:left="720" w:hanging="720"/>
      </w:pPr>
      <w:r w:rsidRPr="003811CA">
        <w:t>H.</w:t>
      </w:r>
      <w:r w:rsidRPr="003811CA">
        <w:tab/>
        <w:t>budući da su zbog genetski modificiranih usjeva otpornih na herbicide poljoprivrednici prisiljeni koristiti se sustavom upravljanja korovom koji uvelike ili u potpunosti ovisi o herbicidima; budući da će se većim oslanjanjem na komplementarne herbicide na poljoprivrednim gospodarstvima na kojima su posađeni genetski modificirani usjevi ubrzati pojava i širenje korova otpornih na te herbicide, što će dovesti do potrebe za još većom upotrebom herbicida i pojave pod nazivom „začarani krug herbicida”;</w:t>
      </w:r>
    </w:p>
    <w:p w:rsidR="00F630E9" w:rsidRPr="003811CA" w:rsidRDefault="00F630E9" w:rsidP="00F630E9">
      <w:pPr>
        <w:pStyle w:val="NormalHanging12a"/>
        <w:ind w:left="720" w:hanging="720"/>
      </w:pPr>
      <w:r w:rsidRPr="003811CA">
        <w:t>I.</w:t>
      </w:r>
      <w:r w:rsidRPr="003811CA">
        <w:tab/>
        <w:t>budući da će negativni učinci, koji proizlaze iz prekomjernog oslanjanja na herbicide, narušiti zdravlje tla i kvalitetu vode te biološku raznolikost iznad i ispod zemlje te će povećati izloženost ljudi i životinja, vjerojatno i zbog povećanja količine ostataka herbicida u hrani i hrani za životinje;</w:t>
      </w:r>
    </w:p>
    <w:p w:rsidR="00F630E9" w:rsidRPr="003811CA" w:rsidRDefault="00F630E9" w:rsidP="00F630E9">
      <w:pPr>
        <w:pStyle w:val="NormalHanging12a"/>
        <w:ind w:left="720" w:hanging="720"/>
        <w:rPr>
          <w:szCs w:val="24"/>
        </w:rPr>
      </w:pPr>
      <w:r w:rsidRPr="003811CA">
        <w:t xml:space="preserve">J. </w:t>
      </w:r>
      <w:r w:rsidRPr="003811CA">
        <w:tab/>
        <w:t xml:space="preserve">budući da je </w:t>
      </w:r>
      <w:proofErr w:type="spellStart"/>
      <w:r w:rsidRPr="003811CA">
        <w:t>dikamba</w:t>
      </w:r>
      <w:proofErr w:type="spellEnd"/>
      <w:r w:rsidRPr="003811CA">
        <w:t xml:space="preserve"> vrlo hlapljiva, što znači da nakon primjene može prijeći u zrak, nakon čega putuje vjetrom sve dok ne padne na tlo, izlažući na taj način ljude i biljke te vinovu lozu, drveće i grmlje kojima nije bila namijenjena potencijalnoj i ozbiljnoj šteti, posebno kada takvo izlaganje traje nekoliko godina; </w:t>
      </w:r>
    </w:p>
    <w:p w:rsidR="00F630E9" w:rsidRPr="003811CA" w:rsidRDefault="00F630E9" w:rsidP="00F630E9">
      <w:pPr>
        <w:pStyle w:val="NormalHanging12a"/>
        <w:ind w:left="720" w:hanging="720"/>
      </w:pPr>
      <w:r w:rsidRPr="003811CA">
        <w:t>K.</w:t>
      </w:r>
      <w:r w:rsidRPr="003811CA">
        <w:tab/>
      </w:r>
      <w:r w:rsidRPr="003811CA">
        <w:rPr>
          <w:shd w:val="clear" w:color="auto" w:fill="FFFFFF"/>
        </w:rPr>
        <w:t xml:space="preserve">budući da je u studiji znanstvenika koji rade za vladu SAD-a iz 2020. objavljenoj u stručno recenziranom časopisu „International Journal </w:t>
      </w:r>
      <w:proofErr w:type="spellStart"/>
      <w:r w:rsidRPr="003811CA">
        <w:rPr>
          <w:shd w:val="clear" w:color="auto" w:fill="FFFFFF"/>
        </w:rPr>
        <w:t>of</w:t>
      </w:r>
      <w:proofErr w:type="spellEnd"/>
      <w:r w:rsidRPr="003811CA">
        <w:rPr>
          <w:shd w:val="clear" w:color="auto" w:fill="FFFFFF"/>
        </w:rPr>
        <w:t xml:space="preserve"> </w:t>
      </w:r>
      <w:proofErr w:type="spellStart"/>
      <w:r w:rsidRPr="003811CA">
        <w:rPr>
          <w:shd w:val="clear" w:color="auto" w:fill="FFFFFF"/>
        </w:rPr>
        <w:t>Epidemiology</w:t>
      </w:r>
      <w:proofErr w:type="spellEnd"/>
      <w:r w:rsidRPr="003811CA">
        <w:rPr>
          <w:shd w:val="clear" w:color="auto" w:fill="FFFFFF"/>
        </w:rPr>
        <w:t>”</w:t>
      </w:r>
      <w:r w:rsidRPr="003811CA">
        <w:t xml:space="preserve"> utvrđeno da se zbog velike upotrebe </w:t>
      </w:r>
      <w:proofErr w:type="spellStart"/>
      <w:r w:rsidRPr="003811CA">
        <w:t>dikambe</w:t>
      </w:r>
      <w:proofErr w:type="spellEnd"/>
      <w:r w:rsidRPr="003811CA">
        <w:t xml:space="preserve"> povećava rizik od razvoja raka </w:t>
      </w:r>
      <w:proofErr w:type="spellStart"/>
      <w:r w:rsidRPr="003811CA">
        <w:t>jetre</w:t>
      </w:r>
      <w:proofErr w:type="spellEnd"/>
      <w:r w:rsidRPr="003811CA">
        <w:t xml:space="preserve"> i </w:t>
      </w:r>
      <w:proofErr w:type="spellStart"/>
      <w:r w:rsidRPr="003811CA">
        <w:t>intrahepatskog</w:t>
      </w:r>
      <w:proofErr w:type="spellEnd"/>
      <w:r w:rsidRPr="003811CA">
        <w:t xml:space="preserve"> žučovoda među osobama koje su zadužene za njezinu primjenu; </w:t>
      </w:r>
    </w:p>
    <w:p w:rsidR="00F630E9" w:rsidRPr="003811CA" w:rsidRDefault="00F630E9" w:rsidP="00F630E9">
      <w:pPr>
        <w:pStyle w:val="NormalHanging12a"/>
        <w:ind w:left="720" w:hanging="720"/>
      </w:pPr>
      <w:r w:rsidRPr="003811CA">
        <w:t>L.</w:t>
      </w:r>
      <w:r w:rsidRPr="003811CA">
        <w:tab/>
        <w:t xml:space="preserve">budući da se u studiji iz 2020. navodi da se očekuje da će nedavno odobrenje genetski modificiranih usjeva otpornih na </w:t>
      </w:r>
      <w:proofErr w:type="spellStart"/>
      <w:r w:rsidRPr="003811CA">
        <w:t>dikambu</w:t>
      </w:r>
      <w:proofErr w:type="spellEnd"/>
      <w:r w:rsidRPr="003811CA">
        <w:t xml:space="preserve"> u nadolazećim godinama dovesti do povećane uporabe </w:t>
      </w:r>
      <w:proofErr w:type="spellStart"/>
      <w:r w:rsidRPr="003811CA">
        <w:t>dikambe</w:t>
      </w:r>
      <w:proofErr w:type="spellEnd"/>
      <w:r w:rsidRPr="003811CA">
        <w:t xml:space="preserve"> u poljoprivredi</w:t>
      </w:r>
      <w:r w:rsidRPr="003811CA">
        <w:rPr>
          <w:vertAlign w:val="superscript"/>
        </w:rPr>
        <w:footnoteReference w:id="8"/>
      </w:r>
      <w:r w:rsidRPr="003811CA">
        <w:t xml:space="preserve">, što potvrđuje i sustav podataka o uporabi pesticida Saveza za istraživanje zdravlja </w:t>
      </w:r>
      <w:proofErr w:type="spellStart"/>
      <w:r w:rsidRPr="003811CA">
        <w:t>Heartland</w:t>
      </w:r>
      <w:proofErr w:type="spellEnd"/>
      <w:r w:rsidRPr="003811CA">
        <w:t xml:space="preserve"> jer se upotreba </w:t>
      </w:r>
      <w:proofErr w:type="spellStart"/>
      <w:r w:rsidRPr="003811CA">
        <w:t>dikambe</w:t>
      </w:r>
      <w:proofErr w:type="spellEnd"/>
      <w:r w:rsidRPr="003811CA">
        <w:t xml:space="preserve"> na Srednjem zapadu u SAD-u deseterostruko povećala u usporedbi s razdobljem prije deset godina</w:t>
      </w:r>
      <w:r w:rsidRPr="003811CA">
        <w:rPr>
          <w:vertAlign w:val="superscript"/>
        </w:rPr>
        <w:footnoteReference w:id="9"/>
      </w:r>
      <w:r w:rsidRPr="003811CA">
        <w:t>;</w:t>
      </w:r>
    </w:p>
    <w:p w:rsidR="00F630E9" w:rsidRPr="003811CA" w:rsidRDefault="00F630E9" w:rsidP="00F630E9">
      <w:pPr>
        <w:pStyle w:val="NormalHanging12a"/>
        <w:ind w:left="720" w:hanging="720"/>
      </w:pPr>
      <w:r w:rsidRPr="003811CA">
        <w:t>M.</w:t>
      </w:r>
      <w:r w:rsidRPr="003811CA">
        <w:tab/>
        <w:t xml:space="preserve">budući da je i dalje otvoreno pitanje karcinogenosti </w:t>
      </w:r>
      <w:proofErr w:type="spellStart"/>
      <w:r w:rsidRPr="003811CA">
        <w:t>glifosata</w:t>
      </w:r>
      <w:proofErr w:type="spellEnd"/>
      <w:r w:rsidRPr="003811CA">
        <w:t xml:space="preserve">; budući da je EFSA u studenome 2015. zaključila da </w:t>
      </w:r>
      <w:proofErr w:type="spellStart"/>
      <w:r w:rsidRPr="003811CA">
        <w:t>glifosat</w:t>
      </w:r>
      <w:proofErr w:type="spellEnd"/>
      <w:r w:rsidRPr="003811CA">
        <w:t xml:space="preserve"> vjerojatno nije karcinogen, a Europska agencija za kemikalije u ožujku 2017. da nije potrebna nikakva klasifikacija; budući da je suprotno tome Međunarodna agencija za istraživanje raka, agencija Svjetske zdravstvene organizacije specijalizirana za rak, 2015. kategorizirala </w:t>
      </w:r>
      <w:proofErr w:type="spellStart"/>
      <w:r w:rsidRPr="003811CA">
        <w:t>glifosat</w:t>
      </w:r>
      <w:proofErr w:type="spellEnd"/>
      <w:r w:rsidRPr="003811CA">
        <w:t xml:space="preserve"> kao tvar koja je vjerojatno karcinogena za čovjeka; budući da se u nizu najnovijih znanstvenih stručno recenziranih studija potvrđuje moguća karcinogenost </w:t>
      </w:r>
      <w:proofErr w:type="spellStart"/>
      <w:r w:rsidRPr="003811CA">
        <w:t>glifosata</w:t>
      </w:r>
      <w:proofErr w:type="spellEnd"/>
      <w:r w:rsidRPr="003811CA">
        <w:rPr>
          <w:szCs w:val="24"/>
          <w:vertAlign w:val="superscript"/>
        </w:rPr>
        <w:footnoteReference w:id="10"/>
      </w:r>
      <w:r w:rsidRPr="003811CA">
        <w:t>;</w:t>
      </w:r>
    </w:p>
    <w:p w:rsidR="00F630E9" w:rsidRPr="003811CA" w:rsidRDefault="00F630E9" w:rsidP="00F630E9">
      <w:pPr>
        <w:pStyle w:val="NormalHanging12a"/>
        <w:ind w:left="720" w:hanging="720"/>
      </w:pPr>
      <w:r w:rsidRPr="003811CA">
        <w:t>N.</w:t>
      </w:r>
      <w:r w:rsidRPr="003811CA">
        <w:tab/>
        <w:t xml:space="preserve">budući da je u stručno recenziranoj studiji utvrđeno da se </w:t>
      </w:r>
      <w:proofErr w:type="spellStart"/>
      <w:r w:rsidRPr="003811CA">
        <w:t>glifosat</w:t>
      </w:r>
      <w:proofErr w:type="spellEnd"/>
      <w:r w:rsidRPr="003811CA">
        <w:t xml:space="preserve"> nakuplja u genetski modificiranoj soji uz odgovarajući negativan učinak na nutritivni sastav u odnosu na soju koja nije genetski modificirana</w:t>
      </w:r>
      <w:r w:rsidRPr="003811CA">
        <w:rPr>
          <w:vertAlign w:val="superscript"/>
        </w:rPr>
        <w:footnoteReference w:id="11"/>
      </w:r>
      <w:r w:rsidRPr="003811CA">
        <w:t xml:space="preserve">; budući da su u pilot-projektu provedenom u Argentini otkrivene iznenađujuće visoke razine ostataka </w:t>
      </w:r>
      <w:proofErr w:type="spellStart"/>
      <w:r w:rsidRPr="003811CA">
        <w:t>glifosata</w:t>
      </w:r>
      <w:proofErr w:type="spellEnd"/>
      <w:r w:rsidRPr="003811CA">
        <w:t xml:space="preserve"> na genetski modificiranoj soji</w:t>
      </w:r>
      <w:r w:rsidRPr="003811CA">
        <w:rPr>
          <w:vertAlign w:val="superscript"/>
        </w:rPr>
        <w:footnoteReference w:id="12"/>
      </w:r>
      <w:r w:rsidRPr="003811CA">
        <w:t>;</w:t>
      </w:r>
    </w:p>
    <w:p w:rsidR="00F630E9" w:rsidRPr="003811CA" w:rsidRDefault="00F630E9" w:rsidP="00F630E9">
      <w:pPr>
        <w:pStyle w:val="NormalHanging12a"/>
        <w:ind w:left="720" w:hanging="720"/>
      </w:pPr>
      <w:r w:rsidRPr="003811CA">
        <w:t>O.</w:t>
      </w:r>
      <w:r w:rsidRPr="003811CA">
        <w:tab/>
        <w:t>budući da način na koji genetski modificirane biljke razgrađuju komplementarne herbicide, kao i sastav i stoga toksičnost proizvoda razgradnje (metabolita), može ovisiti o samoj genetskoj modifikaciji</w:t>
      </w:r>
      <w:r w:rsidRPr="003811CA">
        <w:rPr>
          <w:szCs w:val="24"/>
          <w:vertAlign w:val="superscript"/>
        </w:rPr>
        <w:footnoteReference w:id="13"/>
      </w:r>
      <w:r w:rsidRPr="003811CA">
        <w:t>;</w:t>
      </w:r>
    </w:p>
    <w:p w:rsidR="00F630E9" w:rsidRPr="003811CA" w:rsidRDefault="00F630E9" w:rsidP="00F630E9">
      <w:pPr>
        <w:pStyle w:val="NormalHanging12a"/>
        <w:ind w:left="720" w:hanging="720"/>
      </w:pPr>
      <w:r w:rsidRPr="003811CA">
        <w:t>P.</w:t>
      </w:r>
      <w:r w:rsidRPr="003811CA">
        <w:tab/>
        <w:t>budući da se smatra da procjena za ostatke herbicida i metabolite pronađene na genetski modificiranim biljkama nije u nadležnosti Povjerenstva EFSA-e za genetski modificirane organizme te se stoga ne provodi u okviru postupka odobravanja genetski modificiranih organizama;</w:t>
      </w:r>
    </w:p>
    <w:p w:rsidR="00F630E9" w:rsidRPr="003811CA" w:rsidRDefault="00F630E9" w:rsidP="00F630E9">
      <w:pPr>
        <w:pStyle w:val="NormalHanging12a"/>
        <w:ind w:left="284" w:hanging="284"/>
        <w:rPr>
          <w:b/>
          <w:i/>
        </w:rPr>
      </w:pPr>
      <w:r w:rsidRPr="003811CA">
        <w:rPr>
          <w:b/>
          <w:i/>
        </w:rPr>
        <w:t>Osiguravanje jednakih uvjeta na globalnoj razini i poštovanje međunarodnih obveza Unije</w:t>
      </w:r>
    </w:p>
    <w:p w:rsidR="00F630E9" w:rsidRPr="003811CA" w:rsidRDefault="00F630E9" w:rsidP="00F630E9">
      <w:pPr>
        <w:pStyle w:val="NormalHanging12a"/>
        <w:ind w:left="720" w:hanging="720"/>
      </w:pPr>
      <w:r w:rsidRPr="003811CA">
        <w:t>Q.</w:t>
      </w:r>
      <w:r w:rsidRPr="003811CA">
        <w:tab/>
        <w:t>budući da u Uniji nije dopušteno uzgajati genetski modificiranu soju;</w:t>
      </w:r>
    </w:p>
    <w:p w:rsidR="00F630E9" w:rsidRPr="003811CA" w:rsidRDefault="00F630E9" w:rsidP="00F630E9">
      <w:pPr>
        <w:pStyle w:val="NormalHanging12a"/>
        <w:ind w:left="720" w:hanging="720"/>
      </w:pPr>
      <w:r w:rsidRPr="003811CA">
        <w:t>R.</w:t>
      </w:r>
      <w:r w:rsidRPr="003811CA">
        <w:tab/>
        <w:t>budući da se u zaključcima strateškog dijaloga o budućnosti poljoprivrede u EU-u</w:t>
      </w:r>
      <w:r w:rsidRPr="003811CA">
        <w:rPr>
          <w:rStyle w:val="FootnoteReference"/>
        </w:rPr>
        <w:footnoteReference w:id="14"/>
      </w:r>
      <w:r w:rsidRPr="003811CA">
        <w:t xml:space="preserve"> Komisija poziva da preispita svoj pristup u pogledu pristupa tržištu za uvoz i izvoz poljoprivredno-prehrambenih proizvoda s obzirom na problem različitih standarda Unije i njezinih trgovinskih partnera; budući da su pravedniji trgovinski odnosi na globalnoj razini, usklađeni s ciljevima u pogledu zdravog okoliša, bili jedan od glavnih zahtjeva poljoprivrednika tijekom prosvjeda održanih 2023. i 2024.;</w:t>
      </w:r>
    </w:p>
    <w:p w:rsidR="00F630E9" w:rsidRPr="003811CA" w:rsidRDefault="00F630E9" w:rsidP="00F630E9">
      <w:pPr>
        <w:pStyle w:val="NormalHanging12a"/>
        <w:ind w:left="720" w:hanging="720"/>
      </w:pPr>
      <w:r w:rsidRPr="003811CA">
        <w:t>S.</w:t>
      </w:r>
      <w:r w:rsidRPr="003811CA">
        <w:tab/>
        <w:t>budući da se u izvješću posebne izvjestiteljice Ujedinjenih naroda (UN) za pravo na hranu iz 2017. godine zaključuje da opasni pesticidi, posebno u zemljama u razvoju, imaju katastrofalne učinke na zdravlje</w:t>
      </w:r>
      <w:r w:rsidRPr="003811CA">
        <w:rPr>
          <w:rStyle w:val="FootnoteReference"/>
        </w:rPr>
        <w:footnoteReference w:id="15"/>
      </w:r>
      <w:r w:rsidRPr="003811CA">
        <w:t>; budući da se u okviru cilja održivog razvoja UN-a br. 3.9. želi do 2030. u velikoj mjeri smanjiti broj smrtnih slučajeva i bolesti prouzročenih opasnim kemikalijama te onečišćenjem i kontaminacijom zraka, vode i tla</w:t>
      </w:r>
      <w:r w:rsidRPr="003811CA">
        <w:rPr>
          <w:rStyle w:val="FootnoteReference"/>
        </w:rPr>
        <w:footnoteReference w:id="16"/>
      </w:r>
      <w:r w:rsidRPr="003811CA">
        <w:t>;</w:t>
      </w:r>
    </w:p>
    <w:p w:rsidR="00F630E9" w:rsidRPr="003811CA" w:rsidRDefault="00F630E9" w:rsidP="00F630E9">
      <w:pPr>
        <w:pStyle w:val="NormalHanging12a"/>
        <w:ind w:left="720" w:hanging="720"/>
      </w:pPr>
      <w:r w:rsidRPr="003811CA">
        <w:t>T.</w:t>
      </w:r>
      <w:r w:rsidRPr="003811CA">
        <w:tab/>
        <w:t xml:space="preserve">budući da Globalni okvir za biološku raznolikost iz </w:t>
      </w:r>
      <w:proofErr w:type="spellStart"/>
      <w:r w:rsidRPr="003811CA">
        <w:t>Kunminga</w:t>
      </w:r>
      <w:proofErr w:type="spellEnd"/>
      <w:r w:rsidRPr="003811CA">
        <w:t xml:space="preserve"> i Montreala („Okvir </w:t>
      </w:r>
      <w:proofErr w:type="spellStart"/>
      <w:r w:rsidRPr="003811CA">
        <w:t>Kunming</w:t>
      </w:r>
      <w:proofErr w:type="spellEnd"/>
      <w:r w:rsidRPr="003811CA">
        <w:t>-Montreal”), dogovoren na konferenciji COP15 Konvencije Ujedinjenih naroda o biološkoj raznolikosti (UN CBD) u prosincu 2022., obuhvaća globalni cilj smanjenja rizika od pesticida za najmanje 50 % do 2030.</w:t>
      </w:r>
      <w:r w:rsidRPr="003811CA">
        <w:rPr>
          <w:rStyle w:val="FootnoteReference"/>
        </w:rPr>
        <w:footnoteReference w:id="17"/>
      </w:r>
      <w:r w:rsidRPr="003811CA">
        <w:t>;</w:t>
      </w:r>
    </w:p>
    <w:p w:rsidR="00F630E9" w:rsidRPr="003811CA" w:rsidRDefault="00F630E9" w:rsidP="00F630E9">
      <w:pPr>
        <w:pStyle w:val="NormalHanging12a"/>
        <w:ind w:left="720" w:hanging="720"/>
      </w:pPr>
      <w:r w:rsidRPr="003811CA">
        <w:t>U.</w:t>
      </w:r>
      <w:r w:rsidRPr="003811CA">
        <w:tab/>
        <w:t>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razmatra; budući da bi ti legitimni faktori trebali obuhvaćati obveze Unije u okviru ciljeva održivog razvoja UN-a i Konvencije UN-a o biološkoj raznolikosti;</w:t>
      </w:r>
    </w:p>
    <w:p w:rsidR="00F630E9" w:rsidRPr="003811CA" w:rsidRDefault="00F630E9" w:rsidP="00F630E9">
      <w:pPr>
        <w:pStyle w:val="NormalHanging12a"/>
        <w:ind w:left="720" w:hanging="720"/>
      </w:pPr>
      <w:r w:rsidRPr="003811CA">
        <w:t>V.</w:t>
      </w:r>
      <w:r w:rsidRPr="003811CA">
        <w:tab/>
        <w:t>budući da odobrenje Unije za genetski modificiranu soju ne bi bilo u skladu s međunarodnim obvezama u pogledu smanjenja pesticida</w:t>
      </w:r>
      <w:r w:rsidRPr="003811CA">
        <w:rPr>
          <w:vertAlign w:val="superscript"/>
        </w:rPr>
        <w:footnoteReference w:id="18"/>
      </w:r>
      <w:r w:rsidRPr="003811CA">
        <w:t xml:space="preserve"> s obzirom na povećanu izloženost ljudi i okoliša herbicidima u zemljama koje uzgajaju genetski modificirane usjeve otporne na herbicide i na potencijalno ozbiljne zdravstvene posljedice;</w:t>
      </w:r>
    </w:p>
    <w:p w:rsidR="00F630E9" w:rsidRPr="003811CA" w:rsidRDefault="00F630E9" w:rsidP="00F630E9">
      <w:pPr>
        <w:pStyle w:val="NormalHanging12a"/>
        <w:ind w:left="720" w:hanging="720"/>
      </w:pPr>
      <w:r w:rsidRPr="003811CA">
        <w:t>W.</w:t>
      </w:r>
      <w:r w:rsidRPr="003811CA">
        <w:tab/>
        <w:t>budući da je krčenje šuma jedan od glavnih uzroka smanjenja biološke raznolikosti; budući da su emisije nastale uslijed upotrebe i prenamjene zemljišta, uglavnom zbog krčenja šuma, drugi najčešći uzrok klimatskih promjena, odmah nakon sagorijevanja fosilnih goriva</w:t>
      </w:r>
      <w:r w:rsidRPr="003811CA">
        <w:rPr>
          <w:szCs w:val="24"/>
          <w:vertAlign w:val="superscript"/>
        </w:rPr>
        <w:footnoteReference w:id="19"/>
      </w:r>
      <w:r w:rsidRPr="003811CA">
        <w:t xml:space="preserve">; budući da se Pariškim sporazumom o klimi i Strateškim planom za biološku raznolikost za razdoblje 2011. – 2020. usvojenim u okviru Konvencije UN-a o biološkoj raznolikosti te ciljevima za biološku raznolikost iz </w:t>
      </w:r>
      <w:proofErr w:type="spellStart"/>
      <w:r w:rsidRPr="003811CA">
        <w:t>Aichija</w:t>
      </w:r>
      <w:proofErr w:type="spellEnd"/>
      <w:r w:rsidRPr="003811CA">
        <w:t xml:space="preserve"> promiče održivo upravljanje šumama, njihova zaštita i obnavljanje</w:t>
      </w:r>
      <w:r w:rsidRPr="003811CA">
        <w:rPr>
          <w:szCs w:val="24"/>
          <w:vertAlign w:val="superscript"/>
        </w:rPr>
        <w:footnoteReference w:id="20"/>
      </w:r>
      <w:r w:rsidRPr="003811CA">
        <w:t>; budući da cilj održivog razvoja br. 15 obuhvaća zaustavljanje krčenja šuma do 2020.</w:t>
      </w:r>
      <w:r w:rsidRPr="003811CA">
        <w:rPr>
          <w:szCs w:val="24"/>
          <w:vertAlign w:val="superscript"/>
        </w:rPr>
        <w:footnoteReference w:id="21"/>
      </w:r>
      <w:r w:rsidRPr="003811CA">
        <w:t>; budući da šume imaju višestruku ulogu kojom se podupire ostvarivanje većine ciljeva održivog razvoja UN-a</w:t>
      </w:r>
      <w:r w:rsidRPr="003811CA">
        <w:rPr>
          <w:szCs w:val="24"/>
          <w:vertAlign w:val="superscript"/>
        </w:rPr>
        <w:footnoteReference w:id="22"/>
      </w:r>
      <w:r w:rsidRPr="003811CA">
        <w:t>;</w:t>
      </w:r>
    </w:p>
    <w:p w:rsidR="00F630E9" w:rsidRPr="003811CA" w:rsidRDefault="00F630E9" w:rsidP="00F630E9">
      <w:pPr>
        <w:pStyle w:val="NormalHanging12a"/>
        <w:ind w:left="720" w:hanging="720"/>
      </w:pPr>
      <w:r w:rsidRPr="003811CA">
        <w:t>X.</w:t>
      </w:r>
      <w:r w:rsidRPr="003811CA">
        <w:tab/>
        <w:t>budući da su šumski požari u Amazoniji posljedica visokih razina krčenja šuma; budući da je Komisija u komunikaciji iz 2019. izrazila svoj cilj da zaštiti i obnovi svjetske šume</w:t>
      </w:r>
      <w:r w:rsidRPr="003811CA">
        <w:rPr>
          <w:vertAlign w:val="superscript"/>
        </w:rPr>
        <w:footnoteReference w:id="23"/>
      </w:r>
      <w:r w:rsidRPr="003811CA">
        <w:t xml:space="preserve">; budući da je globalna zaštita biološke raznolikosti, među ostalim šuma, jedan od ključnih ciljeva strategije EU-a za </w:t>
      </w:r>
      <w:proofErr w:type="spellStart"/>
      <w:r w:rsidRPr="003811CA">
        <w:t>bioraznolikost</w:t>
      </w:r>
      <w:proofErr w:type="spellEnd"/>
      <w:r w:rsidRPr="003811CA">
        <w:rPr>
          <w:vertAlign w:val="superscript"/>
        </w:rPr>
        <w:footnoteReference w:id="24"/>
      </w:r>
      <w:r w:rsidRPr="003811CA">
        <w:t>;</w:t>
      </w:r>
    </w:p>
    <w:p w:rsidR="00F630E9" w:rsidRPr="003811CA" w:rsidRDefault="00F630E9" w:rsidP="00F630E9">
      <w:pPr>
        <w:pStyle w:val="NormalHanging12a"/>
        <w:ind w:left="720" w:hanging="720"/>
      </w:pPr>
      <w:r w:rsidRPr="003811CA">
        <w:t>Y.</w:t>
      </w:r>
      <w:r w:rsidRPr="003811CA">
        <w:tab/>
        <w:t xml:space="preserve">budući da je proizvodnja soje jedan od glavnih razloga krčenja šuma u području Amazonije, </w:t>
      </w:r>
      <w:proofErr w:type="spellStart"/>
      <w:r w:rsidRPr="003811CA">
        <w:t>Cerrada</w:t>
      </w:r>
      <w:proofErr w:type="spellEnd"/>
      <w:r w:rsidRPr="003811CA">
        <w:t xml:space="preserve"> i </w:t>
      </w:r>
      <w:proofErr w:type="spellStart"/>
      <w:r w:rsidRPr="003811CA">
        <w:t>Gran</w:t>
      </w:r>
      <w:proofErr w:type="spellEnd"/>
      <w:r w:rsidRPr="003811CA">
        <w:t xml:space="preserve"> </w:t>
      </w:r>
      <w:proofErr w:type="spellStart"/>
      <w:r w:rsidRPr="003811CA">
        <w:t>Chaca</w:t>
      </w:r>
      <w:proofErr w:type="spellEnd"/>
      <w:r w:rsidRPr="003811CA">
        <w:t xml:space="preserve"> u Južnoj Americi; budući da je 97 % soje uzgojene u Brazilu i 100 % soje uzgojene u Argentini genetski modificirana soja</w:t>
      </w:r>
      <w:r w:rsidRPr="003811CA">
        <w:rPr>
          <w:szCs w:val="24"/>
          <w:vertAlign w:val="superscript"/>
        </w:rPr>
        <w:footnoteReference w:id="25"/>
      </w:r>
      <w:r w:rsidRPr="003811CA">
        <w:t>;</w:t>
      </w:r>
    </w:p>
    <w:p w:rsidR="00F630E9" w:rsidRPr="003811CA" w:rsidRDefault="00F630E9" w:rsidP="00F630E9">
      <w:pPr>
        <w:pStyle w:val="NormalHanging12a"/>
        <w:ind w:left="720" w:hanging="720"/>
        <w:rPr>
          <w:szCs w:val="24"/>
        </w:rPr>
      </w:pPr>
      <w:r w:rsidRPr="003811CA">
        <w:t>Z.</w:t>
      </w:r>
      <w:r w:rsidRPr="003811CA">
        <w:tab/>
        <w:t>budući da je analizom koju je provela Komisija utvrđeno da Unija povijesno najviše doprinosi globalnom krčenju šuma i s tim povezanim emisijama upravo zbog soje, na koju otpada gotovo polovica krčenja šuma prouzročenog sveukupnim uvozom u Uniju</w:t>
      </w:r>
      <w:r w:rsidRPr="003811CA">
        <w:rPr>
          <w:szCs w:val="24"/>
          <w:vertAlign w:val="superscript"/>
        </w:rPr>
        <w:footnoteReference w:id="26"/>
      </w:r>
      <w:r w:rsidRPr="003811CA">
        <w:t>;</w:t>
      </w:r>
    </w:p>
    <w:p w:rsidR="00F630E9" w:rsidRPr="003811CA" w:rsidRDefault="00F630E9" w:rsidP="00F630E9">
      <w:pPr>
        <w:pStyle w:val="NormalHanging12a"/>
        <w:ind w:left="284" w:hanging="284"/>
        <w:rPr>
          <w:b/>
          <w:i/>
        </w:rPr>
      </w:pPr>
      <w:r w:rsidRPr="003811CA">
        <w:rPr>
          <w:b/>
          <w:i/>
        </w:rPr>
        <w:t>Smanjenje ovisnosti o uvezenoj hrani za životinje</w:t>
      </w:r>
    </w:p>
    <w:p w:rsidR="00F630E9" w:rsidRPr="003811CA" w:rsidRDefault="00F630E9" w:rsidP="00F630E9">
      <w:pPr>
        <w:pStyle w:val="NormalHanging12a"/>
        <w:ind w:left="720" w:hanging="720"/>
      </w:pPr>
      <w:r w:rsidRPr="003811CA">
        <w:t>AA.</w:t>
      </w:r>
      <w:r w:rsidRPr="003811CA">
        <w:tab/>
        <w:t xml:space="preserve">budući da je jedna od pouka izvučenih iz krize prouzročene bolešću COVID-19 i rata u Ukrajini koji je još u tijeku to da Unija treba okončati ovisnost u pogledu određenih kritičnih materijala; budući da predsjednica Komisije </w:t>
      </w:r>
      <w:proofErr w:type="spellStart"/>
      <w:r w:rsidRPr="003811CA">
        <w:t>Ursula</w:t>
      </w:r>
      <w:proofErr w:type="spellEnd"/>
      <w:r w:rsidRPr="003811CA">
        <w:t xml:space="preserve"> von </w:t>
      </w:r>
      <w:proofErr w:type="spellStart"/>
      <w:r w:rsidRPr="003811CA">
        <w:t>der</w:t>
      </w:r>
      <w:proofErr w:type="spellEnd"/>
      <w:r w:rsidRPr="003811CA">
        <w:t xml:space="preserve"> </w:t>
      </w:r>
      <w:proofErr w:type="spellStart"/>
      <w:r w:rsidRPr="003811CA">
        <w:t>Leyen</w:t>
      </w:r>
      <w:proofErr w:type="spellEnd"/>
      <w:r w:rsidRPr="003811CA">
        <w:t xml:space="preserve"> u mandatnom pismu od novoizabranog povjerenika </w:t>
      </w:r>
      <w:proofErr w:type="spellStart"/>
      <w:r w:rsidRPr="003811CA">
        <w:t>Christophea</w:t>
      </w:r>
      <w:proofErr w:type="spellEnd"/>
      <w:r w:rsidRPr="003811CA">
        <w:t xml:space="preserve"> </w:t>
      </w:r>
      <w:proofErr w:type="spellStart"/>
      <w:r w:rsidRPr="003811CA">
        <w:t>Hansena</w:t>
      </w:r>
      <w:proofErr w:type="spellEnd"/>
      <w:r w:rsidRPr="003811CA">
        <w:t xml:space="preserve"> traži da razmotri načine za smanjenje uvoza kritičnih sirovina</w:t>
      </w:r>
      <w:r w:rsidRPr="003811CA">
        <w:rPr>
          <w:rStyle w:val="FootnoteReference"/>
        </w:rPr>
        <w:footnoteReference w:id="27"/>
      </w:r>
      <w:r w:rsidRPr="003811CA">
        <w:t xml:space="preserve">; </w:t>
      </w:r>
    </w:p>
    <w:p w:rsidR="00F630E9" w:rsidRPr="003811CA" w:rsidRDefault="00F630E9" w:rsidP="00F630E9">
      <w:pPr>
        <w:pStyle w:val="NormalHanging12a"/>
        <w:ind w:left="720" w:hanging="720"/>
      </w:pPr>
      <w:r w:rsidRPr="003811CA">
        <w:t>AB.</w:t>
      </w:r>
      <w:r w:rsidRPr="003811CA">
        <w:tab/>
        <w:t>budući da se trgovinskim sporazumima potiče uvoz u Uniju hrane i hrane za životinje u koja sadržava genetski modificirane organizme, sastoji se ili je proizvedena od njih; budući da su Brazil i Argentina među najvećim svjetskim korisnicima pesticida i proizvođačima genetski modificiranih organizama, među ostalim genetski modificiranih organizama i pesticida koji su u Uniji zabranjeni iz zdravstvenih ili ekoloških razloga;</w:t>
      </w:r>
    </w:p>
    <w:p w:rsidR="00F630E9" w:rsidRPr="003811CA" w:rsidRDefault="00F630E9" w:rsidP="00F630E9">
      <w:pPr>
        <w:pStyle w:val="NormalHanging12a"/>
        <w:ind w:left="284" w:hanging="284"/>
        <w:rPr>
          <w:b/>
          <w:i/>
        </w:rPr>
      </w:pPr>
      <w:r w:rsidRPr="003811CA">
        <w:rPr>
          <w:b/>
          <w:i/>
        </w:rPr>
        <w:t>Nedemokratsko donošenje odluka</w:t>
      </w:r>
    </w:p>
    <w:p w:rsidR="00F630E9" w:rsidRPr="003811CA" w:rsidRDefault="00F630E9" w:rsidP="00F630E9">
      <w:pPr>
        <w:pStyle w:val="NormalHanging12a"/>
        <w:ind w:left="720" w:hanging="720"/>
      </w:pPr>
      <w:r w:rsidRPr="003811CA">
        <w:t>AC.</w:t>
      </w:r>
      <w:r w:rsidRPr="003811CA">
        <w:tab/>
        <w:t xml:space="preserve">budući da je Parlament u svojem osmom sazivu donio ukupno 36 rezolucija u kojima se usprotivio stavljanju na tržište genetski modificiranih organizama za hranu i hranu za životinje (33 rezolucije) i uzgoju genetski modificiranih organizama u Uniji (tri rezolucije); budući da je Parlament u svojem devetom sazivu donio 38 rezolucija u kojima se usprotivio stavljanju genetski modificiranih organizama na tržište te još 10 rezolucija u kojima se usprotivio stavljanju genetski modificiranih organizama na tržište već u sadašnjem, desetom sazivu; </w:t>
      </w:r>
    </w:p>
    <w:p w:rsidR="00F630E9" w:rsidRPr="003811CA" w:rsidRDefault="00F630E9" w:rsidP="00F630E9">
      <w:pPr>
        <w:pStyle w:val="NormalHanging12a"/>
        <w:ind w:left="720" w:hanging="720"/>
      </w:pPr>
      <w:r w:rsidRPr="003811CA">
        <w:t>AD.</w:t>
      </w:r>
      <w:r w:rsidRPr="003811CA">
        <w:tab/>
        <w:t>budući da Komisija i dalje izdaje odobrenja za genetski modificirane organizme unatoč tome što je i sama priznala postojanje demokratskih nedostataka te usprkos izostanku potpore država članica i prigovorima Parlamenta;</w:t>
      </w:r>
    </w:p>
    <w:p w:rsidR="00F630E9" w:rsidRPr="003811CA" w:rsidRDefault="00F630E9" w:rsidP="00F630E9">
      <w:pPr>
        <w:pStyle w:val="NormalHanging12a"/>
        <w:ind w:left="720" w:hanging="720"/>
      </w:pPr>
      <w:r w:rsidRPr="003811CA">
        <w:t>AE.</w:t>
      </w:r>
      <w:r w:rsidRPr="003811CA">
        <w:tab/>
        <w:t>budući da u slučajevima kad u žalbenom odboru davanje odobrenja nije podržala kvalificirana većina država članica nije potrebno mijenjati zakonodavstvo kako bi se Komisiji omogućilo da uskrati odobrenje za genetski modificirane organizme</w:t>
      </w:r>
      <w:r w:rsidRPr="003811CA">
        <w:rPr>
          <w:rStyle w:val="FootnoteReference"/>
        </w:rPr>
        <w:footnoteReference w:id="28"/>
      </w:r>
      <w:r w:rsidRPr="003811CA">
        <w:t>;</w:t>
      </w:r>
    </w:p>
    <w:p w:rsidR="00F630E9" w:rsidRPr="003811CA" w:rsidRDefault="00F630E9" w:rsidP="00F630E9">
      <w:pPr>
        <w:pStyle w:val="NormalHanging12a"/>
        <w:ind w:left="720" w:hanging="720"/>
      </w:pPr>
      <w:r w:rsidRPr="003811CA">
        <w:t>AF.</w:t>
      </w:r>
      <w:r w:rsidRPr="003811CA">
        <w:tab/>
        <w:t>budući da na glasovanju Stalnog odbora za bilje, životinje, hranu i hranu za životinje iz članka 35. Uredbe (EZ) br. 1829/2003, koje je održano 28. veljače 2025., nije doneseno nikakvo mišljenje, što znači da kvalificirana većina država članica nije podržala odobrenje;</w:t>
      </w:r>
    </w:p>
    <w:p w:rsidR="00F630E9" w:rsidRPr="003811CA" w:rsidRDefault="00F630E9" w:rsidP="00F630E9">
      <w:pPr>
        <w:pStyle w:val="NormalHanging12a"/>
        <w:ind w:left="720" w:hanging="720"/>
      </w:pPr>
      <w:r w:rsidRPr="003811CA">
        <w:t>1.</w:t>
      </w:r>
      <w:r w:rsidRPr="003811CA">
        <w:tab/>
        <w:t>smatra da Nacrt provedbene odluke Komisije prekoračuje provedbene ovlasti predviđene Uredbom (EZ) br. 1829/2003;</w:t>
      </w:r>
    </w:p>
    <w:p w:rsidR="00F630E9" w:rsidRPr="003811CA" w:rsidRDefault="00F630E9" w:rsidP="00F630E9">
      <w:pPr>
        <w:pStyle w:val="NormalHanging12a"/>
        <w:ind w:left="720" w:hanging="720"/>
      </w:pPr>
      <w:r w:rsidRPr="003811CA">
        <w:t>2.</w:t>
      </w:r>
      <w:r w:rsidRPr="003811CA">
        <w:tab/>
        <w:t>smatra da Nacrt provedbene odluke Komisije nije u skladu s pravom Unije jer nije spojiv s ciljem Uredbe (EZ) br. 1829/2003, a on je, u skladu s općim načelima utvrđenima u Uredbi (EZ) br. 178/2002 Europskog parlamenta i Vijeća</w:t>
      </w:r>
      <w:r w:rsidRPr="003811CA">
        <w:rPr>
          <w:rStyle w:val="FootnoteReference"/>
        </w:rPr>
        <w:footnoteReference w:id="29"/>
      </w:r>
      <w:r w:rsidRPr="003811CA">
        <w:t>, pružanje osnove za visoku razinu zaštite života i zdravlja ljudi, zdravlja i dobrobiti životinja, interesa okoliša i potrošača u pogledu genetski modificirane hrane i hrane za životinje, uz istodobno osiguravanje uspješnog funkcioniranja unutarnjeg tržišta;</w:t>
      </w:r>
    </w:p>
    <w:p w:rsidR="00F630E9" w:rsidRPr="003811CA" w:rsidRDefault="00F630E9" w:rsidP="00F630E9">
      <w:pPr>
        <w:pStyle w:val="NormalHanging12a"/>
        <w:ind w:left="720" w:hanging="720"/>
      </w:pPr>
      <w:r w:rsidRPr="003811CA">
        <w:t>3.</w:t>
      </w:r>
      <w:r w:rsidRPr="003811CA">
        <w:tab/>
        <w:t>traži od Komisije da povuče svoj Nacrt provedbene odluke te da odboru podnese novi nacrt;</w:t>
      </w:r>
    </w:p>
    <w:p w:rsidR="00F630E9" w:rsidRPr="003811CA" w:rsidRDefault="00F630E9" w:rsidP="00F630E9">
      <w:pPr>
        <w:pStyle w:val="NormalHanging12a"/>
        <w:ind w:left="720" w:hanging="720"/>
      </w:pPr>
      <w:r w:rsidRPr="003811CA">
        <w:t>4.</w:t>
      </w:r>
      <w:r w:rsidRPr="003811CA">
        <w:tab/>
        <w:t>poziva Komisiju da u skladu s načelom „jedno zdravlje” ne odobri genetski modificirane usjeve otporne na herbicide jer bi to dovelo do povećane upotrebe komplementarnih herbicida i stoga većih rizika za biološku raznolikost, sigurnost hrane i zdravlje radnika;</w:t>
      </w:r>
    </w:p>
    <w:p w:rsidR="00F630E9" w:rsidRPr="003811CA" w:rsidRDefault="00F630E9" w:rsidP="00F630E9">
      <w:pPr>
        <w:pStyle w:val="NormalHanging12a"/>
        <w:ind w:left="720" w:hanging="720"/>
      </w:pPr>
      <w:r w:rsidRPr="003811CA">
        <w:t>5.</w:t>
      </w:r>
      <w:r w:rsidRPr="003811CA">
        <w:tab/>
        <w:t xml:space="preserve">u tom pogledu ističe da odobravanje uvoza bilo koje genetski modificirane biljke koja je stekla otpornost na herbicide, radi upotrebe u hrani ili hrani za životinje, nije u skladu s međunarodnim obvezama Unije na temelju, među ostalim, ciljeva održivog razvoja UN-a i Konvencije UN-a o biološkoj raznolikosti, uključujući nedavno doneseni Okvir </w:t>
      </w:r>
      <w:proofErr w:type="spellStart"/>
      <w:r w:rsidRPr="003811CA">
        <w:t>Kunming</w:t>
      </w:r>
      <w:proofErr w:type="spellEnd"/>
      <w:r w:rsidRPr="003811CA">
        <w:t>-Montreal</w:t>
      </w:r>
      <w:r w:rsidRPr="003811CA">
        <w:rPr>
          <w:rStyle w:val="FootnoteReference"/>
        </w:rPr>
        <w:footnoteReference w:id="30"/>
      </w:r>
      <w:r w:rsidRPr="003811CA">
        <w:t>;</w:t>
      </w:r>
    </w:p>
    <w:p w:rsidR="00F630E9" w:rsidRPr="003811CA" w:rsidRDefault="00F630E9" w:rsidP="00F630E9">
      <w:pPr>
        <w:pStyle w:val="NormalHanging12a"/>
        <w:ind w:left="720" w:hanging="720"/>
      </w:pPr>
      <w:r w:rsidRPr="003811CA">
        <w:t>6.</w:t>
      </w:r>
      <w:r w:rsidRPr="003811CA">
        <w:tab/>
        <w:t>očekuje od Komisije da hitno ispuni obvezu iznošenja prijedloga kojim će se osigurati da se opasne kemikalije zabranjene u Uniji ne proizvode za izvoz, kao i da osigura reciprocitet boljim usklađivanjem naših domaćih standarda proizvodnje s onima koji se primjenjuju na uvoz, posebno u pogledu pesticida;</w:t>
      </w:r>
    </w:p>
    <w:p w:rsidR="00F630E9" w:rsidRPr="003811CA" w:rsidRDefault="00F630E9" w:rsidP="00F630E9">
      <w:pPr>
        <w:pStyle w:val="NormalHanging12a"/>
        <w:ind w:left="720" w:hanging="720"/>
      </w:pPr>
      <w:r w:rsidRPr="003811CA">
        <w:t>7.</w:t>
      </w:r>
      <w:r w:rsidRPr="003811CA">
        <w:tab/>
        <w:t>poziva Komisiju da osigura konvergenciju standarda Unije i njezinih partnera u pregovorima o sporazumu o slobodnoj trgovini kako bi se zadovoljili sigurnosni standardi Unije;</w:t>
      </w:r>
    </w:p>
    <w:p w:rsidR="00F630E9" w:rsidRPr="003811CA" w:rsidRDefault="006B2B8E" w:rsidP="00F630E9">
      <w:pPr>
        <w:pStyle w:val="NormalHanging12a"/>
        <w:ind w:left="720" w:hanging="720"/>
      </w:pPr>
      <w:r w:rsidRPr="003811CA">
        <w:t>8.</w:t>
      </w:r>
      <w:r w:rsidR="00F630E9" w:rsidRPr="003811CA">
        <w:tab/>
        <w:t>pozdravlja činjenicu da je Komisija u dopisu zastupnicima od 11. rujna 2020. konačno uvidjela potrebu da se pri donošenju odluka o odobrenju genetski modificiranih organizama u obzir uzme održivost</w:t>
      </w:r>
      <w:r w:rsidR="00F630E9" w:rsidRPr="003811CA">
        <w:rPr>
          <w:rStyle w:val="FootnoteReference"/>
        </w:rPr>
        <w:footnoteReference w:id="31"/>
      </w:r>
      <w:r w:rsidR="00F630E9" w:rsidRPr="003811CA">
        <w:t>; međutim, izražava duboko razočaranje zbog toga što Komisija i dalje odobrava uvoz genetski modificiranih organizama u Uniju unatoč stalnim prigovorima Parlamenta i činjenici da većina država članica glasuje protiv;</w:t>
      </w:r>
    </w:p>
    <w:p w:rsidR="00F630E9" w:rsidRPr="003811CA" w:rsidRDefault="00F630E9" w:rsidP="00F630E9">
      <w:pPr>
        <w:pStyle w:val="NormalHanging12a"/>
        <w:ind w:left="720" w:hanging="720"/>
      </w:pPr>
      <w:r w:rsidRPr="003811CA">
        <w:t>9.</w:t>
      </w:r>
      <w:r w:rsidRPr="003811CA">
        <w:tab/>
        <w:t>ponovno apelira na Komisiju da u obzir uzme obveze Unije na temelju međunarodnih sporazuma, kao što su Pariški sporazum o klimatskim promjenama, Konvencija UN-a o biološkoj raznolikosti i ciljevi održivog razvoja UN-a; ponavlja poziv da se nacrti provedbenih akata poprate obrazloženjem u kojem se objašnjava na koji se način poštuje načelo „</w:t>
      </w:r>
      <w:proofErr w:type="spellStart"/>
      <w:r w:rsidRPr="003811CA">
        <w:t>nenanošenja</w:t>
      </w:r>
      <w:proofErr w:type="spellEnd"/>
      <w:r w:rsidRPr="003811CA">
        <w:t xml:space="preserve"> štete”</w:t>
      </w:r>
      <w:r w:rsidRPr="003811CA">
        <w:rPr>
          <w:rStyle w:val="FootnoteReference"/>
        </w:rPr>
        <w:footnoteReference w:id="32"/>
      </w:r>
      <w:r w:rsidRPr="003811CA">
        <w:t xml:space="preserve">; </w:t>
      </w:r>
    </w:p>
    <w:p w:rsidR="00CD5A36" w:rsidRPr="003811CA" w:rsidRDefault="00F630E9" w:rsidP="00CD5A36">
      <w:pPr>
        <w:widowControl/>
        <w:ind w:left="720" w:hanging="720"/>
      </w:pPr>
      <w:r w:rsidRPr="003811CA">
        <w:t>10.</w:t>
      </w:r>
      <w:r w:rsidRPr="003811CA">
        <w:tab/>
        <w:t>nalaže svojoj predsjednici da ovu Rezoluciju proslijedi Vijeću i Komisiji te vladama i parlamentima država članica.</w:t>
      </w:r>
    </w:p>
    <w:p w:rsidR="00E365E1" w:rsidRPr="003811CA" w:rsidRDefault="00E365E1" w:rsidP="00C07EEE"/>
    <w:sectPr w:rsidR="00E365E1" w:rsidRPr="003811CA" w:rsidSect="00CD5A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EEE" w:rsidRPr="00CD5A36" w:rsidRDefault="00C07EEE">
      <w:r w:rsidRPr="00CD5A36">
        <w:separator/>
      </w:r>
    </w:p>
  </w:endnote>
  <w:endnote w:type="continuationSeparator" w:id="0">
    <w:p w:rsidR="00C07EEE" w:rsidRPr="00CD5A36" w:rsidRDefault="00C07EEE">
      <w:r w:rsidRPr="00CD5A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A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A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A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EEE" w:rsidRPr="00CD5A36" w:rsidRDefault="00C07EEE">
      <w:r w:rsidRPr="00CD5A36">
        <w:separator/>
      </w:r>
    </w:p>
  </w:footnote>
  <w:footnote w:type="continuationSeparator" w:id="0">
    <w:p w:rsidR="00C07EEE" w:rsidRPr="00CD5A36" w:rsidRDefault="00C07EEE">
      <w:r w:rsidRPr="00CD5A36">
        <w:continuationSeparator/>
      </w:r>
    </w:p>
  </w:footnote>
  <w:footnote w:id="1">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 xml:space="preserve">SL L 268, 18.10.2003., str. 1., ELI: </w:t>
      </w:r>
      <w:hyperlink r:id="rId1" w:history="1">
        <w:r w:rsidRPr="00CD5A36">
          <w:rPr>
            <w:rStyle w:val="Hyperlink"/>
            <w:sz w:val="24"/>
            <w:lang w:val="hr-HR"/>
          </w:rPr>
          <w:t>http:</w:t>
        </w:r>
        <w:r w:rsidRPr="00CD5A36">
          <w:rPr>
            <w:rStyle w:val="Hyperlink"/>
            <w:sz w:val="24"/>
            <w:lang w:val="hr-HR"/>
          </w:rPr>
          <w:t>/</w:t>
        </w:r>
        <w:r w:rsidRPr="00CD5A36">
          <w:rPr>
            <w:rStyle w:val="Hyperlink"/>
            <w:sz w:val="24"/>
            <w:lang w:val="hr-HR"/>
          </w:rPr>
          <w:t>/data.europa.eu/eli/reg/2003/1829/oj</w:t>
        </w:r>
      </w:hyperlink>
      <w:r w:rsidRPr="00CD5A36">
        <w:rPr>
          <w:rStyle w:val="Hyperlink"/>
          <w:color w:val="000000" w:themeColor="text1"/>
          <w:sz w:val="24"/>
          <w:lang w:val="hr-HR"/>
        </w:rPr>
        <w:t>.</w:t>
      </w:r>
    </w:p>
  </w:footnote>
  <w:footnote w:id="2">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SL L 55, 28.2.2011., str. 13., ELI:</w:t>
      </w:r>
      <w:r w:rsidRPr="00CD5A36">
        <w:rPr>
          <w:rStyle w:val="Hyperlink"/>
          <w:sz w:val="24"/>
          <w:lang w:val="hr-HR"/>
        </w:rPr>
        <w:t xml:space="preserve"> </w:t>
      </w:r>
      <w:hyperlink r:id="rId2" w:history="1">
        <w:r w:rsidRPr="00CD5A36">
          <w:rPr>
            <w:rStyle w:val="Hyperlink"/>
            <w:sz w:val="24"/>
            <w:lang w:val="hr-HR"/>
          </w:rPr>
          <w:t>http://da</w:t>
        </w:r>
        <w:r w:rsidRPr="00CD5A36">
          <w:rPr>
            <w:rStyle w:val="Hyperlink"/>
            <w:sz w:val="24"/>
            <w:lang w:val="hr-HR"/>
          </w:rPr>
          <w:t>t</w:t>
        </w:r>
        <w:r w:rsidRPr="00CD5A36">
          <w:rPr>
            <w:rStyle w:val="Hyperlink"/>
            <w:sz w:val="24"/>
            <w:lang w:val="hr-HR"/>
          </w:rPr>
          <w:t>a.europa.eu/eli/reg/2011/182/oj</w:t>
        </w:r>
      </w:hyperlink>
      <w:r w:rsidRPr="00CD5A36">
        <w:rPr>
          <w:rStyle w:val="Hyperlink"/>
          <w:sz w:val="24"/>
          <w:lang w:val="hr-HR"/>
        </w:rPr>
        <w:t>.</w:t>
      </w:r>
    </w:p>
  </w:footnote>
  <w:footnote w:id="3">
    <w:p w:rsidR="00F630E9" w:rsidRPr="00CD5A36" w:rsidRDefault="00F630E9" w:rsidP="00CD5A36">
      <w:pPr>
        <w:pStyle w:val="FootnoteText"/>
        <w:ind w:left="567" w:hanging="567"/>
        <w:rPr>
          <w:color w:val="000000" w:themeColor="text1"/>
          <w:sz w:val="24"/>
          <w:lang w:val="hr-HR"/>
        </w:rPr>
      </w:pPr>
      <w:r w:rsidRPr="00CD5A36">
        <w:rPr>
          <w:rStyle w:val="FootnoteReference"/>
          <w:color w:val="000000" w:themeColor="text1"/>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Znanstveno mišljenje EFSA-ina povjerenstva za genetski modificirane organizme o procjeni genetski modificirane soje MON 87705 × MON 87708 × MON 89788 za uporabu u hrani i hrani za životinje, u skladu s Uredbom (EZ) br. </w:t>
      </w:r>
      <w:r w:rsidRPr="00CD5A36">
        <w:rPr>
          <w:sz w:val="24"/>
          <w:lang w:val="hr-HR"/>
        </w:rPr>
        <w:t xml:space="preserve">1829/2003 (zahtjev EFSA-GMO-NL-2015-126), EFSA Journal 2020;18(5):e06111, </w:t>
      </w:r>
      <w:hyperlink r:id="rId3" w:history="1">
        <w:r w:rsidRPr="00CD5A36">
          <w:rPr>
            <w:rStyle w:val="Hyperlink"/>
            <w:sz w:val="24"/>
            <w:lang w:val="hr-HR"/>
          </w:rPr>
          <w:t>https://doi.org/10.29</w:t>
        </w:r>
        <w:r w:rsidRPr="00CD5A36">
          <w:rPr>
            <w:rStyle w:val="Hyperlink"/>
            <w:sz w:val="24"/>
            <w:lang w:val="hr-HR"/>
          </w:rPr>
          <w:t>0</w:t>
        </w:r>
        <w:r w:rsidRPr="00CD5A36">
          <w:rPr>
            <w:rStyle w:val="Hyperlink"/>
            <w:sz w:val="24"/>
            <w:lang w:val="hr-HR"/>
          </w:rPr>
          <w:t>3/j.efsa.2020.6111</w:t>
        </w:r>
      </w:hyperlink>
      <w:r w:rsidR="003811CA">
        <w:rPr>
          <w:rStyle w:val="Hyperlink"/>
          <w:sz w:val="24"/>
          <w:lang w:val="hr-HR"/>
        </w:rPr>
        <w:t>.</w:t>
      </w:r>
    </w:p>
  </w:footnote>
  <w:footnote w:id="4">
    <w:p w:rsidR="00F630E9" w:rsidRPr="00CD5A36" w:rsidRDefault="00F630E9" w:rsidP="00CD5A36">
      <w:pPr>
        <w:pStyle w:val="FootnoteText"/>
        <w:ind w:left="567" w:hanging="567"/>
        <w:rPr>
          <w:color w:val="000000" w:themeColor="text1"/>
          <w:sz w:val="24"/>
          <w:vertAlign w:val="superscript"/>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Parlament je u osmom sazivu donio 36, a u devetom sazivu 38 rezolucija u kojima se protivi odobravanju genetski modificiranih organizama.</w:t>
      </w:r>
      <w:r w:rsidRPr="00CD5A36">
        <w:rPr>
          <w:color w:val="000000" w:themeColor="text1"/>
          <w:sz w:val="24"/>
          <w:lang w:val="hr-HR"/>
        </w:rPr>
        <w:t xml:space="preserve"> Nadalje, u desetom sazivu Parlament je donio sljedeće rezolucije:</w:t>
      </w:r>
    </w:p>
    <w:p w:rsidR="00F630E9" w:rsidRPr="00CD5A36" w:rsidRDefault="00CD5A36" w:rsidP="00CD5A36">
      <w:pPr>
        <w:pStyle w:val="FootnoteText"/>
        <w:ind w:left="567" w:hanging="567"/>
        <w:rPr>
          <w:color w:val="000000" w:themeColor="text1"/>
          <w:sz w:val="24"/>
          <w:vertAlign w:val="superscript"/>
          <w:lang w:val="hr-HR"/>
        </w:rPr>
      </w:pPr>
      <w:r w:rsidRPr="00CD5A36">
        <w:rPr>
          <w:color w:val="000000" w:themeColor="text1"/>
          <w:sz w:val="24"/>
          <w:lang w:val="hr-HR"/>
        </w:rPr>
        <w:t xml:space="preserve"> </w:t>
      </w:r>
      <w:r w:rsidRPr="00CD5A36">
        <w:rPr>
          <w:color w:val="000000" w:themeColor="text1"/>
          <w:sz w:val="24"/>
          <w:lang w:val="hr-HR"/>
        </w:rPr>
        <w:tab/>
      </w:r>
      <w:r w:rsidR="00F630E9" w:rsidRPr="00CD5A36">
        <w:rPr>
          <w:color w:val="000000" w:themeColor="text1"/>
          <w:sz w:val="24"/>
          <w:lang w:val="hr-HR"/>
        </w:rPr>
        <w:t>–</w:t>
      </w:r>
      <w:r w:rsidR="00F630E9" w:rsidRPr="00CD5A36">
        <w:rPr>
          <w:color w:val="000000" w:themeColor="text1"/>
          <w:sz w:val="24"/>
          <w:lang w:val="hr-HR"/>
        </w:rPr>
        <w:tab/>
        <w:t xml:space="preserve">Rezoluciju Europskog parlamenta od 26. studenoga 2024. o Provedbenoj odluci Komisije (EU) 2024/2628 o produljenju odobrenja za stavljanje na tržište proizvoda koji sadržavaju genetski modificirani kukuruz MON 89034 × 1507 × NK603, sastoje se ili su proizvedeni od njega na temelju Uredbe (EZ) br. 1829/2003 Europskog parlamenta i Vijeća (SL C, C/2025/1797, 4.4.2025., ELI: </w:t>
      </w:r>
      <w:hyperlink r:id="rId4" w:history="1">
        <w:r w:rsidR="00F630E9" w:rsidRPr="00CD5A36">
          <w:rPr>
            <w:rStyle w:val="Hyperlink"/>
            <w:sz w:val="24"/>
            <w:lang w:val="hr-HR"/>
          </w:rPr>
          <w:t>http://data.europa.eu/eli/C/2025/1797/oj</w:t>
        </w:r>
      </w:hyperlink>
      <w:r w:rsidR="00F630E9" w:rsidRPr="00CD5A36">
        <w:rPr>
          <w:color w:val="000000" w:themeColor="text1"/>
          <w:sz w:val="24"/>
          <w:lang w:val="hr-HR"/>
        </w:rPr>
        <w:t>).</w:t>
      </w:r>
    </w:p>
    <w:p w:rsidR="00F630E9" w:rsidRPr="00CD5A36" w:rsidRDefault="00CD5A36" w:rsidP="00CD5A36">
      <w:pPr>
        <w:pStyle w:val="FootnoteText"/>
        <w:ind w:left="567" w:hanging="567"/>
        <w:rPr>
          <w:color w:val="000000" w:themeColor="text1"/>
          <w:sz w:val="24"/>
          <w:vertAlign w:val="superscript"/>
          <w:lang w:val="hr-HR"/>
        </w:rPr>
      </w:pPr>
      <w:r w:rsidRPr="00CD5A36">
        <w:rPr>
          <w:color w:val="000000" w:themeColor="text1"/>
          <w:sz w:val="24"/>
          <w:lang w:val="hr-HR"/>
        </w:rPr>
        <w:t xml:space="preserve"> </w:t>
      </w:r>
      <w:r w:rsidRPr="00CD5A36">
        <w:rPr>
          <w:color w:val="000000" w:themeColor="text1"/>
          <w:sz w:val="24"/>
          <w:lang w:val="hr-HR"/>
        </w:rPr>
        <w:tab/>
      </w:r>
      <w:r w:rsidR="00F630E9" w:rsidRPr="00CD5A36">
        <w:rPr>
          <w:color w:val="000000" w:themeColor="text1"/>
          <w:sz w:val="24"/>
          <w:lang w:val="hr-HR"/>
        </w:rPr>
        <w:t>–</w:t>
      </w:r>
      <w:r w:rsidR="00F630E9" w:rsidRPr="00CD5A36">
        <w:rPr>
          <w:color w:val="000000" w:themeColor="text1"/>
          <w:sz w:val="24"/>
          <w:lang w:val="hr-HR"/>
        </w:rPr>
        <w:tab/>
        <w:t xml:space="preserve">Rezoluciju Europskog parlamenta od 26. studenoga 2024. o Provedbenoj odluci Komisije (EU) 2024/2627 o odobravanju stavljanja na tržište proizvoda koji sadržavaju genetski modificirani pamuk COT102, od njega se sastoje ili su od njega proizvedeni, u skladu s Uredbom (EZ) br. 1829/2003 Europskog parlamenta i Vijeća (SL C, C/2025/1798, 4.4.2025., ELI: </w:t>
      </w:r>
      <w:hyperlink r:id="rId5" w:history="1">
        <w:r w:rsidR="00F630E9" w:rsidRPr="00CD5A36">
          <w:rPr>
            <w:rStyle w:val="Hyperlink"/>
            <w:sz w:val="24"/>
            <w:lang w:val="hr-HR"/>
          </w:rPr>
          <w:t>http://data.europa.eu/eli/C/2025/1798/oj</w:t>
        </w:r>
      </w:hyperlink>
      <w:r w:rsidR="00F630E9" w:rsidRPr="00CD5A36">
        <w:rPr>
          <w:color w:val="000000" w:themeColor="text1"/>
          <w:sz w:val="24"/>
          <w:lang w:val="hr-HR"/>
        </w:rPr>
        <w:t>).</w:t>
      </w:r>
    </w:p>
    <w:p w:rsidR="00F630E9" w:rsidRPr="00CD5A36" w:rsidRDefault="00CD5A36" w:rsidP="00CD5A36">
      <w:pPr>
        <w:pStyle w:val="FootnoteText"/>
        <w:ind w:left="567" w:hanging="567"/>
        <w:rPr>
          <w:color w:val="000000" w:themeColor="text1"/>
          <w:sz w:val="24"/>
          <w:vertAlign w:val="superscript"/>
          <w:lang w:val="hr-HR"/>
        </w:rPr>
      </w:pPr>
      <w:r w:rsidRPr="00CD5A36">
        <w:rPr>
          <w:color w:val="000000" w:themeColor="text1"/>
          <w:sz w:val="24"/>
          <w:lang w:val="hr-HR"/>
        </w:rPr>
        <w:t xml:space="preserve"> </w:t>
      </w:r>
      <w:r w:rsidRPr="00CD5A36">
        <w:rPr>
          <w:color w:val="000000" w:themeColor="text1"/>
          <w:sz w:val="24"/>
          <w:lang w:val="hr-HR"/>
        </w:rPr>
        <w:tab/>
      </w:r>
      <w:r w:rsidR="00F630E9" w:rsidRPr="00CD5A36">
        <w:rPr>
          <w:color w:val="000000" w:themeColor="text1"/>
          <w:sz w:val="24"/>
          <w:lang w:val="hr-HR"/>
        </w:rPr>
        <w:t>–</w:t>
      </w:r>
      <w:r w:rsidR="00F630E9" w:rsidRPr="00CD5A36">
        <w:rPr>
          <w:color w:val="000000" w:themeColor="text1"/>
          <w:sz w:val="24"/>
          <w:lang w:val="hr-HR"/>
        </w:rPr>
        <w:tab/>
        <w:t xml:space="preserve">Rezoluciju Europskog parlamenta od 26. studenoga 2024. o Provedbenoj odluci Komisije (EU) 2024/2629 o produljenju odobrenja za stavljanje na tržište proizvoda koji sadržavaju genetski modificirani kukuruz MON 89034 × 1507 × MON 88017 × 59122 i osam njegovih </w:t>
      </w:r>
      <w:proofErr w:type="spellStart"/>
      <w:r w:rsidR="00F630E9" w:rsidRPr="00CD5A36">
        <w:rPr>
          <w:color w:val="000000" w:themeColor="text1"/>
          <w:sz w:val="24"/>
          <w:lang w:val="hr-HR"/>
        </w:rPr>
        <w:t>potkombinacija</w:t>
      </w:r>
      <w:proofErr w:type="spellEnd"/>
      <w:r w:rsidR="00F630E9" w:rsidRPr="00CD5A36">
        <w:rPr>
          <w:color w:val="000000" w:themeColor="text1"/>
          <w:sz w:val="24"/>
          <w:lang w:val="hr-HR"/>
        </w:rPr>
        <w:t xml:space="preserve">, sastoje se ili su proizvedeni od njih, u skladu s Uredbom (EZ) br. 1829/2003 Europskog parlamenta i Vijeća (SL C, C/2025/1799, 4.4.2025., ELI: </w:t>
      </w:r>
      <w:hyperlink r:id="rId6" w:history="1">
        <w:r w:rsidR="00F630E9" w:rsidRPr="00CD5A36">
          <w:rPr>
            <w:rStyle w:val="Hyperlink"/>
            <w:sz w:val="24"/>
            <w:lang w:val="hr-HR"/>
          </w:rPr>
          <w:t>http://data.europa.eu/eli/C/2025/1799/oj</w:t>
        </w:r>
      </w:hyperlink>
      <w:r w:rsidR="00F630E9" w:rsidRPr="00CD5A36">
        <w:rPr>
          <w:color w:val="000000" w:themeColor="text1"/>
          <w:sz w:val="24"/>
          <w:lang w:val="hr-HR"/>
        </w:rPr>
        <w:t>).</w:t>
      </w:r>
    </w:p>
    <w:p w:rsidR="00F630E9" w:rsidRPr="00CD5A36" w:rsidRDefault="00CD5A36" w:rsidP="00CD5A36">
      <w:pPr>
        <w:pStyle w:val="FootnoteText"/>
        <w:ind w:left="567" w:hanging="567"/>
        <w:rPr>
          <w:color w:val="000000" w:themeColor="text1"/>
          <w:sz w:val="24"/>
          <w:vertAlign w:val="superscript"/>
          <w:lang w:val="hr-HR"/>
        </w:rPr>
      </w:pPr>
      <w:r w:rsidRPr="00CD5A36">
        <w:rPr>
          <w:color w:val="000000" w:themeColor="text1"/>
          <w:sz w:val="24"/>
          <w:lang w:val="hr-HR"/>
        </w:rPr>
        <w:t xml:space="preserve"> </w:t>
      </w:r>
      <w:r w:rsidRPr="00CD5A36">
        <w:rPr>
          <w:color w:val="000000" w:themeColor="text1"/>
          <w:sz w:val="24"/>
          <w:lang w:val="hr-HR"/>
        </w:rPr>
        <w:tab/>
      </w:r>
      <w:r w:rsidR="00F630E9" w:rsidRPr="00CD5A36">
        <w:rPr>
          <w:color w:val="000000" w:themeColor="text1"/>
          <w:sz w:val="24"/>
          <w:lang w:val="hr-HR"/>
        </w:rPr>
        <w:t>–</w:t>
      </w:r>
      <w:r w:rsidR="00F630E9" w:rsidRPr="00CD5A36">
        <w:rPr>
          <w:color w:val="000000" w:themeColor="text1"/>
          <w:sz w:val="24"/>
          <w:lang w:val="hr-HR"/>
        </w:rPr>
        <w:tab/>
        <w:t xml:space="preserve">Rezoluciju Europskog parlamenta od 26. studenoga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(SL C, C/2025/1800, 4.4.2025., ELI: </w:t>
      </w:r>
      <w:hyperlink r:id="rId7" w:history="1">
        <w:r w:rsidR="00F630E9" w:rsidRPr="00CD5A36">
          <w:rPr>
            <w:rStyle w:val="Hyperlink"/>
            <w:sz w:val="24"/>
            <w:lang w:val="hr-HR"/>
          </w:rPr>
          <w:t>http://data.europa.eu/eli/C/2025/1800/oj</w:t>
        </w:r>
      </w:hyperlink>
      <w:r w:rsidR="00F630E9" w:rsidRPr="00CD5A36">
        <w:rPr>
          <w:color w:val="000000" w:themeColor="text1"/>
          <w:sz w:val="24"/>
          <w:lang w:val="hr-HR"/>
        </w:rPr>
        <w:t>).</w:t>
      </w:r>
    </w:p>
    <w:p w:rsidR="00F630E9" w:rsidRPr="00CD5A36" w:rsidRDefault="00CD5A36" w:rsidP="00CD5A36">
      <w:pPr>
        <w:pStyle w:val="FootnoteText"/>
        <w:ind w:left="567" w:hanging="567"/>
        <w:rPr>
          <w:color w:val="000000" w:themeColor="text1"/>
          <w:sz w:val="24"/>
          <w:vertAlign w:val="superscript"/>
          <w:lang w:val="hr-HR"/>
        </w:rPr>
      </w:pPr>
      <w:r w:rsidRPr="00CD5A36">
        <w:rPr>
          <w:color w:val="000000" w:themeColor="text1"/>
          <w:sz w:val="24"/>
          <w:lang w:val="hr-HR"/>
        </w:rPr>
        <w:t xml:space="preserve"> </w:t>
      </w:r>
      <w:r w:rsidRPr="00CD5A36">
        <w:rPr>
          <w:color w:val="000000" w:themeColor="text1"/>
          <w:sz w:val="24"/>
          <w:lang w:val="hr-HR"/>
        </w:rPr>
        <w:tab/>
      </w:r>
      <w:r w:rsidR="00F630E9" w:rsidRPr="00CD5A36">
        <w:rPr>
          <w:color w:val="000000" w:themeColor="text1"/>
          <w:sz w:val="24"/>
          <w:lang w:val="hr-HR"/>
        </w:rPr>
        <w:t>–</w:t>
      </w:r>
      <w:r w:rsidR="00F630E9" w:rsidRPr="00CD5A36">
        <w:rPr>
          <w:color w:val="000000" w:themeColor="text1"/>
          <w:sz w:val="24"/>
          <w:lang w:val="hr-HR"/>
        </w:rPr>
        <w:tab/>
        <w:t xml:space="preserve">Rezoluciju Europskog parlamenta od 26. studenoga 2024. o Provedbenoj odluci Komisije (EU) 2024/1822 o odobravanju stavljanja na tržište proizvoda koji sadržavaju genetski modificirani kukuruz DP915635, od njega se sastoje ili su od njega proizvedeni, u skladu s Uredbom (EZ) br. 1829/2003 Europskog parlamenta i Vijeća (SL C, C/2025/1801, 4.4.2025., ELI: </w:t>
      </w:r>
      <w:hyperlink r:id="rId8" w:history="1">
        <w:r w:rsidR="00F630E9" w:rsidRPr="00CD5A36">
          <w:rPr>
            <w:rStyle w:val="Hyperlink"/>
            <w:sz w:val="24"/>
            <w:lang w:val="hr-HR"/>
          </w:rPr>
          <w:t>http://data.europa.eu/eli/C/2025/1801/oj</w:t>
        </w:r>
      </w:hyperlink>
      <w:r w:rsidR="00F630E9" w:rsidRPr="00CD5A36">
        <w:rPr>
          <w:color w:val="000000" w:themeColor="text1"/>
          <w:sz w:val="24"/>
          <w:lang w:val="hr-HR"/>
        </w:rPr>
        <w:t>).</w:t>
      </w:r>
    </w:p>
    <w:p w:rsidR="00F630E9" w:rsidRPr="00CD5A36" w:rsidRDefault="00CD5A36" w:rsidP="00CD5A36">
      <w:pPr>
        <w:pStyle w:val="FootnoteText"/>
        <w:ind w:left="567" w:hanging="567"/>
        <w:rPr>
          <w:color w:val="000000" w:themeColor="text1"/>
          <w:sz w:val="24"/>
          <w:vertAlign w:val="superscript"/>
          <w:lang w:val="hr-HR"/>
        </w:rPr>
      </w:pPr>
      <w:r w:rsidRPr="00CD5A36">
        <w:rPr>
          <w:color w:val="000000" w:themeColor="text1"/>
          <w:sz w:val="24"/>
          <w:lang w:val="hr-HR"/>
        </w:rPr>
        <w:t xml:space="preserve"> </w:t>
      </w:r>
      <w:r w:rsidRPr="00CD5A36">
        <w:rPr>
          <w:color w:val="000000" w:themeColor="text1"/>
          <w:sz w:val="24"/>
          <w:lang w:val="hr-HR"/>
        </w:rPr>
        <w:tab/>
      </w:r>
      <w:r w:rsidR="00F630E9" w:rsidRPr="00CD5A36">
        <w:rPr>
          <w:color w:val="000000" w:themeColor="text1"/>
          <w:sz w:val="24"/>
          <w:lang w:val="hr-HR"/>
        </w:rPr>
        <w:t>–</w:t>
      </w:r>
      <w:r w:rsidR="00F630E9" w:rsidRPr="00CD5A36">
        <w:rPr>
          <w:color w:val="000000" w:themeColor="text1"/>
          <w:sz w:val="24"/>
          <w:lang w:val="hr-HR"/>
        </w:rPr>
        <w:tab/>
        <w:t xml:space="preserve">Rezoluciju Europskog parlamenta od 26. studenoga 2024. o Provedbenoj odluci Komisije (EU) 2024/1826 o odobravanju stavljanja na tržište proizvoda koji sadržavaju genetski modificirani pamuk DP23211, od njega se sastoje ili su od njega proizvedeni, u skladu s Uredbom (EZ) br. 1829/2003 Europskog parlamenta i Vijeća (SL C, C/2025/1802, 4.4.2025., ELI: </w:t>
      </w:r>
      <w:hyperlink r:id="rId9" w:history="1">
        <w:r w:rsidR="00F630E9" w:rsidRPr="00CD5A36">
          <w:rPr>
            <w:rStyle w:val="Hyperlink"/>
            <w:sz w:val="24"/>
            <w:lang w:val="hr-HR"/>
          </w:rPr>
          <w:t>http://data.europa.eu/eli/C/2025/1802/oj</w:t>
        </w:r>
      </w:hyperlink>
      <w:r w:rsidR="00F630E9" w:rsidRPr="00CD5A36">
        <w:rPr>
          <w:color w:val="000000" w:themeColor="text1"/>
          <w:sz w:val="24"/>
          <w:lang w:val="hr-HR"/>
        </w:rPr>
        <w:t>).</w:t>
      </w:r>
    </w:p>
    <w:p w:rsidR="00F630E9" w:rsidRPr="00CD5A36" w:rsidRDefault="00CD5A36" w:rsidP="00CD5A36">
      <w:pPr>
        <w:pStyle w:val="FootnoteText"/>
        <w:ind w:left="567" w:hanging="567"/>
        <w:rPr>
          <w:color w:val="000000" w:themeColor="text1"/>
          <w:sz w:val="24"/>
          <w:vertAlign w:val="superscript"/>
          <w:lang w:val="hr-HR"/>
        </w:rPr>
      </w:pPr>
      <w:r w:rsidRPr="00CD5A36">
        <w:rPr>
          <w:color w:val="000000" w:themeColor="text1"/>
          <w:sz w:val="24"/>
          <w:lang w:val="hr-HR"/>
        </w:rPr>
        <w:t xml:space="preserve"> </w:t>
      </w:r>
      <w:r w:rsidRPr="00CD5A36">
        <w:rPr>
          <w:color w:val="000000" w:themeColor="text1"/>
          <w:sz w:val="24"/>
          <w:lang w:val="hr-HR"/>
        </w:rPr>
        <w:tab/>
      </w:r>
      <w:r w:rsidR="00F630E9" w:rsidRPr="00CD5A36">
        <w:rPr>
          <w:color w:val="000000" w:themeColor="text1"/>
          <w:sz w:val="24"/>
          <w:lang w:val="hr-HR"/>
        </w:rPr>
        <w:t>–</w:t>
      </w:r>
      <w:r w:rsidR="00F630E9" w:rsidRPr="00CD5A36">
        <w:rPr>
          <w:color w:val="000000" w:themeColor="text1"/>
          <w:sz w:val="24"/>
          <w:lang w:val="hr-HR"/>
        </w:rPr>
        <w:tab/>
        <w:t xml:space="preserve">Rezoluciju Europskog parlamenta od 26. studenoga 2024. o Provedbenoj odluci Komisije (EU) 2024/2618 o odobravanju stavljanja na tržište proizvoda koji sadržavaju genetski modificirani pamuk DP202216, od njega se sastoje ili su od njega proizvedeni, u skladu s Uredbom (EZ) br. 1829/2003 Europskog parlamenta i Vijeća (SL C, C/2025/1803, 4.4.2025., ELI: </w:t>
      </w:r>
      <w:hyperlink r:id="rId10" w:history="1">
        <w:r w:rsidR="00F630E9" w:rsidRPr="00CD5A36">
          <w:rPr>
            <w:rStyle w:val="Hyperlink"/>
            <w:sz w:val="24"/>
            <w:lang w:val="hr-HR"/>
          </w:rPr>
          <w:t>http://data.europa.eu/eli/C/2025/1803/oj</w:t>
        </w:r>
      </w:hyperlink>
      <w:r w:rsidR="00F630E9" w:rsidRPr="00CD5A36">
        <w:rPr>
          <w:color w:val="000000" w:themeColor="text1"/>
          <w:sz w:val="24"/>
          <w:lang w:val="hr-HR"/>
        </w:rPr>
        <w:t>).</w:t>
      </w:r>
    </w:p>
    <w:p w:rsidR="00F630E9" w:rsidRPr="00CD5A36" w:rsidRDefault="00CD5A36" w:rsidP="00CD5A36">
      <w:pPr>
        <w:pStyle w:val="FootnoteText"/>
        <w:ind w:left="567" w:hanging="567"/>
        <w:rPr>
          <w:color w:val="000000" w:themeColor="text1"/>
          <w:sz w:val="24"/>
          <w:vertAlign w:val="superscript"/>
          <w:lang w:val="hr-HR"/>
        </w:rPr>
      </w:pPr>
      <w:r w:rsidRPr="00CD5A36">
        <w:rPr>
          <w:color w:val="000000" w:themeColor="text1"/>
          <w:sz w:val="24"/>
          <w:lang w:val="hr-HR"/>
        </w:rPr>
        <w:t xml:space="preserve"> </w:t>
      </w:r>
      <w:r w:rsidRPr="00CD5A36">
        <w:rPr>
          <w:color w:val="000000" w:themeColor="text1"/>
          <w:sz w:val="24"/>
          <w:lang w:val="hr-HR"/>
        </w:rPr>
        <w:tab/>
      </w:r>
      <w:r w:rsidR="00F630E9" w:rsidRPr="00CD5A36">
        <w:rPr>
          <w:color w:val="000000" w:themeColor="text1"/>
          <w:sz w:val="24"/>
          <w:lang w:val="hr-HR"/>
        </w:rPr>
        <w:t>–</w:t>
      </w:r>
      <w:r w:rsidR="00F630E9" w:rsidRPr="00CD5A36">
        <w:rPr>
          <w:color w:val="000000" w:themeColor="text1"/>
          <w:sz w:val="24"/>
          <w:lang w:val="hr-HR"/>
        </w:rPr>
        <w:tab/>
        <w:t xml:space="preserve">Rezolucija Europskog parlamenta od 26. studenoga 2024. o Nacrtu provedbene odluke Komisije o odobravanju stavljanja na tržište proizvoda koji sadržavaju genetski modificirani kukuruz MON 94804, sastoje se od njega ili su od njega proizvedeni, na temelju Uredbe (EZ) br. 1829/2003 Europskog parlamenta i Vijeća (SL C, C/2025/1804, 4.4.2025., ELI: </w:t>
      </w:r>
      <w:hyperlink r:id="rId11" w:history="1">
        <w:r w:rsidR="00F630E9" w:rsidRPr="00CD5A36">
          <w:rPr>
            <w:rStyle w:val="Hyperlink"/>
            <w:sz w:val="24"/>
            <w:lang w:val="hr-HR"/>
          </w:rPr>
          <w:t>http://data.europa.eu/eli/C/2025/1804/oj</w:t>
        </w:r>
      </w:hyperlink>
      <w:r w:rsidR="00F630E9" w:rsidRPr="00CD5A36">
        <w:rPr>
          <w:color w:val="000000" w:themeColor="text1"/>
          <w:sz w:val="24"/>
          <w:lang w:val="hr-HR"/>
        </w:rPr>
        <w:t>).</w:t>
      </w:r>
    </w:p>
    <w:p w:rsidR="00F630E9" w:rsidRPr="00CD5A36" w:rsidRDefault="00CD5A36" w:rsidP="00CD5A36">
      <w:pPr>
        <w:pStyle w:val="FootnoteText"/>
        <w:ind w:left="567" w:hanging="567"/>
        <w:rPr>
          <w:sz w:val="24"/>
          <w:vertAlign w:val="superscript"/>
          <w:lang w:val="hr-HR"/>
        </w:rPr>
      </w:pPr>
      <w:r w:rsidRPr="00CD5A36">
        <w:rPr>
          <w:color w:val="000000" w:themeColor="text1"/>
          <w:sz w:val="24"/>
          <w:lang w:val="hr-HR"/>
        </w:rPr>
        <w:t xml:space="preserve"> </w:t>
      </w:r>
      <w:r w:rsidRPr="00CD5A36">
        <w:rPr>
          <w:color w:val="000000" w:themeColor="text1"/>
          <w:sz w:val="24"/>
          <w:lang w:val="hr-HR"/>
        </w:rPr>
        <w:tab/>
      </w:r>
      <w:r w:rsidR="00F630E9" w:rsidRPr="00CD5A36">
        <w:rPr>
          <w:color w:val="000000" w:themeColor="text1"/>
          <w:sz w:val="24"/>
          <w:lang w:val="hr-HR"/>
        </w:rPr>
        <w:t>–</w:t>
      </w:r>
      <w:r w:rsidR="00F630E9" w:rsidRPr="00CD5A36">
        <w:rPr>
          <w:color w:val="000000" w:themeColor="text1"/>
          <w:sz w:val="24"/>
          <w:lang w:val="hr-HR"/>
        </w:rPr>
        <w:tab/>
      </w:r>
      <w:r w:rsidR="00F630E9" w:rsidRPr="00CD5A36">
        <w:rPr>
          <w:sz w:val="24"/>
          <w:lang w:val="hr-HR"/>
        </w:rPr>
        <w:t>Rezoluciju Europskog parlamenta od 12. veljače 2025. o Nacrtu provedbene odluke Komisije o odobravanju stavljanja na tržište proizvoda koji sadržavaju genetski modificirani kukuruz DP910521, sastoje se od njega ili su od njega proizvedeni, na temelju Uredbe (EZ) br. 1829/2003 Europskog parlamenta i Vijeća (P10_TA(2025)0014).</w:t>
      </w:r>
    </w:p>
    <w:p w:rsidR="00F630E9" w:rsidRPr="00CD5A36" w:rsidRDefault="00CD5A36" w:rsidP="00CD5A36">
      <w:pPr>
        <w:pStyle w:val="FootnoteText"/>
        <w:ind w:left="567" w:hanging="567"/>
        <w:rPr>
          <w:sz w:val="24"/>
          <w:lang w:val="hr-HR"/>
        </w:rPr>
      </w:pPr>
      <w:r w:rsidRPr="00CD5A36">
        <w:rPr>
          <w:color w:val="000000" w:themeColor="text1"/>
          <w:sz w:val="24"/>
          <w:lang w:val="hr-HR"/>
        </w:rPr>
        <w:t xml:space="preserve"> </w:t>
      </w:r>
      <w:r w:rsidRPr="00CD5A36">
        <w:rPr>
          <w:color w:val="000000" w:themeColor="text1"/>
          <w:sz w:val="24"/>
          <w:lang w:val="hr-HR"/>
        </w:rPr>
        <w:tab/>
      </w:r>
      <w:r w:rsidR="00F630E9" w:rsidRPr="00CD5A36">
        <w:rPr>
          <w:color w:val="000000" w:themeColor="text1"/>
          <w:sz w:val="24"/>
          <w:lang w:val="hr-HR"/>
        </w:rPr>
        <w:t>–</w:t>
      </w:r>
      <w:r w:rsidR="00F630E9" w:rsidRPr="00CD5A36">
        <w:rPr>
          <w:color w:val="000000" w:themeColor="text1"/>
          <w:sz w:val="24"/>
          <w:lang w:val="hr-HR"/>
        </w:rPr>
        <w:tab/>
        <w:t>Rezoluciju Europskog parlamenta od 12. veljače 2025. o Nacrtu provedbene odluke Komisije o odobravanju stavljanja na tržište proizvoda koji sadržavaju genetski modificirani kukuruz MON 95275, sastoje se od njega ili su od njega proizvedeni, na temelju Uredbe (EZ) br. 1829/2003 Europskog parlamenta i Vijeća (P10_TA(2025)0015).</w:t>
      </w:r>
    </w:p>
  </w:footnote>
  <w:footnote w:id="5">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EFSA-ino povjerenstvo za genetski modificirane organizme, „Izjava kojom se dopunjuje znanstveno mišljenje EFSA-e o zahtjevu (EFSA-GMO-NL-2015-126) za odobrenje hrane i hrane za životinje koja sadržava genetski modificiranu soju MON 87705 × MON 87708 × MON 89788</w:t>
      </w:r>
      <w:r w:rsidR="006B2B8E">
        <w:rPr>
          <w:sz w:val="24"/>
          <w:lang w:val="hr-HR"/>
        </w:rPr>
        <w:t>“</w:t>
      </w:r>
      <w:r w:rsidRPr="00CD5A36">
        <w:rPr>
          <w:sz w:val="24"/>
          <w:lang w:val="hr-HR"/>
        </w:rPr>
        <w:t xml:space="preserve">, sastoji se ili je proizvedena od nje. EFSA Journal 2024;22(10):e9061, </w:t>
      </w:r>
      <w:hyperlink r:id="rId12" w:history="1">
        <w:r w:rsidRPr="00CD5A36">
          <w:rPr>
            <w:rStyle w:val="Hyperlink"/>
            <w:sz w:val="24"/>
            <w:lang w:val="hr-HR"/>
          </w:rPr>
          <w:t>https://doi.org/10.2903/j.efsa.2024.9061</w:t>
        </w:r>
      </w:hyperlink>
      <w:r w:rsidR="006B2B8E">
        <w:rPr>
          <w:rStyle w:val="Hyperlink"/>
          <w:sz w:val="24"/>
          <w:lang w:val="hr-HR"/>
        </w:rPr>
        <w:t>.</w:t>
      </w:r>
    </w:p>
  </w:footnote>
  <w:footnote w:id="6">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Provedbena uredba Komisije (EU) br. 503/2013 od 3. travnja 2013. o prijavama za odobrenje genetski modificirane hrane i hrane za životinje u skladu s Uredbom (EZ) br. 1829/2003 Europskog parlamenta i Vijeća i o izmjeni Uredbi Komisije (EZ) br. 641/2004 i (EZ) br. 1981/2006 (SL L 157, 8.6.2013., str. 1., ELI:</w:t>
      </w:r>
      <w:r w:rsidRPr="00CD5A36">
        <w:rPr>
          <w:color w:val="000000" w:themeColor="text1"/>
          <w:sz w:val="24"/>
          <w:lang w:val="hr-HR"/>
        </w:rPr>
        <w:t xml:space="preserve"> </w:t>
      </w:r>
      <w:hyperlink r:id="rId13" w:tgtFrame="Gives access to this document through its ELI URI." w:history="1">
        <w:r w:rsidRPr="00CD5A36">
          <w:rPr>
            <w:rStyle w:val="Hyperlink"/>
            <w:color w:val="0070C0"/>
            <w:sz w:val="24"/>
            <w:lang w:val="hr-HR"/>
          </w:rPr>
          <w:t>http://data.europa.eu/eli/reg_impl/2013/503/oj</w:t>
        </w:r>
      </w:hyperlink>
      <w:r w:rsidRPr="00CD5A36">
        <w:rPr>
          <w:rStyle w:val="Hyperlink"/>
          <w:color w:val="000000" w:themeColor="text1"/>
          <w:sz w:val="24"/>
          <w:lang w:val="hr-HR"/>
        </w:rPr>
        <w:t>).</w:t>
      </w:r>
    </w:p>
  </w:footnote>
  <w:footnote w:id="7">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 xml:space="preserve">Vidi primjerice </w:t>
      </w:r>
      <w:proofErr w:type="spellStart"/>
      <w:r w:rsidRPr="00CD5A36">
        <w:rPr>
          <w:sz w:val="24"/>
          <w:lang w:val="hr-HR"/>
        </w:rPr>
        <w:t>Bonny</w:t>
      </w:r>
      <w:proofErr w:type="spellEnd"/>
      <w:r w:rsidRPr="00CD5A36">
        <w:rPr>
          <w:sz w:val="24"/>
          <w:lang w:val="hr-HR"/>
        </w:rPr>
        <w:t xml:space="preserve">, S., </w:t>
      </w:r>
      <w:proofErr w:type="spellStart"/>
      <w:r w:rsidRPr="00CD5A36">
        <w:rPr>
          <w:i/>
          <w:iCs/>
          <w:sz w:val="24"/>
          <w:lang w:val="hr-HR"/>
        </w:rPr>
        <w:t>Genetically</w:t>
      </w:r>
      <w:proofErr w:type="spellEnd"/>
      <w:r w:rsidRPr="00CD5A36">
        <w:rPr>
          <w:i/>
          <w:iCs/>
          <w:sz w:val="24"/>
          <w:lang w:val="hr-HR"/>
        </w:rPr>
        <w:t xml:space="preserve"> </w:t>
      </w:r>
      <w:proofErr w:type="spellStart"/>
      <w:r w:rsidRPr="00CD5A36">
        <w:rPr>
          <w:i/>
          <w:iCs/>
          <w:sz w:val="24"/>
          <w:lang w:val="hr-HR"/>
        </w:rPr>
        <w:t>Modified</w:t>
      </w:r>
      <w:proofErr w:type="spellEnd"/>
      <w:r w:rsidRPr="00CD5A36">
        <w:rPr>
          <w:i/>
          <w:iCs/>
          <w:sz w:val="24"/>
          <w:lang w:val="hr-HR"/>
        </w:rPr>
        <w:t xml:space="preserve"> Herbicide-</w:t>
      </w:r>
      <w:proofErr w:type="spellStart"/>
      <w:r w:rsidRPr="00CD5A36">
        <w:rPr>
          <w:i/>
          <w:iCs/>
          <w:sz w:val="24"/>
          <w:lang w:val="hr-HR"/>
        </w:rPr>
        <w:t>Tolerant</w:t>
      </w:r>
      <w:proofErr w:type="spellEnd"/>
      <w:r w:rsidRPr="00CD5A36">
        <w:rPr>
          <w:i/>
          <w:iCs/>
          <w:sz w:val="24"/>
          <w:lang w:val="hr-HR"/>
        </w:rPr>
        <w:t xml:space="preserve"> </w:t>
      </w:r>
      <w:proofErr w:type="spellStart"/>
      <w:r w:rsidRPr="00CD5A36">
        <w:rPr>
          <w:i/>
          <w:iCs/>
          <w:sz w:val="24"/>
          <w:lang w:val="hr-HR"/>
        </w:rPr>
        <w:t>Crops</w:t>
      </w:r>
      <w:proofErr w:type="spellEnd"/>
      <w:r w:rsidRPr="00CD5A36">
        <w:rPr>
          <w:i/>
          <w:iCs/>
          <w:sz w:val="24"/>
          <w:lang w:val="hr-HR"/>
        </w:rPr>
        <w:t xml:space="preserve">, </w:t>
      </w:r>
      <w:proofErr w:type="spellStart"/>
      <w:r w:rsidRPr="00CD5A36">
        <w:rPr>
          <w:i/>
          <w:iCs/>
          <w:sz w:val="24"/>
          <w:lang w:val="hr-HR"/>
        </w:rPr>
        <w:t>Weeds</w:t>
      </w:r>
      <w:proofErr w:type="spellEnd"/>
      <w:r w:rsidRPr="00CD5A36">
        <w:rPr>
          <w:i/>
          <w:iCs/>
          <w:sz w:val="24"/>
          <w:lang w:val="hr-HR"/>
        </w:rPr>
        <w:t xml:space="preserve">, </w:t>
      </w:r>
      <w:proofErr w:type="spellStart"/>
      <w:r w:rsidRPr="00CD5A36">
        <w:rPr>
          <w:i/>
          <w:iCs/>
          <w:sz w:val="24"/>
          <w:lang w:val="hr-HR"/>
        </w:rPr>
        <w:t>and</w:t>
      </w:r>
      <w:proofErr w:type="spellEnd"/>
      <w:r w:rsidRPr="00CD5A36">
        <w:rPr>
          <w:i/>
          <w:iCs/>
          <w:sz w:val="24"/>
          <w:lang w:val="hr-HR"/>
        </w:rPr>
        <w:t xml:space="preserve"> </w:t>
      </w:r>
      <w:proofErr w:type="spellStart"/>
      <w:r w:rsidRPr="00CD5A36">
        <w:rPr>
          <w:i/>
          <w:iCs/>
          <w:sz w:val="24"/>
          <w:lang w:val="hr-HR"/>
        </w:rPr>
        <w:t>Herbicides</w:t>
      </w:r>
      <w:proofErr w:type="spellEnd"/>
      <w:r w:rsidRPr="00CD5A36">
        <w:rPr>
          <w:i/>
          <w:iCs/>
          <w:sz w:val="24"/>
          <w:lang w:val="hr-HR"/>
        </w:rPr>
        <w:t>:</w:t>
      </w:r>
      <w:r w:rsidRPr="00CD5A36">
        <w:rPr>
          <w:sz w:val="24"/>
          <w:lang w:val="hr-HR"/>
        </w:rPr>
        <w:t xml:space="preserve"> </w:t>
      </w:r>
      <w:proofErr w:type="spellStart"/>
      <w:r w:rsidRPr="00CD5A36">
        <w:rPr>
          <w:i/>
          <w:iCs/>
          <w:sz w:val="24"/>
          <w:lang w:val="hr-HR"/>
        </w:rPr>
        <w:t>Overview</w:t>
      </w:r>
      <w:proofErr w:type="spellEnd"/>
      <w:r w:rsidRPr="00CD5A36">
        <w:rPr>
          <w:i/>
          <w:iCs/>
          <w:sz w:val="24"/>
          <w:lang w:val="hr-HR"/>
        </w:rPr>
        <w:t xml:space="preserve"> </w:t>
      </w:r>
      <w:proofErr w:type="spellStart"/>
      <w:r w:rsidRPr="00CD5A36">
        <w:rPr>
          <w:i/>
          <w:iCs/>
          <w:sz w:val="24"/>
          <w:lang w:val="hr-HR"/>
        </w:rPr>
        <w:t>and</w:t>
      </w:r>
      <w:proofErr w:type="spellEnd"/>
      <w:r w:rsidRPr="00CD5A36">
        <w:rPr>
          <w:i/>
          <w:iCs/>
          <w:sz w:val="24"/>
          <w:lang w:val="hr-HR"/>
        </w:rPr>
        <w:t xml:space="preserve"> </w:t>
      </w:r>
      <w:proofErr w:type="spellStart"/>
      <w:r w:rsidRPr="00CD5A36">
        <w:rPr>
          <w:i/>
          <w:iCs/>
          <w:sz w:val="24"/>
          <w:lang w:val="hr-HR"/>
        </w:rPr>
        <w:t>Impact</w:t>
      </w:r>
      <w:proofErr w:type="spellEnd"/>
      <w:r w:rsidRPr="00CD5A36">
        <w:rPr>
          <w:sz w:val="24"/>
          <w:lang w:val="hr-HR"/>
        </w:rPr>
        <w:t xml:space="preserve">, </w:t>
      </w:r>
      <w:proofErr w:type="spellStart"/>
      <w:r w:rsidRPr="00CD5A36">
        <w:rPr>
          <w:sz w:val="24"/>
          <w:lang w:val="hr-HR"/>
        </w:rPr>
        <w:t>Environmental</w:t>
      </w:r>
      <w:proofErr w:type="spellEnd"/>
      <w:r w:rsidRPr="00CD5A36">
        <w:rPr>
          <w:sz w:val="24"/>
          <w:lang w:val="hr-HR"/>
        </w:rPr>
        <w:t xml:space="preserve"> Management, siječanj 2016.;57(1), str. 31. – 48., </w:t>
      </w:r>
      <w:hyperlink r:id="rId14" w:history="1">
        <w:r w:rsidRPr="00CD5A36">
          <w:rPr>
            <w:rStyle w:val="Hyperlink"/>
            <w:sz w:val="24"/>
            <w:lang w:val="hr-HR"/>
          </w:rPr>
          <w:t>https://www.ncbi.nlm.nih.gov/pubmed/26296738</w:t>
        </w:r>
      </w:hyperlink>
      <w:r w:rsidRPr="00CD5A36">
        <w:rPr>
          <w:sz w:val="24"/>
          <w:lang w:val="hr-HR"/>
        </w:rPr>
        <w:t xml:space="preserve"> i </w:t>
      </w:r>
      <w:proofErr w:type="spellStart"/>
      <w:r w:rsidRPr="00CD5A36">
        <w:rPr>
          <w:sz w:val="24"/>
          <w:lang w:val="hr-HR"/>
        </w:rPr>
        <w:t>Benbrook</w:t>
      </w:r>
      <w:proofErr w:type="spellEnd"/>
      <w:r w:rsidRPr="00CD5A36">
        <w:rPr>
          <w:sz w:val="24"/>
          <w:lang w:val="hr-HR"/>
        </w:rPr>
        <w:t xml:space="preserve">, C.M., </w:t>
      </w:r>
      <w:proofErr w:type="spellStart"/>
      <w:r w:rsidRPr="00CD5A36">
        <w:rPr>
          <w:i/>
          <w:iCs/>
          <w:sz w:val="24"/>
          <w:lang w:val="hr-HR"/>
        </w:rPr>
        <w:t>Impacts</w:t>
      </w:r>
      <w:proofErr w:type="spellEnd"/>
      <w:r w:rsidRPr="00CD5A36">
        <w:rPr>
          <w:i/>
          <w:iCs/>
          <w:sz w:val="24"/>
          <w:lang w:val="hr-HR"/>
        </w:rPr>
        <w:t xml:space="preserve"> </w:t>
      </w:r>
      <w:proofErr w:type="spellStart"/>
      <w:r w:rsidRPr="00CD5A36">
        <w:rPr>
          <w:i/>
          <w:iCs/>
          <w:sz w:val="24"/>
          <w:lang w:val="hr-HR"/>
        </w:rPr>
        <w:t>of</w:t>
      </w:r>
      <w:proofErr w:type="spellEnd"/>
      <w:r w:rsidRPr="00CD5A36">
        <w:rPr>
          <w:i/>
          <w:iCs/>
          <w:sz w:val="24"/>
          <w:lang w:val="hr-HR"/>
        </w:rPr>
        <w:t xml:space="preserve"> </w:t>
      </w:r>
      <w:proofErr w:type="spellStart"/>
      <w:r w:rsidRPr="00CD5A36">
        <w:rPr>
          <w:i/>
          <w:iCs/>
          <w:sz w:val="24"/>
          <w:lang w:val="hr-HR"/>
        </w:rPr>
        <w:t>genetically</w:t>
      </w:r>
      <w:proofErr w:type="spellEnd"/>
      <w:r w:rsidRPr="00CD5A36">
        <w:rPr>
          <w:i/>
          <w:iCs/>
          <w:sz w:val="24"/>
          <w:lang w:val="hr-HR"/>
        </w:rPr>
        <w:t xml:space="preserve"> </w:t>
      </w:r>
      <w:proofErr w:type="spellStart"/>
      <w:r w:rsidRPr="00CD5A36">
        <w:rPr>
          <w:i/>
          <w:iCs/>
          <w:sz w:val="24"/>
          <w:lang w:val="hr-HR"/>
        </w:rPr>
        <w:t>engineered</w:t>
      </w:r>
      <w:proofErr w:type="spellEnd"/>
      <w:r w:rsidRPr="00CD5A36">
        <w:rPr>
          <w:i/>
          <w:iCs/>
          <w:sz w:val="24"/>
          <w:lang w:val="hr-HR"/>
        </w:rPr>
        <w:t xml:space="preserve"> </w:t>
      </w:r>
      <w:proofErr w:type="spellStart"/>
      <w:r w:rsidRPr="00CD5A36">
        <w:rPr>
          <w:i/>
          <w:iCs/>
          <w:sz w:val="24"/>
          <w:lang w:val="hr-HR"/>
        </w:rPr>
        <w:t>crops</w:t>
      </w:r>
      <w:proofErr w:type="spellEnd"/>
      <w:r w:rsidRPr="00CD5A36">
        <w:rPr>
          <w:i/>
          <w:iCs/>
          <w:sz w:val="24"/>
          <w:lang w:val="hr-HR"/>
        </w:rPr>
        <w:t xml:space="preserve"> on pesticide use </w:t>
      </w:r>
      <w:proofErr w:type="spellStart"/>
      <w:r w:rsidRPr="00CD5A36">
        <w:rPr>
          <w:i/>
          <w:iCs/>
          <w:sz w:val="24"/>
          <w:lang w:val="hr-HR"/>
        </w:rPr>
        <w:t>in</w:t>
      </w:r>
      <w:proofErr w:type="spellEnd"/>
      <w:r w:rsidRPr="00CD5A36">
        <w:rPr>
          <w:i/>
          <w:iCs/>
          <w:sz w:val="24"/>
          <w:lang w:val="hr-HR"/>
        </w:rPr>
        <w:t xml:space="preserve"> </w:t>
      </w:r>
      <w:proofErr w:type="spellStart"/>
      <w:r w:rsidRPr="00CD5A36">
        <w:rPr>
          <w:i/>
          <w:iCs/>
          <w:sz w:val="24"/>
          <w:lang w:val="hr-HR"/>
        </w:rPr>
        <w:t>the</w:t>
      </w:r>
      <w:proofErr w:type="spellEnd"/>
      <w:r w:rsidRPr="00CD5A36">
        <w:rPr>
          <w:i/>
          <w:iCs/>
          <w:sz w:val="24"/>
          <w:lang w:val="hr-HR"/>
        </w:rPr>
        <w:t xml:space="preserve"> U.S. – </w:t>
      </w:r>
      <w:proofErr w:type="spellStart"/>
      <w:r w:rsidRPr="00CD5A36">
        <w:rPr>
          <w:i/>
          <w:iCs/>
          <w:sz w:val="24"/>
          <w:lang w:val="hr-HR"/>
        </w:rPr>
        <w:t>the</w:t>
      </w:r>
      <w:proofErr w:type="spellEnd"/>
      <w:r w:rsidRPr="00CD5A36">
        <w:rPr>
          <w:i/>
          <w:iCs/>
          <w:sz w:val="24"/>
          <w:lang w:val="hr-HR"/>
        </w:rPr>
        <w:t xml:space="preserve"> </w:t>
      </w:r>
      <w:proofErr w:type="spellStart"/>
      <w:r w:rsidRPr="00CD5A36">
        <w:rPr>
          <w:i/>
          <w:iCs/>
          <w:sz w:val="24"/>
          <w:lang w:val="hr-HR"/>
        </w:rPr>
        <w:t>first</w:t>
      </w:r>
      <w:proofErr w:type="spellEnd"/>
      <w:r w:rsidRPr="00CD5A36">
        <w:rPr>
          <w:i/>
          <w:iCs/>
          <w:sz w:val="24"/>
          <w:lang w:val="hr-HR"/>
        </w:rPr>
        <w:t xml:space="preserve"> </w:t>
      </w:r>
      <w:proofErr w:type="spellStart"/>
      <w:r w:rsidRPr="00CD5A36">
        <w:rPr>
          <w:i/>
          <w:iCs/>
          <w:sz w:val="24"/>
          <w:lang w:val="hr-HR"/>
        </w:rPr>
        <w:t>sixteen</w:t>
      </w:r>
      <w:proofErr w:type="spellEnd"/>
      <w:r w:rsidRPr="00CD5A36">
        <w:rPr>
          <w:i/>
          <w:iCs/>
          <w:sz w:val="24"/>
          <w:lang w:val="hr-HR"/>
        </w:rPr>
        <w:t xml:space="preserve"> </w:t>
      </w:r>
      <w:proofErr w:type="spellStart"/>
      <w:r w:rsidRPr="00CD5A36">
        <w:rPr>
          <w:i/>
          <w:iCs/>
          <w:sz w:val="24"/>
          <w:lang w:val="hr-HR"/>
        </w:rPr>
        <w:t>years</w:t>
      </w:r>
      <w:proofErr w:type="spellEnd"/>
      <w:r w:rsidRPr="00CD5A36">
        <w:rPr>
          <w:sz w:val="24"/>
          <w:lang w:val="hr-HR"/>
        </w:rPr>
        <w:t xml:space="preserve">, </w:t>
      </w:r>
      <w:proofErr w:type="spellStart"/>
      <w:r w:rsidRPr="00CD5A36">
        <w:rPr>
          <w:sz w:val="24"/>
          <w:lang w:val="hr-HR"/>
        </w:rPr>
        <w:t>Environmental</w:t>
      </w:r>
      <w:proofErr w:type="spellEnd"/>
      <w:r w:rsidRPr="00CD5A36">
        <w:rPr>
          <w:sz w:val="24"/>
          <w:lang w:val="hr-HR"/>
        </w:rPr>
        <w:t xml:space="preserve"> </w:t>
      </w:r>
      <w:proofErr w:type="spellStart"/>
      <w:r w:rsidRPr="00CD5A36">
        <w:rPr>
          <w:sz w:val="24"/>
          <w:lang w:val="hr-HR"/>
        </w:rPr>
        <w:t>Sciences</w:t>
      </w:r>
      <w:proofErr w:type="spellEnd"/>
      <w:r w:rsidRPr="00CD5A36">
        <w:rPr>
          <w:sz w:val="24"/>
          <w:lang w:val="hr-HR"/>
        </w:rPr>
        <w:t xml:space="preserve"> Europe, 28. rujna 2012., sv. </w:t>
      </w:r>
      <w:r w:rsidRPr="00CD5A36">
        <w:rPr>
          <w:sz w:val="24"/>
          <w:lang w:val="hr-HR"/>
        </w:rPr>
        <w:t xml:space="preserve">24(1) </w:t>
      </w:r>
      <w:hyperlink r:id="rId15" w:history="1">
        <w:r w:rsidRPr="00CD5A36">
          <w:rPr>
            <w:rStyle w:val="Hyperlink"/>
            <w:sz w:val="24"/>
            <w:lang w:val="hr-HR"/>
          </w:rPr>
          <w:t>https://enveurope.springeropen.com/articles/10.1186/2190-4715-24-24</w:t>
        </w:r>
      </w:hyperlink>
      <w:r w:rsidR="003811CA">
        <w:rPr>
          <w:rStyle w:val="Hyperlink"/>
          <w:sz w:val="24"/>
          <w:lang w:val="hr-HR"/>
        </w:rPr>
        <w:t>.</w:t>
      </w:r>
    </w:p>
  </w:footnote>
  <w:footnote w:id="8">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proofErr w:type="spellStart"/>
      <w:r w:rsidRPr="00CD5A36">
        <w:rPr>
          <w:sz w:val="24"/>
          <w:lang w:val="hr-HR"/>
        </w:rPr>
        <w:t>Lerro</w:t>
      </w:r>
      <w:proofErr w:type="spellEnd"/>
      <w:r w:rsidRPr="00CD5A36">
        <w:rPr>
          <w:sz w:val="24"/>
          <w:lang w:val="hr-HR"/>
        </w:rPr>
        <w:t xml:space="preserve">, C. C., </w:t>
      </w:r>
      <w:proofErr w:type="spellStart"/>
      <w:r w:rsidRPr="00CD5A36">
        <w:rPr>
          <w:sz w:val="24"/>
          <w:lang w:val="hr-HR"/>
        </w:rPr>
        <w:t>Hofmann</w:t>
      </w:r>
      <w:proofErr w:type="spellEnd"/>
      <w:r w:rsidRPr="00CD5A36">
        <w:rPr>
          <w:sz w:val="24"/>
          <w:lang w:val="hr-HR"/>
        </w:rPr>
        <w:t xml:space="preserve">, J. N., </w:t>
      </w:r>
      <w:proofErr w:type="spellStart"/>
      <w:r w:rsidRPr="00CD5A36">
        <w:rPr>
          <w:sz w:val="24"/>
          <w:lang w:val="hr-HR"/>
        </w:rPr>
        <w:t>Andreotti</w:t>
      </w:r>
      <w:proofErr w:type="spellEnd"/>
      <w:r w:rsidRPr="00CD5A36">
        <w:rPr>
          <w:sz w:val="24"/>
          <w:lang w:val="hr-HR"/>
        </w:rPr>
        <w:t xml:space="preserve">, G., </w:t>
      </w:r>
      <w:proofErr w:type="spellStart"/>
      <w:r w:rsidRPr="00CD5A36">
        <w:rPr>
          <w:sz w:val="24"/>
          <w:lang w:val="hr-HR"/>
        </w:rPr>
        <w:t>Koutros</w:t>
      </w:r>
      <w:proofErr w:type="spellEnd"/>
      <w:r w:rsidRPr="00CD5A36">
        <w:rPr>
          <w:sz w:val="24"/>
          <w:lang w:val="hr-HR"/>
        </w:rPr>
        <w:t xml:space="preserve">, S., </w:t>
      </w:r>
      <w:proofErr w:type="spellStart"/>
      <w:r w:rsidRPr="00CD5A36">
        <w:rPr>
          <w:sz w:val="24"/>
          <w:lang w:val="hr-HR"/>
        </w:rPr>
        <w:t>Parks</w:t>
      </w:r>
      <w:proofErr w:type="spellEnd"/>
      <w:r w:rsidRPr="00CD5A36">
        <w:rPr>
          <w:sz w:val="24"/>
          <w:lang w:val="hr-HR"/>
        </w:rPr>
        <w:t xml:space="preserve">, C. G., Blair, A., Albert, P. S., Lubin, J. H., </w:t>
      </w:r>
      <w:proofErr w:type="spellStart"/>
      <w:r w:rsidRPr="00CD5A36">
        <w:rPr>
          <w:sz w:val="24"/>
          <w:lang w:val="hr-HR"/>
        </w:rPr>
        <w:t>Sandler</w:t>
      </w:r>
      <w:proofErr w:type="spellEnd"/>
      <w:r w:rsidRPr="00CD5A36">
        <w:rPr>
          <w:sz w:val="24"/>
          <w:lang w:val="hr-HR"/>
        </w:rPr>
        <w:t xml:space="preserve">, D. P., </w:t>
      </w:r>
      <w:proofErr w:type="spellStart"/>
      <w:r w:rsidRPr="00CD5A36">
        <w:rPr>
          <w:sz w:val="24"/>
          <w:lang w:val="hr-HR"/>
        </w:rPr>
        <w:t>Beane</w:t>
      </w:r>
      <w:proofErr w:type="spellEnd"/>
      <w:r w:rsidRPr="00CD5A36">
        <w:rPr>
          <w:sz w:val="24"/>
          <w:lang w:val="hr-HR"/>
        </w:rPr>
        <w:t xml:space="preserve"> Freeman, L. E., </w:t>
      </w:r>
      <w:proofErr w:type="spellStart"/>
      <w:r w:rsidRPr="00CD5A36">
        <w:rPr>
          <w:i/>
          <w:iCs/>
          <w:sz w:val="24"/>
          <w:lang w:val="hr-HR"/>
        </w:rPr>
        <w:t>Dicamba</w:t>
      </w:r>
      <w:proofErr w:type="spellEnd"/>
      <w:r w:rsidRPr="00CD5A36">
        <w:rPr>
          <w:i/>
          <w:iCs/>
          <w:sz w:val="24"/>
          <w:lang w:val="hr-HR"/>
        </w:rPr>
        <w:t xml:space="preserve"> use </w:t>
      </w:r>
      <w:proofErr w:type="spellStart"/>
      <w:r w:rsidRPr="00CD5A36">
        <w:rPr>
          <w:i/>
          <w:iCs/>
          <w:sz w:val="24"/>
          <w:lang w:val="hr-HR"/>
        </w:rPr>
        <w:t>and</w:t>
      </w:r>
      <w:proofErr w:type="spellEnd"/>
      <w:r w:rsidRPr="00CD5A36">
        <w:rPr>
          <w:i/>
          <w:iCs/>
          <w:sz w:val="24"/>
          <w:lang w:val="hr-HR"/>
        </w:rPr>
        <w:t xml:space="preserve"> </w:t>
      </w:r>
      <w:proofErr w:type="spellStart"/>
      <w:r w:rsidRPr="00CD5A36">
        <w:rPr>
          <w:i/>
          <w:iCs/>
          <w:sz w:val="24"/>
          <w:lang w:val="hr-HR"/>
        </w:rPr>
        <w:t>cancer</w:t>
      </w:r>
      <w:proofErr w:type="spellEnd"/>
      <w:r w:rsidRPr="00CD5A36">
        <w:rPr>
          <w:i/>
          <w:iCs/>
          <w:sz w:val="24"/>
          <w:lang w:val="hr-HR"/>
        </w:rPr>
        <w:t xml:space="preserve"> </w:t>
      </w:r>
      <w:proofErr w:type="spellStart"/>
      <w:r w:rsidRPr="00CD5A36">
        <w:rPr>
          <w:i/>
          <w:iCs/>
          <w:sz w:val="24"/>
          <w:lang w:val="hr-HR"/>
        </w:rPr>
        <w:t>incidence</w:t>
      </w:r>
      <w:proofErr w:type="spellEnd"/>
      <w:r w:rsidRPr="00CD5A36">
        <w:rPr>
          <w:i/>
          <w:iCs/>
          <w:sz w:val="24"/>
          <w:lang w:val="hr-HR"/>
        </w:rPr>
        <w:t xml:space="preserve"> </w:t>
      </w:r>
      <w:proofErr w:type="spellStart"/>
      <w:r w:rsidRPr="00CD5A36">
        <w:rPr>
          <w:i/>
          <w:iCs/>
          <w:sz w:val="24"/>
          <w:lang w:val="hr-HR"/>
        </w:rPr>
        <w:t>in</w:t>
      </w:r>
      <w:proofErr w:type="spellEnd"/>
      <w:r w:rsidRPr="00CD5A36">
        <w:rPr>
          <w:i/>
          <w:iCs/>
          <w:sz w:val="24"/>
          <w:lang w:val="hr-HR"/>
        </w:rPr>
        <w:t xml:space="preserve"> </w:t>
      </w:r>
      <w:proofErr w:type="spellStart"/>
      <w:r w:rsidRPr="00CD5A36">
        <w:rPr>
          <w:i/>
          <w:iCs/>
          <w:sz w:val="24"/>
          <w:lang w:val="hr-HR"/>
        </w:rPr>
        <w:t>the</w:t>
      </w:r>
      <w:proofErr w:type="spellEnd"/>
      <w:r w:rsidRPr="00CD5A36">
        <w:rPr>
          <w:i/>
          <w:iCs/>
          <w:sz w:val="24"/>
          <w:lang w:val="hr-HR"/>
        </w:rPr>
        <w:t xml:space="preserve"> </w:t>
      </w:r>
      <w:proofErr w:type="spellStart"/>
      <w:r w:rsidRPr="00CD5A36">
        <w:rPr>
          <w:i/>
          <w:iCs/>
          <w:sz w:val="24"/>
          <w:lang w:val="hr-HR"/>
        </w:rPr>
        <w:t>agricultural</w:t>
      </w:r>
      <w:proofErr w:type="spellEnd"/>
      <w:r w:rsidRPr="00CD5A36">
        <w:rPr>
          <w:i/>
          <w:iCs/>
          <w:sz w:val="24"/>
          <w:lang w:val="hr-HR"/>
        </w:rPr>
        <w:t xml:space="preserve"> </w:t>
      </w:r>
      <w:proofErr w:type="spellStart"/>
      <w:r w:rsidRPr="00CD5A36">
        <w:rPr>
          <w:i/>
          <w:iCs/>
          <w:sz w:val="24"/>
          <w:lang w:val="hr-HR"/>
        </w:rPr>
        <w:t>health</w:t>
      </w:r>
      <w:proofErr w:type="spellEnd"/>
      <w:r w:rsidRPr="00CD5A36">
        <w:rPr>
          <w:i/>
          <w:iCs/>
          <w:sz w:val="24"/>
          <w:lang w:val="hr-HR"/>
        </w:rPr>
        <w:t xml:space="preserve"> </w:t>
      </w:r>
      <w:proofErr w:type="spellStart"/>
      <w:r w:rsidRPr="00CD5A36">
        <w:rPr>
          <w:i/>
          <w:iCs/>
          <w:sz w:val="24"/>
          <w:lang w:val="hr-HR"/>
        </w:rPr>
        <w:t>study</w:t>
      </w:r>
      <w:proofErr w:type="spellEnd"/>
      <w:r w:rsidRPr="00CD5A36">
        <w:rPr>
          <w:i/>
          <w:iCs/>
          <w:sz w:val="24"/>
          <w:lang w:val="hr-HR"/>
        </w:rPr>
        <w:t>:</w:t>
      </w:r>
      <w:r w:rsidRPr="00CD5A36">
        <w:rPr>
          <w:sz w:val="24"/>
          <w:lang w:val="hr-HR"/>
        </w:rPr>
        <w:t xml:space="preserve"> </w:t>
      </w:r>
      <w:proofErr w:type="spellStart"/>
      <w:r w:rsidRPr="00CD5A36">
        <w:rPr>
          <w:i/>
          <w:iCs/>
          <w:sz w:val="24"/>
          <w:lang w:val="hr-HR"/>
        </w:rPr>
        <w:t>an</w:t>
      </w:r>
      <w:proofErr w:type="spellEnd"/>
      <w:r w:rsidRPr="00CD5A36">
        <w:rPr>
          <w:i/>
          <w:iCs/>
          <w:sz w:val="24"/>
          <w:lang w:val="hr-HR"/>
        </w:rPr>
        <w:t xml:space="preserve"> </w:t>
      </w:r>
      <w:proofErr w:type="spellStart"/>
      <w:r w:rsidRPr="00CD5A36">
        <w:rPr>
          <w:i/>
          <w:iCs/>
          <w:sz w:val="24"/>
          <w:lang w:val="hr-HR"/>
        </w:rPr>
        <w:t>updated</w:t>
      </w:r>
      <w:proofErr w:type="spellEnd"/>
      <w:r w:rsidRPr="00CD5A36">
        <w:rPr>
          <w:i/>
          <w:iCs/>
          <w:sz w:val="24"/>
          <w:lang w:val="hr-HR"/>
        </w:rPr>
        <w:t xml:space="preserve"> </w:t>
      </w:r>
      <w:proofErr w:type="spellStart"/>
      <w:r w:rsidRPr="00CD5A36">
        <w:rPr>
          <w:i/>
          <w:iCs/>
          <w:sz w:val="24"/>
          <w:lang w:val="hr-HR"/>
        </w:rPr>
        <w:t>analysis</w:t>
      </w:r>
      <w:proofErr w:type="spellEnd"/>
      <w:r w:rsidRPr="00CD5A36">
        <w:rPr>
          <w:sz w:val="24"/>
          <w:lang w:val="hr-HR"/>
        </w:rPr>
        <w:t xml:space="preserve">, International Journal </w:t>
      </w:r>
      <w:proofErr w:type="spellStart"/>
      <w:r w:rsidRPr="00CD5A36">
        <w:rPr>
          <w:sz w:val="24"/>
          <w:lang w:val="hr-HR"/>
        </w:rPr>
        <w:t>of</w:t>
      </w:r>
      <w:proofErr w:type="spellEnd"/>
      <w:r w:rsidRPr="00CD5A36">
        <w:rPr>
          <w:sz w:val="24"/>
          <w:lang w:val="hr-HR"/>
        </w:rPr>
        <w:t xml:space="preserve"> </w:t>
      </w:r>
      <w:proofErr w:type="spellStart"/>
      <w:r w:rsidRPr="00CD5A36">
        <w:rPr>
          <w:sz w:val="24"/>
          <w:lang w:val="hr-HR"/>
        </w:rPr>
        <w:t>Epidemiology</w:t>
      </w:r>
      <w:proofErr w:type="spellEnd"/>
      <w:r w:rsidRPr="00CD5A36">
        <w:rPr>
          <w:sz w:val="24"/>
          <w:lang w:val="hr-HR"/>
        </w:rPr>
        <w:t xml:space="preserve">, kolovoz 2020.; 49(4), str. 1326 – 1337, </w:t>
      </w:r>
      <w:hyperlink r:id="rId16" w:history="1">
        <w:r w:rsidRPr="00CD5A36">
          <w:rPr>
            <w:rStyle w:val="Hyperlink"/>
            <w:sz w:val="24"/>
            <w:lang w:val="hr-HR"/>
          </w:rPr>
          <w:t>https://academic.oup.com/ije/advance-article-abstract/doi/10.1093/ije/dyaa066/5827818?redirectedFrom=fulltext</w:t>
        </w:r>
      </w:hyperlink>
      <w:r w:rsidRPr="00CD5A36">
        <w:rPr>
          <w:rStyle w:val="Hyperlink"/>
          <w:sz w:val="24"/>
          <w:lang w:val="hr-HR"/>
        </w:rPr>
        <w:t>.</w:t>
      </w:r>
    </w:p>
  </w:footnote>
  <w:footnote w:id="9">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hyperlink r:id="rId17" w:history="1">
        <w:r w:rsidRPr="00CD5A36">
          <w:rPr>
            <w:rStyle w:val="Hyperlink"/>
            <w:sz w:val="24"/>
            <w:lang w:val="hr-HR"/>
          </w:rPr>
          <w:t>https://hh-ra.org/projects/measuring-pesticide-use/interactive-herbicide-use-tables/</w:t>
        </w:r>
      </w:hyperlink>
      <w:r w:rsidRPr="00CD5A36">
        <w:rPr>
          <w:rStyle w:val="Hyperlink"/>
          <w:sz w:val="24"/>
          <w:lang w:val="hr-HR"/>
        </w:rPr>
        <w:t>.</w:t>
      </w:r>
    </w:p>
  </w:footnote>
  <w:footnote w:id="10">
    <w:p w:rsidR="00F630E9" w:rsidRPr="00CD5A36" w:rsidRDefault="00F630E9" w:rsidP="00CD5A36">
      <w:pPr>
        <w:pStyle w:val="FootnoteText"/>
        <w:ind w:left="567" w:hanging="567"/>
        <w:rPr>
          <w:sz w:val="24"/>
          <w:vertAlign w:val="superscript"/>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 xml:space="preserve">Vidjeti, primjerice: </w:t>
      </w:r>
      <w:hyperlink r:id="rId18" w:history="1">
        <w:r w:rsidRPr="00CD5A36">
          <w:rPr>
            <w:rStyle w:val="Hyperlink"/>
            <w:sz w:val="24"/>
            <w:lang w:val="hr-HR"/>
          </w:rPr>
          <w:t>https://www.sciencedirect.com/science/article/pii/S1383574218300887</w:t>
        </w:r>
      </w:hyperlink>
      <w:r w:rsidRPr="00CD5A36">
        <w:rPr>
          <w:rStyle w:val="Hyperlink"/>
          <w:sz w:val="24"/>
          <w:lang w:val="hr-HR"/>
        </w:rPr>
        <w:t>,</w:t>
      </w:r>
      <w:r w:rsidRPr="00CD5A36">
        <w:rPr>
          <w:sz w:val="24"/>
          <w:lang w:val="hr-HR"/>
        </w:rPr>
        <w:t xml:space="preserve"> </w:t>
      </w:r>
    </w:p>
    <w:p w:rsidR="00F630E9" w:rsidRPr="00CD5A36" w:rsidRDefault="00CD5A36" w:rsidP="00CD5A36">
      <w:pPr>
        <w:pStyle w:val="FootnoteText"/>
        <w:ind w:left="567" w:hanging="567"/>
        <w:rPr>
          <w:sz w:val="24"/>
          <w:vertAlign w:val="superscript"/>
          <w:lang w:val="hr-HR"/>
        </w:rPr>
      </w:pPr>
      <w:r w:rsidRPr="00CD5A36">
        <w:rPr>
          <w:sz w:val="24"/>
          <w:lang w:val="hr-HR"/>
        </w:rPr>
        <w:t xml:space="preserve"> </w:t>
      </w:r>
      <w:r w:rsidRPr="00CD5A36">
        <w:rPr>
          <w:sz w:val="24"/>
          <w:lang w:val="hr-HR"/>
        </w:rPr>
        <w:tab/>
      </w:r>
      <w:hyperlink r:id="rId19" w:history="1">
        <w:r w:rsidR="00F630E9" w:rsidRPr="00CD5A36">
          <w:rPr>
            <w:rStyle w:val="Hyperlink"/>
            <w:sz w:val="24"/>
            <w:lang w:val="hr-HR"/>
          </w:rPr>
          <w:t>https://academic.oup.com/ije/advance-article/doi/10.1093/ije/dyz017/5382278</w:t>
        </w:r>
      </w:hyperlink>
      <w:r w:rsidR="00F630E9" w:rsidRPr="00CD5A36">
        <w:rPr>
          <w:rStyle w:val="Hyperlink"/>
          <w:sz w:val="24"/>
          <w:lang w:val="hr-HR"/>
        </w:rPr>
        <w:t>,</w:t>
      </w:r>
      <w:r w:rsidR="00F630E9" w:rsidRPr="00CD5A36">
        <w:rPr>
          <w:sz w:val="24"/>
          <w:lang w:val="hr-HR"/>
        </w:rPr>
        <w:t xml:space="preserve"> </w:t>
      </w:r>
    </w:p>
    <w:p w:rsidR="00F630E9" w:rsidRPr="00CD5A36" w:rsidRDefault="00CD5A36" w:rsidP="00CD5A36">
      <w:pPr>
        <w:pStyle w:val="FootnoteText"/>
        <w:ind w:left="567" w:hanging="567"/>
        <w:rPr>
          <w:sz w:val="24"/>
          <w:vertAlign w:val="superscript"/>
          <w:lang w:val="hr-HR"/>
        </w:rPr>
      </w:pPr>
      <w:r w:rsidRPr="00CD5A36">
        <w:rPr>
          <w:sz w:val="24"/>
          <w:lang w:val="hr-HR"/>
        </w:rPr>
        <w:t xml:space="preserve"> </w:t>
      </w:r>
      <w:r w:rsidRPr="00CD5A36">
        <w:rPr>
          <w:sz w:val="24"/>
          <w:lang w:val="hr-HR"/>
        </w:rPr>
        <w:tab/>
      </w:r>
      <w:hyperlink r:id="rId20" w:history="1">
        <w:r w:rsidR="00F630E9" w:rsidRPr="00CD5A36">
          <w:rPr>
            <w:rStyle w:val="Hyperlink"/>
            <w:sz w:val="24"/>
            <w:lang w:val="hr-HR"/>
          </w:rPr>
          <w:t>https://journals.plos.org/plosone/article?id=10.1371/journal.pone.0219610</w:t>
        </w:r>
      </w:hyperlink>
      <w:r w:rsidR="00F630E9" w:rsidRPr="00CD5A36">
        <w:rPr>
          <w:sz w:val="24"/>
          <w:lang w:val="hr-HR"/>
        </w:rPr>
        <w:t xml:space="preserve"> i</w:t>
      </w:r>
    </w:p>
    <w:p w:rsidR="00F630E9" w:rsidRPr="00CD5A36" w:rsidRDefault="00CD5A36" w:rsidP="00CD5A36">
      <w:pPr>
        <w:pStyle w:val="FootnoteText"/>
        <w:ind w:left="567" w:hanging="567"/>
        <w:rPr>
          <w:sz w:val="24"/>
          <w:lang w:val="hr-HR"/>
        </w:rPr>
      </w:pPr>
      <w:r w:rsidRPr="00CD5A36">
        <w:rPr>
          <w:sz w:val="24"/>
          <w:lang w:val="hr-HR"/>
        </w:rPr>
        <w:t xml:space="preserve"> </w:t>
      </w:r>
      <w:r w:rsidRPr="00CD5A36">
        <w:rPr>
          <w:sz w:val="24"/>
          <w:lang w:val="hr-HR"/>
        </w:rPr>
        <w:tab/>
      </w:r>
      <w:hyperlink r:id="rId21" w:history="1">
        <w:r w:rsidR="00F630E9" w:rsidRPr="00CD5A36">
          <w:rPr>
            <w:rStyle w:val="Hyperlink"/>
            <w:sz w:val="24"/>
            <w:lang w:val="hr-HR"/>
          </w:rPr>
          <w:t>https://www.ncbi.nlm.nih.gov/pmc/articles/PMC6612199/</w:t>
        </w:r>
      </w:hyperlink>
      <w:r w:rsidR="00F630E9" w:rsidRPr="00CD5A36">
        <w:rPr>
          <w:sz w:val="24"/>
          <w:lang w:val="hr-HR"/>
        </w:rPr>
        <w:t>.</w:t>
      </w:r>
    </w:p>
  </w:footnote>
  <w:footnote w:id="11">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hyperlink r:id="rId22" w:history="1">
        <w:r w:rsidRPr="00CD5A36">
          <w:rPr>
            <w:rStyle w:val="Hyperlink"/>
            <w:sz w:val="24"/>
            <w:lang w:val="hr-HR"/>
          </w:rPr>
          <w:t>https://www.ncbi.nlm.nih.gov/pubmed/24491722</w:t>
        </w:r>
      </w:hyperlink>
      <w:r w:rsidRPr="00CD5A36">
        <w:rPr>
          <w:rStyle w:val="Hyperlink"/>
          <w:sz w:val="24"/>
          <w:lang w:val="hr-HR"/>
        </w:rPr>
        <w:t>.</w:t>
      </w:r>
      <w:r w:rsidRPr="00CD5A36">
        <w:rPr>
          <w:sz w:val="24"/>
          <w:lang w:val="hr-HR"/>
        </w:rPr>
        <w:t xml:space="preserve"> </w:t>
      </w:r>
    </w:p>
  </w:footnote>
  <w:footnote w:id="12">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hyperlink r:id="rId23" w:history="1">
        <w:r w:rsidRPr="00CD5A36">
          <w:rPr>
            <w:rStyle w:val="Hyperlink"/>
            <w:sz w:val="24"/>
            <w:lang w:val="hr-HR"/>
          </w:rPr>
          <w:t>https://www.testbiotech.org/en/resource/high-levels-residues-spraying-glyphosate-found-soybeans-argentina/</w:t>
        </w:r>
      </w:hyperlink>
    </w:p>
  </w:footnote>
  <w:footnote w:id="13">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 xml:space="preserve">To je doista slučaj kod </w:t>
      </w:r>
      <w:proofErr w:type="spellStart"/>
      <w:r w:rsidRPr="00CD5A36">
        <w:rPr>
          <w:sz w:val="24"/>
          <w:lang w:val="hr-HR"/>
        </w:rPr>
        <w:t>glifosata</w:t>
      </w:r>
      <w:proofErr w:type="spellEnd"/>
      <w:r w:rsidRPr="00CD5A36">
        <w:rPr>
          <w:sz w:val="24"/>
          <w:lang w:val="hr-HR"/>
        </w:rPr>
        <w:t xml:space="preserve">, kako se navodi u EFSA-inoj „Reviziji postojećih maksimalnih razina ostataka </w:t>
      </w:r>
      <w:proofErr w:type="spellStart"/>
      <w:r w:rsidRPr="00CD5A36">
        <w:rPr>
          <w:sz w:val="24"/>
          <w:lang w:val="hr-HR"/>
        </w:rPr>
        <w:t>glifosata</w:t>
      </w:r>
      <w:proofErr w:type="spellEnd"/>
      <w:r w:rsidRPr="00CD5A36">
        <w:rPr>
          <w:sz w:val="24"/>
          <w:lang w:val="hr-HR"/>
        </w:rPr>
        <w:t xml:space="preserve"> u skladu s člankom 12. Uredbe (EZ) br. 396/2005” (</w:t>
      </w:r>
      <w:proofErr w:type="spellStart"/>
      <w:r w:rsidRPr="00CD5A36">
        <w:rPr>
          <w:i/>
          <w:iCs/>
          <w:sz w:val="24"/>
          <w:lang w:val="hr-HR"/>
        </w:rPr>
        <w:t>Review</w:t>
      </w:r>
      <w:proofErr w:type="spellEnd"/>
      <w:r w:rsidRPr="00CD5A36">
        <w:rPr>
          <w:i/>
          <w:iCs/>
          <w:sz w:val="24"/>
          <w:lang w:val="hr-HR"/>
        </w:rPr>
        <w:t xml:space="preserve"> </w:t>
      </w:r>
      <w:proofErr w:type="spellStart"/>
      <w:r w:rsidRPr="00CD5A36">
        <w:rPr>
          <w:i/>
          <w:iCs/>
          <w:sz w:val="24"/>
          <w:lang w:val="hr-HR"/>
        </w:rPr>
        <w:t>of</w:t>
      </w:r>
      <w:proofErr w:type="spellEnd"/>
      <w:r w:rsidRPr="00CD5A36">
        <w:rPr>
          <w:i/>
          <w:iCs/>
          <w:sz w:val="24"/>
          <w:lang w:val="hr-HR"/>
        </w:rPr>
        <w:t xml:space="preserve"> </w:t>
      </w:r>
      <w:proofErr w:type="spellStart"/>
      <w:r w:rsidRPr="00CD5A36">
        <w:rPr>
          <w:i/>
          <w:iCs/>
          <w:sz w:val="24"/>
          <w:lang w:val="hr-HR"/>
        </w:rPr>
        <w:t>the</w:t>
      </w:r>
      <w:proofErr w:type="spellEnd"/>
      <w:r w:rsidRPr="00CD5A36">
        <w:rPr>
          <w:i/>
          <w:iCs/>
          <w:sz w:val="24"/>
          <w:lang w:val="hr-HR"/>
        </w:rPr>
        <w:t xml:space="preserve"> </w:t>
      </w:r>
      <w:proofErr w:type="spellStart"/>
      <w:r w:rsidRPr="00CD5A36">
        <w:rPr>
          <w:i/>
          <w:iCs/>
          <w:sz w:val="24"/>
          <w:lang w:val="hr-HR"/>
        </w:rPr>
        <w:t>existing</w:t>
      </w:r>
      <w:proofErr w:type="spellEnd"/>
      <w:r w:rsidRPr="00CD5A36">
        <w:rPr>
          <w:i/>
          <w:iCs/>
          <w:sz w:val="24"/>
          <w:lang w:val="hr-HR"/>
        </w:rPr>
        <w:t xml:space="preserve"> </w:t>
      </w:r>
      <w:proofErr w:type="spellStart"/>
      <w:r w:rsidRPr="00CD5A36">
        <w:rPr>
          <w:i/>
          <w:iCs/>
          <w:sz w:val="24"/>
          <w:lang w:val="hr-HR"/>
        </w:rPr>
        <w:t>maximum</w:t>
      </w:r>
      <w:proofErr w:type="spellEnd"/>
      <w:r w:rsidRPr="00CD5A36">
        <w:rPr>
          <w:i/>
          <w:iCs/>
          <w:sz w:val="24"/>
          <w:lang w:val="hr-HR"/>
        </w:rPr>
        <w:t xml:space="preserve"> </w:t>
      </w:r>
      <w:proofErr w:type="spellStart"/>
      <w:r w:rsidRPr="00CD5A36">
        <w:rPr>
          <w:i/>
          <w:iCs/>
          <w:sz w:val="24"/>
          <w:lang w:val="hr-HR"/>
        </w:rPr>
        <w:t>residue</w:t>
      </w:r>
      <w:proofErr w:type="spellEnd"/>
      <w:r w:rsidRPr="00CD5A36">
        <w:rPr>
          <w:i/>
          <w:iCs/>
          <w:sz w:val="24"/>
          <w:lang w:val="hr-HR"/>
        </w:rPr>
        <w:t xml:space="preserve"> </w:t>
      </w:r>
      <w:proofErr w:type="spellStart"/>
      <w:r w:rsidRPr="00CD5A36">
        <w:rPr>
          <w:i/>
          <w:iCs/>
          <w:sz w:val="24"/>
          <w:lang w:val="hr-HR"/>
        </w:rPr>
        <w:t>levels</w:t>
      </w:r>
      <w:proofErr w:type="spellEnd"/>
      <w:r w:rsidRPr="00CD5A36">
        <w:rPr>
          <w:i/>
          <w:iCs/>
          <w:sz w:val="24"/>
          <w:lang w:val="hr-HR"/>
        </w:rPr>
        <w:t xml:space="preserve"> for </w:t>
      </w:r>
      <w:proofErr w:type="spellStart"/>
      <w:r w:rsidRPr="00CD5A36">
        <w:rPr>
          <w:i/>
          <w:iCs/>
          <w:sz w:val="24"/>
          <w:lang w:val="hr-HR"/>
        </w:rPr>
        <w:t>glyphosate</w:t>
      </w:r>
      <w:proofErr w:type="spellEnd"/>
      <w:r w:rsidRPr="00CD5A36">
        <w:rPr>
          <w:i/>
          <w:iCs/>
          <w:sz w:val="24"/>
          <w:lang w:val="hr-HR"/>
        </w:rPr>
        <w:t xml:space="preserve"> </w:t>
      </w:r>
      <w:proofErr w:type="spellStart"/>
      <w:r w:rsidRPr="00CD5A36">
        <w:rPr>
          <w:i/>
          <w:iCs/>
          <w:sz w:val="24"/>
          <w:lang w:val="hr-HR"/>
        </w:rPr>
        <w:t>according</w:t>
      </w:r>
      <w:proofErr w:type="spellEnd"/>
      <w:r w:rsidRPr="00CD5A36">
        <w:rPr>
          <w:i/>
          <w:iCs/>
          <w:sz w:val="24"/>
          <w:lang w:val="hr-HR"/>
        </w:rPr>
        <w:t xml:space="preserve"> to </w:t>
      </w:r>
      <w:proofErr w:type="spellStart"/>
      <w:r w:rsidRPr="00CD5A36">
        <w:rPr>
          <w:i/>
          <w:iCs/>
          <w:sz w:val="24"/>
          <w:lang w:val="hr-HR"/>
        </w:rPr>
        <w:t>Article</w:t>
      </w:r>
      <w:proofErr w:type="spellEnd"/>
      <w:r w:rsidRPr="00CD5A36">
        <w:rPr>
          <w:i/>
          <w:iCs/>
          <w:sz w:val="24"/>
          <w:lang w:val="hr-HR"/>
        </w:rPr>
        <w:t xml:space="preserve"> 12 </w:t>
      </w:r>
      <w:proofErr w:type="spellStart"/>
      <w:r w:rsidRPr="00CD5A36">
        <w:rPr>
          <w:i/>
          <w:iCs/>
          <w:sz w:val="24"/>
          <w:lang w:val="hr-HR"/>
        </w:rPr>
        <w:t>of</w:t>
      </w:r>
      <w:proofErr w:type="spellEnd"/>
      <w:r w:rsidRPr="00CD5A36">
        <w:rPr>
          <w:i/>
          <w:iCs/>
          <w:sz w:val="24"/>
          <w:lang w:val="hr-HR"/>
        </w:rPr>
        <w:t xml:space="preserve"> </w:t>
      </w:r>
      <w:proofErr w:type="spellStart"/>
      <w:r w:rsidRPr="00CD5A36">
        <w:rPr>
          <w:i/>
          <w:iCs/>
          <w:sz w:val="24"/>
          <w:lang w:val="hr-HR"/>
        </w:rPr>
        <w:t>Regulation</w:t>
      </w:r>
      <w:proofErr w:type="spellEnd"/>
      <w:r w:rsidRPr="00CD5A36">
        <w:rPr>
          <w:i/>
          <w:iCs/>
          <w:sz w:val="24"/>
          <w:lang w:val="hr-HR"/>
        </w:rPr>
        <w:t xml:space="preserve"> (EC) No 396/2005</w:t>
      </w:r>
      <w:r w:rsidRPr="00CD5A36">
        <w:rPr>
          <w:sz w:val="24"/>
          <w:lang w:val="hr-HR"/>
        </w:rPr>
        <w:t>), EFSA Journal 2018;16(5):5263, str. 12.,</w:t>
      </w:r>
      <w:r w:rsidRPr="00CD5A36">
        <w:rPr>
          <w:rStyle w:val="Hyperlink"/>
          <w:sz w:val="24"/>
          <w:lang w:val="hr-HR"/>
        </w:rPr>
        <w:t xml:space="preserve"> </w:t>
      </w:r>
      <w:hyperlink r:id="rId24" w:history="1">
        <w:r w:rsidRPr="00CD5A36">
          <w:rPr>
            <w:rStyle w:val="Hyperlink"/>
            <w:sz w:val="24"/>
            <w:lang w:val="hr-HR"/>
          </w:rPr>
          <w:t>https://www.efsa.europa.eu/fr/efsajournal/pub/5263</w:t>
        </w:r>
      </w:hyperlink>
      <w:r w:rsidRPr="00CD5A36">
        <w:rPr>
          <w:rStyle w:val="Hyperlink"/>
          <w:sz w:val="24"/>
          <w:lang w:val="hr-HR"/>
        </w:rPr>
        <w:t>.</w:t>
      </w:r>
    </w:p>
  </w:footnote>
  <w:footnote w:id="14">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Strateški dijalog o budućnosti poljoprivrede u EU-u – „Zajednički izgledi za poljoprivredu i hranu u Europi” (</w:t>
      </w:r>
      <w:r w:rsidRPr="00CD5A36">
        <w:rPr>
          <w:i/>
          <w:iCs/>
          <w:sz w:val="24"/>
          <w:lang w:val="hr-HR"/>
        </w:rPr>
        <w:t xml:space="preserve">A </w:t>
      </w:r>
      <w:proofErr w:type="spellStart"/>
      <w:r w:rsidRPr="00CD5A36">
        <w:rPr>
          <w:i/>
          <w:iCs/>
          <w:sz w:val="24"/>
          <w:lang w:val="hr-HR"/>
        </w:rPr>
        <w:t>shared</w:t>
      </w:r>
      <w:proofErr w:type="spellEnd"/>
      <w:r w:rsidRPr="00CD5A36">
        <w:rPr>
          <w:i/>
          <w:iCs/>
          <w:sz w:val="24"/>
          <w:lang w:val="hr-HR"/>
        </w:rPr>
        <w:t xml:space="preserve"> </w:t>
      </w:r>
      <w:proofErr w:type="spellStart"/>
      <w:r w:rsidRPr="00CD5A36">
        <w:rPr>
          <w:i/>
          <w:iCs/>
          <w:sz w:val="24"/>
          <w:lang w:val="hr-HR"/>
        </w:rPr>
        <w:t>prospect</w:t>
      </w:r>
      <w:proofErr w:type="spellEnd"/>
      <w:r w:rsidRPr="00CD5A36">
        <w:rPr>
          <w:i/>
          <w:iCs/>
          <w:sz w:val="24"/>
          <w:lang w:val="hr-HR"/>
        </w:rPr>
        <w:t xml:space="preserve"> for </w:t>
      </w:r>
      <w:proofErr w:type="spellStart"/>
      <w:r w:rsidRPr="00CD5A36">
        <w:rPr>
          <w:i/>
          <w:iCs/>
          <w:sz w:val="24"/>
          <w:lang w:val="hr-HR"/>
        </w:rPr>
        <w:t>farming</w:t>
      </w:r>
      <w:proofErr w:type="spellEnd"/>
      <w:r w:rsidRPr="00CD5A36">
        <w:rPr>
          <w:i/>
          <w:iCs/>
          <w:sz w:val="24"/>
          <w:lang w:val="hr-HR"/>
        </w:rPr>
        <w:t xml:space="preserve"> </w:t>
      </w:r>
      <w:proofErr w:type="spellStart"/>
      <w:r w:rsidRPr="00CD5A36">
        <w:rPr>
          <w:i/>
          <w:iCs/>
          <w:sz w:val="24"/>
          <w:lang w:val="hr-HR"/>
        </w:rPr>
        <w:t>and</w:t>
      </w:r>
      <w:proofErr w:type="spellEnd"/>
      <w:r w:rsidRPr="00CD5A36">
        <w:rPr>
          <w:i/>
          <w:iCs/>
          <w:sz w:val="24"/>
          <w:lang w:val="hr-HR"/>
        </w:rPr>
        <w:t xml:space="preserve"> </w:t>
      </w:r>
      <w:proofErr w:type="spellStart"/>
      <w:r w:rsidRPr="00CD5A36">
        <w:rPr>
          <w:i/>
          <w:iCs/>
          <w:sz w:val="24"/>
          <w:lang w:val="hr-HR"/>
        </w:rPr>
        <w:t>food</w:t>
      </w:r>
      <w:proofErr w:type="spellEnd"/>
      <w:r w:rsidRPr="00CD5A36">
        <w:rPr>
          <w:i/>
          <w:iCs/>
          <w:sz w:val="24"/>
          <w:lang w:val="hr-HR"/>
        </w:rPr>
        <w:t xml:space="preserve"> </w:t>
      </w:r>
      <w:proofErr w:type="spellStart"/>
      <w:r w:rsidRPr="00CD5A36">
        <w:rPr>
          <w:i/>
          <w:iCs/>
          <w:sz w:val="24"/>
          <w:lang w:val="hr-HR"/>
        </w:rPr>
        <w:t>in</w:t>
      </w:r>
      <w:proofErr w:type="spellEnd"/>
      <w:r w:rsidRPr="00CD5A36">
        <w:rPr>
          <w:i/>
          <w:iCs/>
          <w:sz w:val="24"/>
          <w:lang w:val="hr-HR"/>
        </w:rPr>
        <w:t xml:space="preserve"> Europe</w:t>
      </w:r>
      <w:r w:rsidRPr="00CD5A36">
        <w:rPr>
          <w:sz w:val="24"/>
          <w:lang w:val="hr-HR"/>
        </w:rPr>
        <w:t xml:space="preserve">), rujan 2024., </w:t>
      </w:r>
      <w:hyperlink r:id="rId25" w:history="1">
        <w:r w:rsidRPr="00CD5A36">
          <w:rPr>
            <w:rStyle w:val="Hyperlink"/>
            <w:sz w:val="24"/>
            <w:lang w:val="hr-HR"/>
          </w:rPr>
          <w:t>https://agriculture.ec.europa.eu/document/download/171329ff-0f50-4fa5-946f-aea11032172e_en?filename=strategic-dialogue-report-2024_en.pdf</w:t>
        </w:r>
      </w:hyperlink>
      <w:r w:rsidRPr="00CD5A36">
        <w:rPr>
          <w:rStyle w:val="Hyperlink"/>
          <w:sz w:val="24"/>
          <w:lang w:val="hr-HR"/>
        </w:rPr>
        <w:t>.</w:t>
      </w:r>
    </w:p>
  </w:footnote>
  <w:footnote w:id="15">
    <w:p w:rsidR="00F630E9" w:rsidRPr="00CD5A36" w:rsidRDefault="00F630E9" w:rsidP="00CD5A36">
      <w:pPr>
        <w:pStyle w:val="NoSpacing"/>
        <w:ind w:left="567" w:hanging="567"/>
        <w:jc w:val="left"/>
        <w:rPr>
          <w:szCs w:val="20"/>
        </w:rPr>
      </w:pPr>
      <w:r w:rsidRPr="00CD5A36">
        <w:rPr>
          <w:rStyle w:val="FootnoteReference"/>
          <w:szCs w:val="20"/>
        </w:rPr>
        <w:footnoteRef/>
      </w:r>
      <w:r w:rsidR="00CD5A36" w:rsidRPr="00CD5A36">
        <w:t xml:space="preserve"> </w:t>
      </w:r>
      <w:r w:rsidR="00CD5A36" w:rsidRPr="00CD5A36">
        <w:tab/>
      </w:r>
      <w:r w:rsidRPr="00CD5A36">
        <w:t xml:space="preserve">A/HRC/34/48: </w:t>
      </w:r>
      <w:r w:rsidRPr="00CD5A36">
        <w:rPr>
          <w:szCs w:val="20"/>
        </w:rPr>
        <w:t xml:space="preserve">Izvješće posebne izvjestiteljice za pravo na hranu </w:t>
      </w:r>
      <w:hyperlink r:id="rId26" w:history="1">
        <w:r w:rsidRPr="00CD5A36">
          <w:rPr>
            <w:rStyle w:val="Hyperlink"/>
          </w:rPr>
          <w:t>https://www.ohchr.org/en/documents/thematic-reports/ahrc3448-report-special-rapporteur-right-food</w:t>
        </w:r>
      </w:hyperlink>
      <w:r w:rsidRPr="00CD5A36">
        <w:t>.</w:t>
      </w:r>
    </w:p>
  </w:footnote>
  <w:footnote w:id="16">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hyperlink r:id="rId27" w:history="1">
        <w:r w:rsidRPr="00CD5A36">
          <w:rPr>
            <w:rStyle w:val="Hyperlink"/>
            <w:sz w:val="24"/>
            <w:lang w:val="hr-HR"/>
          </w:rPr>
          <w:t>https://indicators.report/targets/3-9/</w:t>
        </w:r>
      </w:hyperlink>
      <w:r w:rsidRPr="00CD5A36">
        <w:rPr>
          <w:rStyle w:val="Hyperlink"/>
          <w:sz w:val="24"/>
          <w:lang w:val="hr-HR"/>
        </w:rPr>
        <w:t>.</w:t>
      </w:r>
    </w:p>
  </w:footnote>
  <w:footnote w:id="17">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 xml:space="preserve">Vidjeti: </w:t>
      </w:r>
      <w:hyperlink r:id="rId28" w:history="1">
        <w:r w:rsidRPr="00CD5A36">
          <w:rPr>
            <w:rStyle w:val="Hyperlink"/>
            <w:sz w:val="24"/>
            <w:lang w:val="hr-HR"/>
          </w:rPr>
          <w:t>https://ec.europa.eu/commission/presscorner/detail/hr/ip_22_7834</w:t>
        </w:r>
      </w:hyperlink>
      <w:r w:rsidRPr="00CD5A36">
        <w:rPr>
          <w:sz w:val="24"/>
          <w:lang w:val="hr-HR"/>
        </w:rPr>
        <w:t>.</w:t>
      </w:r>
    </w:p>
  </w:footnote>
  <w:footnote w:id="18">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color w:val="000000" w:themeColor="text1"/>
          <w:sz w:val="24"/>
          <w:lang w:val="hr-HR"/>
        </w:rPr>
        <w:t xml:space="preserve"> </w:t>
      </w:r>
      <w:r w:rsidR="00CD5A36" w:rsidRPr="00CD5A36">
        <w:rPr>
          <w:color w:val="000000" w:themeColor="text1"/>
          <w:sz w:val="24"/>
          <w:lang w:val="hr-HR"/>
        </w:rPr>
        <w:tab/>
      </w:r>
      <w:r w:rsidRPr="00CD5A36">
        <w:rPr>
          <w:color w:val="000000" w:themeColor="text1"/>
          <w:sz w:val="24"/>
          <w:lang w:val="hr-HR"/>
        </w:rPr>
        <w:t xml:space="preserve">U prosincu 2022. na konferenciji COP15 Konvencije Ujedinjenih naroda o biološkoj raznolikosti dogovoren je globalni okvir za biološku raznolikost koji obuhvaća globalni cilj smanjenja rizika od pesticida za najmanje 50 % do 2030. (vidjeti: </w:t>
      </w:r>
      <w:hyperlink r:id="rId29" w:history="1">
        <w:r w:rsidRPr="00CD5A36">
          <w:rPr>
            <w:rStyle w:val="Hyperlink"/>
            <w:sz w:val="24"/>
            <w:lang w:val="hr-HR"/>
          </w:rPr>
          <w:t>https://ec.europa.eu/commission/presscorner/detail/hr/ip_22_7834</w:t>
        </w:r>
      </w:hyperlink>
      <w:r w:rsidRPr="00CD5A36">
        <w:rPr>
          <w:sz w:val="24"/>
          <w:lang w:val="hr-HR"/>
        </w:rPr>
        <w:t xml:space="preserve">). </w:t>
      </w:r>
    </w:p>
  </w:footnote>
  <w:footnote w:id="19">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color w:val="000000"/>
          <w:sz w:val="24"/>
          <w:lang w:val="hr-HR"/>
        </w:rPr>
        <w:t xml:space="preserve"> </w:t>
      </w:r>
      <w:r w:rsidR="00CD5A36" w:rsidRPr="00CD5A36">
        <w:rPr>
          <w:color w:val="000000"/>
          <w:sz w:val="24"/>
          <w:lang w:val="hr-HR"/>
        </w:rPr>
        <w:tab/>
      </w:r>
      <w:r w:rsidRPr="00CD5A36">
        <w:rPr>
          <w:color w:val="000000"/>
          <w:sz w:val="24"/>
          <w:lang w:val="hr-HR"/>
        </w:rPr>
        <w:t xml:space="preserve">Komunikacija Komisije od 23. srpnja 2019. naslovljena „Pojačanje djelovanja EU-a za zaštitu i obnovu svjetskih šuma”, </w:t>
      </w:r>
      <w:hyperlink r:id="rId30" w:history="1">
        <w:r w:rsidRPr="00CD5A36">
          <w:rPr>
            <w:rStyle w:val="Hyperlink"/>
            <w:sz w:val="24"/>
            <w:lang w:val="hr-HR"/>
          </w:rPr>
          <w:t>COM(2019)0352</w:t>
        </w:r>
      </w:hyperlink>
      <w:r w:rsidRPr="00CD5A36">
        <w:rPr>
          <w:color w:val="000000"/>
          <w:sz w:val="24"/>
          <w:lang w:val="hr-HR"/>
        </w:rPr>
        <w:t>, str. 1.</w:t>
      </w:r>
    </w:p>
  </w:footnote>
  <w:footnote w:id="20">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Isto, str. 2.</w:t>
      </w:r>
    </w:p>
  </w:footnote>
  <w:footnote w:id="21">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Vidjeti cilj br. 15.2:</w:t>
      </w:r>
      <w:r w:rsidRPr="00CD5A36">
        <w:rPr>
          <w:color w:val="000000"/>
          <w:sz w:val="24"/>
          <w:lang w:val="hr-HR"/>
        </w:rPr>
        <w:t xml:space="preserve"> </w:t>
      </w:r>
      <w:hyperlink r:id="rId31" w:history="1">
        <w:r w:rsidRPr="00CD5A36">
          <w:rPr>
            <w:rStyle w:val="Hyperlink"/>
            <w:sz w:val="24"/>
            <w:lang w:val="hr-HR"/>
          </w:rPr>
          <w:t>https://www.un.org/sustainabledevelopment/biodiversity/</w:t>
        </w:r>
      </w:hyperlink>
      <w:r w:rsidRPr="00CD5A36">
        <w:rPr>
          <w:rStyle w:val="Hyperlink"/>
          <w:sz w:val="24"/>
          <w:lang w:val="hr-HR"/>
        </w:rPr>
        <w:t>.</w:t>
      </w:r>
      <w:r w:rsidRPr="00CD5A36">
        <w:rPr>
          <w:color w:val="000000"/>
          <w:sz w:val="24"/>
          <w:lang w:val="hr-HR"/>
        </w:rPr>
        <w:t xml:space="preserve"> </w:t>
      </w:r>
    </w:p>
  </w:footnote>
  <w:footnote w:id="22">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 xml:space="preserve">Komunikacija Komisije od 23. srpnja 2019. naslovljena „Pojačanje djelovanja EU-a za zaštitu i obnovu svjetskih šuma”, </w:t>
      </w:r>
      <w:hyperlink r:id="rId32" w:history="1">
        <w:r w:rsidRPr="00CD5A36">
          <w:rPr>
            <w:rStyle w:val="Hyperlink"/>
            <w:sz w:val="24"/>
            <w:lang w:val="hr-HR"/>
          </w:rPr>
          <w:t>COM(2019)0352</w:t>
        </w:r>
      </w:hyperlink>
      <w:r w:rsidRPr="00CD5A36">
        <w:rPr>
          <w:sz w:val="24"/>
          <w:lang w:val="hr-HR"/>
        </w:rPr>
        <w:t>, str. 2.</w:t>
      </w:r>
    </w:p>
  </w:footnote>
  <w:footnote w:id="23">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Komunikacija EU-a o pojačanju djelovanja EU-a za zaštitu i obnovu svjetskih šuma</w:t>
      </w:r>
      <w:r w:rsidRPr="00CD5A36">
        <w:rPr>
          <w:sz w:val="24"/>
          <w:bdr w:val="none" w:sz="0" w:space="0" w:color="auto" w:frame="1"/>
          <w:shd w:val="clear" w:color="auto" w:fill="FFFFFF"/>
          <w:lang w:val="hr-HR"/>
        </w:rPr>
        <w:t>,</w:t>
      </w:r>
      <w:r w:rsidRPr="00CD5A36">
        <w:rPr>
          <w:sz w:val="24"/>
          <w:lang w:val="hr-HR"/>
        </w:rPr>
        <w:t xml:space="preserve"> </w:t>
      </w:r>
      <w:hyperlink r:id="rId33" w:history="1">
        <w:r w:rsidRPr="00CD5A36">
          <w:rPr>
            <w:rStyle w:val="Hyperlink"/>
            <w:sz w:val="24"/>
            <w:lang w:val="hr-HR"/>
          </w:rPr>
          <w:t>https://eur-lex.europa.eu/legal-content/HR/TXT/HTML/?uri=CELEX:52019DC0352&amp;from=EN</w:t>
        </w:r>
      </w:hyperlink>
      <w:r w:rsidRPr="00CD5A36">
        <w:rPr>
          <w:rStyle w:val="Hyperlink"/>
          <w:sz w:val="24"/>
          <w:lang w:val="hr-HR"/>
        </w:rPr>
        <w:t>.</w:t>
      </w:r>
    </w:p>
  </w:footnote>
  <w:footnote w:id="24">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 xml:space="preserve">Komunikacija Komisije Europskom parlamentu, Vijeću, Europskom gospodarskom i socijalnom odboru i Odboru regija: „Strategija EU-a za </w:t>
      </w:r>
      <w:proofErr w:type="spellStart"/>
      <w:r w:rsidRPr="00CD5A36">
        <w:rPr>
          <w:sz w:val="24"/>
          <w:lang w:val="hr-HR"/>
        </w:rPr>
        <w:t>bioraznolikost</w:t>
      </w:r>
      <w:proofErr w:type="spellEnd"/>
      <w:r w:rsidRPr="00CD5A36">
        <w:rPr>
          <w:sz w:val="24"/>
          <w:lang w:val="hr-HR"/>
        </w:rPr>
        <w:t xml:space="preserve"> do 2030. Vraćanje prirode u naše živote” </w:t>
      </w:r>
      <w:hyperlink r:id="rId34" w:history="1">
        <w:r w:rsidRPr="00CD5A36">
          <w:rPr>
            <w:rStyle w:val="Hyperlink"/>
            <w:sz w:val="24"/>
            <w:lang w:val="hr-HR"/>
          </w:rPr>
          <w:t>(COM(2020)0380)</w:t>
        </w:r>
      </w:hyperlink>
      <w:r w:rsidRPr="00CD5A36">
        <w:rPr>
          <w:rStyle w:val="Hyperlink"/>
          <w:sz w:val="24"/>
          <w:lang w:val="hr-HR"/>
        </w:rPr>
        <w:t>.</w:t>
      </w:r>
    </w:p>
  </w:footnote>
  <w:footnote w:id="25">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 xml:space="preserve">International Service for </w:t>
      </w:r>
      <w:proofErr w:type="spellStart"/>
      <w:r w:rsidRPr="00CD5A36">
        <w:rPr>
          <w:sz w:val="24"/>
          <w:lang w:val="hr-HR"/>
        </w:rPr>
        <w:t>the</w:t>
      </w:r>
      <w:proofErr w:type="spellEnd"/>
      <w:r w:rsidRPr="00CD5A36">
        <w:rPr>
          <w:sz w:val="24"/>
          <w:lang w:val="hr-HR"/>
        </w:rPr>
        <w:t xml:space="preserve"> </w:t>
      </w:r>
      <w:proofErr w:type="spellStart"/>
      <w:r w:rsidRPr="00CD5A36">
        <w:rPr>
          <w:sz w:val="24"/>
          <w:lang w:val="hr-HR"/>
        </w:rPr>
        <w:t>Acquisition</w:t>
      </w:r>
      <w:proofErr w:type="spellEnd"/>
      <w:r w:rsidRPr="00CD5A36">
        <w:rPr>
          <w:sz w:val="24"/>
          <w:lang w:val="hr-HR"/>
        </w:rPr>
        <w:t xml:space="preserve"> </w:t>
      </w:r>
      <w:proofErr w:type="spellStart"/>
      <w:r w:rsidRPr="00CD5A36">
        <w:rPr>
          <w:sz w:val="24"/>
          <w:lang w:val="hr-HR"/>
        </w:rPr>
        <w:t>of</w:t>
      </w:r>
      <w:proofErr w:type="spellEnd"/>
      <w:r w:rsidRPr="00CD5A36">
        <w:rPr>
          <w:sz w:val="24"/>
          <w:lang w:val="hr-HR"/>
        </w:rPr>
        <w:t xml:space="preserve"> </w:t>
      </w:r>
      <w:proofErr w:type="spellStart"/>
      <w:r w:rsidRPr="00CD5A36">
        <w:rPr>
          <w:sz w:val="24"/>
          <w:lang w:val="hr-HR"/>
        </w:rPr>
        <w:t>Agri-biotech</w:t>
      </w:r>
      <w:proofErr w:type="spellEnd"/>
      <w:r w:rsidRPr="00CD5A36">
        <w:rPr>
          <w:sz w:val="24"/>
          <w:lang w:val="hr-HR"/>
        </w:rPr>
        <w:t xml:space="preserve"> </w:t>
      </w:r>
      <w:proofErr w:type="spellStart"/>
      <w:r w:rsidRPr="00CD5A36">
        <w:rPr>
          <w:sz w:val="24"/>
          <w:lang w:val="hr-HR"/>
        </w:rPr>
        <w:t>Applications</w:t>
      </w:r>
      <w:proofErr w:type="spellEnd"/>
      <w:r w:rsidRPr="00CD5A36">
        <w:rPr>
          <w:sz w:val="24"/>
          <w:lang w:val="hr-HR"/>
        </w:rPr>
        <w:t xml:space="preserve">, </w:t>
      </w:r>
      <w:r w:rsidRPr="00CD5A36">
        <w:rPr>
          <w:i/>
          <w:iCs/>
          <w:sz w:val="24"/>
          <w:lang w:val="hr-HR"/>
        </w:rPr>
        <w:t xml:space="preserve">„Global status </w:t>
      </w:r>
      <w:proofErr w:type="spellStart"/>
      <w:r w:rsidRPr="00CD5A36">
        <w:rPr>
          <w:i/>
          <w:iCs/>
          <w:sz w:val="24"/>
          <w:lang w:val="hr-HR"/>
        </w:rPr>
        <w:t>of</w:t>
      </w:r>
      <w:proofErr w:type="spellEnd"/>
      <w:r w:rsidRPr="00CD5A36">
        <w:rPr>
          <w:i/>
          <w:iCs/>
          <w:sz w:val="24"/>
          <w:lang w:val="hr-HR"/>
        </w:rPr>
        <w:t xml:space="preserve"> </w:t>
      </w:r>
      <w:proofErr w:type="spellStart"/>
      <w:r w:rsidRPr="00CD5A36">
        <w:rPr>
          <w:i/>
          <w:iCs/>
          <w:sz w:val="24"/>
          <w:lang w:val="hr-HR"/>
        </w:rPr>
        <w:t>Commercialized</w:t>
      </w:r>
      <w:proofErr w:type="spellEnd"/>
      <w:r w:rsidRPr="00CD5A36">
        <w:rPr>
          <w:i/>
          <w:iCs/>
          <w:sz w:val="24"/>
          <w:lang w:val="hr-HR"/>
        </w:rPr>
        <w:t xml:space="preserve"> </w:t>
      </w:r>
      <w:proofErr w:type="spellStart"/>
      <w:r w:rsidRPr="00CD5A36">
        <w:rPr>
          <w:i/>
          <w:iCs/>
          <w:sz w:val="24"/>
          <w:lang w:val="hr-HR"/>
        </w:rPr>
        <w:t>Biotech</w:t>
      </w:r>
      <w:proofErr w:type="spellEnd"/>
      <w:r w:rsidRPr="00CD5A36">
        <w:rPr>
          <w:i/>
          <w:iCs/>
          <w:sz w:val="24"/>
          <w:lang w:val="hr-HR"/>
        </w:rPr>
        <w:t xml:space="preserve">/GM </w:t>
      </w:r>
      <w:proofErr w:type="spellStart"/>
      <w:r w:rsidRPr="00CD5A36">
        <w:rPr>
          <w:i/>
          <w:iCs/>
          <w:sz w:val="24"/>
          <w:lang w:val="hr-HR"/>
        </w:rPr>
        <w:t>crops</w:t>
      </w:r>
      <w:proofErr w:type="spellEnd"/>
      <w:r w:rsidRPr="00CD5A36">
        <w:rPr>
          <w:i/>
          <w:iCs/>
          <w:sz w:val="24"/>
          <w:lang w:val="hr-HR"/>
        </w:rPr>
        <w:t xml:space="preserve"> </w:t>
      </w:r>
      <w:proofErr w:type="spellStart"/>
      <w:r w:rsidRPr="00CD5A36">
        <w:rPr>
          <w:i/>
          <w:iCs/>
          <w:sz w:val="24"/>
          <w:lang w:val="hr-HR"/>
        </w:rPr>
        <w:t>in</w:t>
      </w:r>
      <w:proofErr w:type="spellEnd"/>
      <w:r w:rsidRPr="00CD5A36">
        <w:rPr>
          <w:i/>
          <w:iCs/>
          <w:sz w:val="24"/>
          <w:lang w:val="hr-HR"/>
        </w:rPr>
        <w:t xml:space="preserve"> 2017:</w:t>
      </w:r>
      <w:r w:rsidRPr="00CD5A36">
        <w:rPr>
          <w:sz w:val="24"/>
          <w:lang w:val="hr-HR"/>
        </w:rPr>
        <w:t xml:space="preserve"> </w:t>
      </w:r>
      <w:proofErr w:type="spellStart"/>
      <w:r w:rsidRPr="00CD5A36">
        <w:rPr>
          <w:i/>
          <w:iCs/>
          <w:sz w:val="24"/>
          <w:lang w:val="hr-HR"/>
        </w:rPr>
        <w:t>Biotech</w:t>
      </w:r>
      <w:proofErr w:type="spellEnd"/>
      <w:r w:rsidRPr="00CD5A36">
        <w:rPr>
          <w:i/>
          <w:iCs/>
          <w:sz w:val="24"/>
          <w:lang w:val="hr-HR"/>
        </w:rPr>
        <w:t xml:space="preserve"> </w:t>
      </w:r>
      <w:proofErr w:type="spellStart"/>
      <w:r w:rsidRPr="00CD5A36">
        <w:rPr>
          <w:i/>
          <w:iCs/>
          <w:sz w:val="24"/>
          <w:lang w:val="hr-HR"/>
        </w:rPr>
        <w:t>Crop</w:t>
      </w:r>
      <w:proofErr w:type="spellEnd"/>
      <w:r w:rsidRPr="00CD5A36">
        <w:rPr>
          <w:i/>
          <w:iCs/>
          <w:sz w:val="24"/>
          <w:lang w:val="hr-HR"/>
        </w:rPr>
        <w:t xml:space="preserve"> </w:t>
      </w:r>
      <w:proofErr w:type="spellStart"/>
      <w:r w:rsidRPr="00CD5A36">
        <w:rPr>
          <w:i/>
          <w:iCs/>
          <w:sz w:val="24"/>
          <w:lang w:val="hr-HR"/>
        </w:rPr>
        <w:t>Adoption</w:t>
      </w:r>
      <w:proofErr w:type="spellEnd"/>
      <w:r w:rsidRPr="00CD5A36">
        <w:rPr>
          <w:i/>
          <w:iCs/>
          <w:sz w:val="24"/>
          <w:lang w:val="hr-HR"/>
        </w:rPr>
        <w:t xml:space="preserve"> </w:t>
      </w:r>
      <w:proofErr w:type="spellStart"/>
      <w:r w:rsidRPr="00CD5A36">
        <w:rPr>
          <w:i/>
          <w:iCs/>
          <w:sz w:val="24"/>
          <w:lang w:val="hr-HR"/>
        </w:rPr>
        <w:t>Surges</w:t>
      </w:r>
      <w:proofErr w:type="spellEnd"/>
      <w:r w:rsidRPr="00CD5A36">
        <w:rPr>
          <w:i/>
          <w:iCs/>
          <w:sz w:val="24"/>
          <w:lang w:val="hr-HR"/>
        </w:rPr>
        <w:t xml:space="preserve"> as </w:t>
      </w:r>
      <w:proofErr w:type="spellStart"/>
      <w:r w:rsidRPr="00CD5A36">
        <w:rPr>
          <w:i/>
          <w:iCs/>
          <w:sz w:val="24"/>
          <w:lang w:val="hr-HR"/>
        </w:rPr>
        <w:t>Economic</w:t>
      </w:r>
      <w:proofErr w:type="spellEnd"/>
      <w:r w:rsidRPr="00CD5A36">
        <w:rPr>
          <w:i/>
          <w:iCs/>
          <w:sz w:val="24"/>
          <w:lang w:val="hr-HR"/>
        </w:rPr>
        <w:t xml:space="preserve"> </w:t>
      </w:r>
      <w:proofErr w:type="spellStart"/>
      <w:r w:rsidRPr="00CD5A36">
        <w:rPr>
          <w:i/>
          <w:iCs/>
          <w:sz w:val="24"/>
          <w:lang w:val="hr-HR"/>
        </w:rPr>
        <w:t>Benefits</w:t>
      </w:r>
      <w:proofErr w:type="spellEnd"/>
      <w:r w:rsidRPr="00CD5A36">
        <w:rPr>
          <w:i/>
          <w:iCs/>
          <w:sz w:val="24"/>
          <w:lang w:val="hr-HR"/>
        </w:rPr>
        <w:t xml:space="preserve"> </w:t>
      </w:r>
      <w:proofErr w:type="spellStart"/>
      <w:r w:rsidRPr="00CD5A36">
        <w:rPr>
          <w:i/>
          <w:iCs/>
          <w:sz w:val="24"/>
          <w:lang w:val="hr-HR"/>
        </w:rPr>
        <w:t>Accumulate</w:t>
      </w:r>
      <w:proofErr w:type="spellEnd"/>
      <w:r w:rsidRPr="00CD5A36">
        <w:rPr>
          <w:i/>
          <w:iCs/>
          <w:sz w:val="24"/>
          <w:lang w:val="hr-HR"/>
        </w:rPr>
        <w:t xml:space="preserve"> </w:t>
      </w:r>
      <w:proofErr w:type="spellStart"/>
      <w:r w:rsidRPr="00CD5A36">
        <w:rPr>
          <w:i/>
          <w:iCs/>
          <w:sz w:val="24"/>
          <w:lang w:val="hr-HR"/>
        </w:rPr>
        <w:t>in</w:t>
      </w:r>
      <w:proofErr w:type="spellEnd"/>
      <w:r w:rsidRPr="00CD5A36">
        <w:rPr>
          <w:i/>
          <w:iCs/>
          <w:sz w:val="24"/>
          <w:lang w:val="hr-HR"/>
        </w:rPr>
        <w:t xml:space="preserve"> 22 </w:t>
      </w:r>
      <w:proofErr w:type="spellStart"/>
      <w:r w:rsidRPr="00CD5A36">
        <w:rPr>
          <w:i/>
          <w:iCs/>
          <w:sz w:val="24"/>
          <w:lang w:val="hr-HR"/>
        </w:rPr>
        <w:t>Years</w:t>
      </w:r>
      <w:proofErr w:type="spellEnd"/>
      <w:r w:rsidRPr="00CD5A36">
        <w:rPr>
          <w:i/>
          <w:iCs/>
          <w:sz w:val="24"/>
          <w:lang w:val="hr-HR"/>
        </w:rPr>
        <w:t>”</w:t>
      </w:r>
      <w:r w:rsidRPr="00CD5A36">
        <w:rPr>
          <w:sz w:val="24"/>
          <w:lang w:val="hr-HR"/>
        </w:rPr>
        <w:t xml:space="preserve">, ISAAA, sažetak br. 53 (2017.), str. 16. i 21., </w:t>
      </w:r>
      <w:hyperlink r:id="rId35" w:history="1">
        <w:r w:rsidRPr="00CD5A36">
          <w:rPr>
            <w:rStyle w:val="Hyperlink"/>
            <w:sz w:val="24"/>
            <w:lang w:val="hr-HR"/>
          </w:rPr>
          <w:t>http://www.isaaa.org/resources/publications/briefs/53/download/isaaa-brief-53-2017.pdf</w:t>
        </w:r>
      </w:hyperlink>
      <w:r w:rsidRPr="00CD5A36">
        <w:rPr>
          <w:rStyle w:val="Hyperlink"/>
          <w:sz w:val="24"/>
          <w:lang w:val="hr-HR"/>
        </w:rPr>
        <w:t>.</w:t>
      </w:r>
      <w:r w:rsidRPr="00CD5A36">
        <w:rPr>
          <w:sz w:val="24"/>
          <w:lang w:val="hr-HR"/>
        </w:rPr>
        <w:t xml:space="preserve"> </w:t>
      </w:r>
    </w:p>
  </w:footnote>
  <w:footnote w:id="26">
    <w:p w:rsidR="00F630E9" w:rsidRPr="00CD5A36" w:rsidRDefault="00F630E9" w:rsidP="00CD5A36">
      <w:pPr>
        <w:pStyle w:val="FootnoteText"/>
        <w:ind w:left="567" w:hanging="567"/>
        <w:rPr>
          <w:sz w:val="24"/>
          <w:lang w:val="hr-HR"/>
        </w:rPr>
      </w:pPr>
      <w:r w:rsidRPr="00CD5A36">
        <w:rPr>
          <w:rStyle w:val="FootnoteReference"/>
          <w:rFonts w:eastAsiaTheme="majorEastAsia"/>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 xml:space="preserve">Tehničko izvješće Europske komisije 2013.-063 naslovljeno „Utjecaj potrošnje u EU-u na krčenje šuma: sveobuhvatna analiza utjecaja potrošnje u EU-u na krčenje šuma” </w:t>
      </w:r>
      <w:hyperlink r:id="rId36" w:history="1">
        <w:r w:rsidRPr="00CD5A36">
          <w:rPr>
            <w:rStyle w:val="Hyperlink"/>
            <w:sz w:val="24"/>
            <w:lang w:val="hr-HR"/>
          </w:rPr>
          <w:t>https://op.europa.eu/en/publication-detail/-/publication/c1d3ef3e-d07e-4229-91e5-41001b47dba8/language-en</w:t>
        </w:r>
      </w:hyperlink>
      <w:r w:rsidRPr="00CD5A36">
        <w:rPr>
          <w:sz w:val="24"/>
          <w:lang w:val="hr-HR"/>
        </w:rPr>
        <w:t xml:space="preserve"> str. 23. – 24.; Od 1990. do 2008. Unija je uvezla količinu žitarica i stočnih proizvoda čija je proizvodnja uzrokovala krčenje 90 000 km</w:t>
      </w:r>
      <w:r w:rsidRPr="00CD5A36">
        <w:rPr>
          <w:rStyle w:val="sup1"/>
          <w:color w:val="000000"/>
          <w:sz w:val="24"/>
          <w:lang w:val="hr-HR"/>
        </w:rPr>
        <w:t>2</w:t>
      </w:r>
      <w:r w:rsidRPr="00CD5A36">
        <w:rPr>
          <w:sz w:val="24"/>
          <w:lang w:val="hr-HR"/>
        </w:rPr>
        <w:t xml:space="preserve"> šuma. Od toga na poljoprivredne proizvode otpada 74 000 km</w:t>
      </w:r>
      <w:r w:rsidRPr="00CD5A36">
        <w:rPr>
          <w:rStyle w:val="sup1"/>
          <w:color w:val="000000"/>
          <w:sz w:val="24"/>
          <w:lang w:val="hr-HR"/>
        </w:rPr>
        <w:t>2</w:t>
      </w:r>
      <w:r w:rsidRPr="00CD5A36">
        <w:rPr>
          <w:sz w:val="24"/>
          <w:lang w:val="hr-HR"/>
        </w:rPr>
        <w:t xml:space="preserve"> (82 %), a najveći udio imaju uljarice (52 000 km</w:t>
      </w:r>
      <w:r w:rsidRPr="00CD5A36">
        <w:rPr>
          <w:rStyle w:val="sup1"/>
          <w:color w:val="000000"/>
          <w:sz w:val="24"/>
          <w:lang w:val="hr-HR"/>
        </w:rPr>
        <w:t>2</w:t>
      </w:r>
      <w:r w:rsidRPr="00CD5A36">
        <w:rPr>
          <w:sz w:val="24"/>
          <w:lang w:val="hr-HR"/>
        </w:rPr>
        <w:t>). Na soju i sojinu pogaču otpada 82 % te brojke (42 600 km</w:t>
      </w:r>
      <w:r w:rsidRPr="00CD5A36">
        <w:rPr>
          <w:rStyle w:val="sup1"/>
          <w:color w:val="000000"/>
          <w:sz w:val="24"/>
          <w:lang w:val="hr-HR"/>
        </w:rPr>
        <w:t>2</w:t>
      </w:r>
      <w:r w:rsidRPr="00CD5A36">
        <w:rPr>
          <w:sz w:val="24"/>
          <w:lang w:val="hr-HR"/>
        </w:rPr>
        <w:t>), što je 47 % ukupnog uvoza proizvoda u Uniju čija proizvodnja uzrokuje krčenje šuma.</w:t>
      </w:r>
    </w:p>
  </w:footnote>
  <w:footnote w:id="27">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hyperlink r:id="rId37" w:history="1">
        <w:r w:rsidRPr="00CD5A36">
          <w:rPr>
            <w:rStyle w:val="Hyperlink"/>
            <w:sz w:val="24"/>
            <w:lang w:val="hr-HR"/>
          </w:rPr>
          <w:t>https://commission.europa.eu/document/2c64e540-c07a-4376-a1da-368d289f4afe_en</w:t>
        </w:r>
      </w:hyperlink>
      <w:r w:rsidRPr="00CD5A36">
        <w:rPr>
          <w:sz w:val="24"/>
          <w:lang w:val="hr-HR"/>
        </w:rPr>
        <w:t>.</w:t>
      </w:r>
    </w:p>
  </w:footnote>
  <w:footnote w:id="28">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U skladu s člankom 6. stavkom 3. Uredbe (EU) br. 182/2011 Komisija „može”, ali ne „mora” dati odobrenje ako se u okviru žalbenog odbora za to ne izjasni kvalificirana većina država članica.</w:t>
      </w:r>
    </w:p>
  </w:footnote>
  <w:footnote w:id="29">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1., ELI:</w:t>
      </w:r>
      <w:r w:rsidRPr="00CD5A36">
        <w:rPr>
          <w:color w:val="000000" w:themeColor="text1"/>
          <w:sz w:val="24"/>
          <w:lang w:val="hr-HR"/>
        </w:rPr>
        <w:t> </w:t>
      </w:r>
      <w:hyperlink r:id="rId38" w:tgtFrame="Gives access to this document through its ELI URI." w:history="1">
        <w:r w:rsidRPr="00CD5A36">
          <w:rPr>
            <w:rStyle w:val="Hyperlink"/>
            <w:color w:val="0070C0"/>
            <w:sz w:val="24"/>
            <w:lang w:val="hr-HR"/>
          </w:rPr>
          <w:t>http://data.europa.eu/eli/reg/2002/178/oj</w:t>
        </w:r>
      </w:hyperlink>
      <w:r w:rsidRPr="00CD5A36">
        <w:rPr>
          <w:sz w:val="24"/>
          <w:lang w:val="hr-HR"/>
        </w:rPr>
        <w:t>).</w:t>
      </w:r>
    </w:p>
  </w:footnote>
  <w:footnote w:id="30">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 xml:space="preserve">Na konferenciji COP15 Konvencije Ujedinjenih naroda o biološkoj raznolikosti u prosincu 2022. dogovoren je globalni okvir za biološku raznolikost, koji uključuje globalni cilj smanjenja rizika od pesticida za najmanje 50 % do 2030. (vidjeti: </w:t>
      </w:r>
      <w:hyperlink r:id="rId39" w:history="1">
        <w:r w:rsidRPr="00CD5A36">
          <w:rPr>
            <w:rStyle w:val="Hyperlink"/>
            <w:sz w:val="24"/>
            <w:lang w:val="hr-HR"/>
          </w:rPr>
          <w:t>https://ec.europa.eu/commission/presscorner/detail/hr/ip_22_7834</w:t>
        </w:r>
      </w:hyperlink>
      <w:r w:rsidRPr="00CD5A36">
        <w:rPr>
          <w:sz w:val="24"/>
          <w:lang w:val="hr-HR"/>
        </w:rPr>
        <w:t>).</w:t>
      </w:r>
    </w:p>
  </w:footnote>
  <w:footnote w:id="31">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hyperlink r:id="rId40" w:history="1">
        <w:r w:rsidRPr="00CD5A36">
          <w:rPr>
            <w:rStyle w:val="Hyperlink"/>
            <w:sz w:val="24"/>
            <w:lang w:val="hr-HR"/>
          </w:rPr>
          <w:t>https://tillymetz.lu/wp-content/uploads/2020/09/Co-signed-letter-MEP-Metz.pdf</w:t>
        </w:r>
      </w:hyperlink>
      <w:r w:rsidRPr="00CD5A36">
        <w:rPr>
          <w:rStyle w:val="Hyperlink"/>
          <w:sz w:val="24"/>
          <w:lang w:val="hr-HR"/>
        </w:rPr>
        <w:t>.</w:t>
      </w:r>
    </w:p>
  </w:footnote>
  <w:footnote w:id="32">
    <w:p w:rsidR="00F630E9" w:rsidRPr="00CD5A36" w:rsidRDefault="00F630E9" w:rsidP="00CD5A36">
      <w:pPr>
        <w:pStyle w:val="FootnoteText"/>
        <w:ind w:left="567" w:hanging="567"/>
        <w:rPr>
          <w:sz w:val="24"/>
          <w:lang w:val="hr-HR"/>
        </w:rPr>
      </w:pPr>
      <w:r w:rsidRPr="00CD5A36">
        <w:rPr>
          <w:rStyle w:val="FootnoteReference"/>
          <w:sz w:val="24"/>
          <w:lang w:val="hr-HR"/>
        </w:rPr>
        <w:footnoteRef/>
      </w:r>
      <w:r w:rsidR="00CD5A36" w:rsidRPr="00CD5A36">
        <w:rPr>
          <w:sz w:val="24"/>
          <w:lang w:val="hr-HR"/>
        </w:rPr>
        <w:t xml:space="preserve"> </w:t>
      </w:r>
      <w:r w:rsidR="00CD5A36" w:rsidRPr="00CD5A36">
        <w:rPr>
          <w:sz w:val="24"/>
          <w:lang w:val="hr-HR"/>
        </w:rPr>
        <w:tab/>
      </w:r>
      <w:r w:rsidRPr="00CD5A36">
        <w:rPr>
          <w:sz w:val="24"/>
          <w:lang w:val="hr-HR"/>
        </w:rPr>
        <w:t>Rezolucija Europskog parlamenta od 15. siječnja 2020. o europskom zelenom planu (SL C 270, 7.7.2021., str. 2.), stavak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A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A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A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HR"/>
    <w:docVar w:name="dvnumam" w:val="0"/>
    <w:docVar w:name="dvpe" w:val="772.013"/>
    <w:docVar w:name="dvtitre" w:val="Rezolucija Europskog parlamenta od .... 2025. o Nacrtu provedbene odluke Komisije o odobravanju stavljanja na tržište proizvoda koji sadržavaju genetski modificiranu soju MON 87705 × MON 87708 × MON 89788, sastoje se od nje ili su proizvedeni od nje, na temelju Uredbe (EZ) br. 1829/2003 Europskog parlamenta i Vijeća(D105678/01 – 2025/2647(RSP))"/>
  </w:docVars>
  <w:rsids>
    <w:rsidRoot w:val="00C07EE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11C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B8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EEE"/>
    <w:rsid w:val="00C23CD4"/>
    <w:rsid w:val="00C61C0C"/>
    <w:rsid w:val="00C941CB"/>
    <w:rsid w:val="00CC2357"/>
    <w:rsid w:val="00CD5A3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0E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7503A"/>
  <w15:chartTrackingRefBased/>
  <w15:docId w15:val="{FD4899ED-BB97-477E-A588-61026FAA0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30E9"/>
    <w:pPr>
      <w:spacing w:before="480" w:after="240"/>
    </w:pPr>
  </w:style>
  <w:style w:type="paragraph" w:customStyle="1" w:styleId="NormalBold12a">
    <w:name w:val="NormalBold12a"/>
    <w:basedOn w:val="Normal"/>
    <w:rsid w:val="00F630E9"/>
    <w:pPr>
      <w:spacing w:after="240"/>
    </w:pPr>
    <w:rPr>
      <w:b/>
    </w:rPr>
  </w:style>
  <w:style w:type="paragraph" w:customStyle="1" w:styleId="NormalHanging12a">
    <w:name w:val="NormalHanging12a"/>
    <w:basedOn w:val="Normal"/>
    <w:qFormat/>
    <w:rsid w:val="00F630E9"/>
    <w:pPr>
      <w:spacing w:after="240"/>
      <w:ind w:left="567" w:hanging="567"/>
    </w:pPr>
  </w:style>
  <w:style w:type="character" w:styleId="Hyperlink">
    <w:name w:val="Hyperlink"/>
    <w:basedOn w:val="DefaultParagraphFont"/>
    <w:uiPriority w:val="99"/>
    <w:rsid w:val="00F630E9"/>
    <w:rPr>
      <w:color w:val="0563C1" w:themeColor="hyperlink"/>
      <w:u w:val="single"/>
    </w:rPr>
  </w:style>
  <w:style w:type="paragraph" w:styleId="NoSpacing">
    <w:name w:val="No Spacing"/>
    <w:basedOn w:val="Normal"/>
    <w:uiPriority w:val="1"/>
    <w:qFormat/>
    <w:rsid w:val="00F630E9"/>
    <w:pPr>
      <w:widowControl/>
      <w:jc w:val="both"/>
    </w:pPr>
    <w:rPr>
      <w:rFonts w:eastAsiaTheme="minorHAnsi"/>
      <w:szCs w:val="32"/>
      <w:lang w:eastAsia="en-US"/>
    </w:rPr>
  </w:style>
  <w:style w:type="character" w:customStyle="1" w:styleId="sup1">
    <w:name w:val="sup1"/>
    <w:basedOn w:val="DefaultParagraphFont"/>
    <w:rsid w:val="00F630E9"/>
    <w:rPr>
      <w:sz w:val="19"/>
      <w:szCs w:val="19"/>
      <w:vertAlign w:val="superscript"/>
    </w:rPr>
  </w:style>
  <w:style w:type="character" w:styleId="FollowedHyperlink">
    <w:name w:val="FollowedHyperlink"/>
    <w:basedOn w:val="DefaultParagraphFont"/>
    <w:rsid w:val="003811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hr/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HR/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HR/TXT/HTML/?uri=CELEX:52019DC0352&amp;from=EN"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hr/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HR/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hr/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HR/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1B914-7254-45B4-8125-86A19DBE3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2490</Words>
  <Characters>14409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2025-05-08T12:56:00Z</dcterms:created>
  <dcterms:modified xsi:type="dcterms:W3CDTF">2025-05-08T12:56:00Z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B10-0244/2025</vt:lpwstr>
  </property>
  <property fmtid="{D5CDD505-2E9C-101B-9397-08002B2CF9AE}" pid="4" name="&lt;Type&gt;">
    <vt:lpwstr>RR</vt:lpwstr>
  </property>
</Properties>
</file>