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07EB" w:rsidTr="0010095E">
        <w:trPr>
          <w:trHeight w:hRule="exact" w:val="1418"/>
        </w:trPr>
        <w:tc>
          <w:tcPr>
            <w:tcW w:w="6804" w:type="dxa"/>
            <w:shd w:val="clear" w:color="auto" w:fill="auto"/>
            <w:vAlign w:val="center"/>
          </w:tcPr>
          <w:p w:rsidR="00751A4A" w:rsidRPr="002507EB" w:rsidRDefault="0088277D" w:rsidP="0010095E">
            <w:pPr>
              <w:pStyle w:val="EPName"/>
            </w:pPr>
            <w:r w:rsidRPr="002507EB">
              <w:t>Eiropas Parlaments</w:t>
            </w:r>
          </w:p>
          <w:p w:rsidR="00751A4A" w:rsidRPr="002507EB" w:rsidRDefault="005F1B17" w:rsidP="005F1B17">
            <w:pPr>
              <w:pStyle w:val="EPTerm"/>
              <w:rPr>
                <w:rStyle w:val="HideTWBExt"/>
                <w:noProof w:val="0"/>
                <w:vanish w:val="0"/>
                <w:color w:val="auto"/>
              </w:rPr>
            </w:pPr>
            <w:r w:rsidRPr="002507EB">
              <w:t>2024</w:t>
            </w:r>
            <w:r w:rsidR="00817416" w:rsidRPr="002507EB">
              <w:t>-202</w:t>
            </w:r>
            <w:r w:rsidRPr="002507EB">
              <w:t>9</w:t>
            </w:r>
          </w:p>
        </w:tc>
        <w:tc>
          <w:tcPr>
            <w:tcW w:w="2268" w:type="dxa"/>
            <w:shd w:val="clear" w:color="auto" w:fill="auto"/>
          </w:tcPr>
          <w:p w:rsidR="00751A4A" w:rsidRPr="002507EB" w:rsidRDefault="00187494" w:rsidP="0010095E">
            <w:pPr>
              <w:pStyle w:val="EPLogo"/>
            </w:pPr>
            <w:r w:rsidRPr="002507EB">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07EB" w:rsidRDefault="00D058B8" w:rsidP="004C5D52">
      <w:pPr>
        <w:pStyle w:val="LineTop"/>
      </w:pPr>
    </w:p>
    <w:p w:rsidR="00680577" w:rsidRPr="002507EB" w:rsidRDefault="0088277D" w:rsidP="00680577">
      <w:pPr>
        <w:pStyle w:val="EPBodyTA1"/>
      </w:pPr>
      <w:r w:rsidRPr="002507EB">
        <w:t>PIEŅEMTIE TEKSTI</w:t>
      </w:r>
    </w:p>
    <w:p w:rsidR="00D058B8" w:rsidRPr="002507EB" w:rsidRDefault="00D058B8" w:rsidP="00D058B8">
      <w:pPr>
        <w:pStyle w:val="LineBottom"/>
      </w:pPr>
    </w:p>
    <w:p w:rsidR="0088277D" w:rsidRPr="002507EB" w:rsidRDefault="0088277D" w:rsidP="0088277D">
      <w:pPr>
        <w:pStyle w:val="ATHeading1"/>
      </w:pPr>
      <w:bookmarkStart w:id="0" w:name="TANumber"/>
      <w:r w:rsidRPr="002507EB">
        <w:t>P10_TA(2025)0</w:t>
      </w:r>
      <w:bookmarkEnd w:id="0"/>
      <w:r w:rsidR="002507EB" w:rsidRPr="002507EB">
        <w:t>106</w:t>
      </w:r>
    </w:p>
    <w:p w:rsidR="0088277D" w:rsidRPr="002507EB" w:rsidRDefault="002D6172" w:rsidP="002D6172">
      <w:pPr>
        <w:pStyle w:val="ATHeading2"/>
      </w:pPr>
      <w:bookmarkStart w:id="1" w:name="title"/>
      <w:r w:rsidRPr="002507EB">
        <w:t>Ģenētiski modificētas sojas pupas MON 87705 ×MON 87708 ×MON 89788</w:t>
      </w:r>
      <w:bookmarkEnd w:id="1"/>
    </w:p>
    <w:p w:rsidR="0088277D" w:rsidRPr="002507EB" w:rsidRDefault="0088277D" w:rsidP="0088277D">
      <w:pPr>
        <w:rPr>
          <w:i/>
          <w:vanish/>
        </w:rPr>
      </w:pPr>
      <w:r w:rsidRPr="002507EB">
        <w:rPr>
          <w:i/>
        </w:rPr>
        <w:fldChar w:fldCharType="begin"/>
      </w:r>
      <w:r w:rsidRPr="002507EB">
        <w:rPr>
          <w:i/>
        </w:rPr>
        <w:instrText xml:space="preserve"> TC"(</w:instrText>
      </w:r>
      <w:bookmarkStart w:id="2" w:name="DocNumber"/>
      <w:r w:rsidRPr="002507EB">
        <w:rPr>
          <w:i/>
        </w:rPr>
        <w:instrText>B10-0244/2025</w:instrText>
      </w:r>
      <w:bookmarkEnd w:id="2"/>
      <w:r w:rsidRPr="002507EB">
        <w:rPr>
          <w:i/>
        </w:rPr>
        <w:instrText xml:space="preserve">)"\l3 \n&gt; \* MERGEFORMAT </w:instrText>
      </w:r>
      <w:r w:rsidRPr="002507EB">
        <w:rPr>
          <w:i/>
        </w:rPr>
        <w:fldChar w:fldCharType="end"/>
      </w:r>
    </w:p>
    <w:p w:rsidR="0088277D" w:rsidRPr="002507EB" w:rsidRDefault="0088277D" w:rsidP="0088277D">
      <w:pPr>
        <w:rPr>
          <w:vanish/>
        </w:rPr>
      </w:pPr>
      <w:bookmarkStart w:id="3" w:name="PE"/>
      <w:r w:rsidRPr="002507EB">
        <w:rPr>
          <w:vanish/>
        </w:rPr>
        <w:t>PE772.013</w:t>
      </w:r>
      <w:bookmarkEnd w:id="3"/>
    </w:p>
    <w:p w:rsidR="0088277D" w:rsidRPr="002507EB" w:rsidRDefault="0088277D" w:rsidP="0088277D">
      <w:pPr>
        <w:pStyle w:val="ATHeading3"/>
      </w:pPr>
      <w:bookmarkStart w:id="4" w:name="Sujet"/>
      <w:r w:rsidRPr="002507EB">
        <w:t xml:space="preserve">Eiropas Parlamenta 2025. gada </w:t>
      </w:r>
      <w:r w:rsidR="002D6172" w:rsidRPr="002507EB">
        <w:t>8. maija</w:t>
      </w:r>
      <w:r w:rsidRPr="002507EB">
        <w:t xml:space="preserve"> rezolūcija par projektu Komisijas īstenošanas lēmumam, ar ko atbilstoši Eiropas Parlamenta un Padomes Regulai (EK) Nr. 1829/2003 atļauj laist tirgū produktus, kas satur ģenētiski modificētas sojas pupas MON 87705 × MON 87708 × MON 89788, sastāv vai ir ražoti no tām</w:t>
      </w:r>
      <w:bookmarkEnd w:id="4"/>
      <w:r w:rsidRPr="002507EB">
        <w:t xml:space="preserve"> </w:t>
      </w:r>
      <w:bookmarkStart w:id="5" w:name="References"/>
      <w:r w:rsidRPr="002507EB">
        <w:t>(D105678/</w:t>
      </w:r>
      <w:r w:rsidR="002D6172" w:rsidRPr="002507EB">
        <w:t xml:space="preserve">03 </w:t>
      </w:r>
      <w:r w:rsidRPr="002507EB">
        <w:t>– 2025/2647(RSP))</w:t>
      </w:r>
      <w:bookmarkEnd w:id="5"/>
    </w:p>
    <w:p w:rsidR="003029DF" w:rsidRPr="002507EB" w:rsidRDefault="003029DF" w:rsidP="003029DF">
      <w:pPr>
        <w:pStyle w:val="EPComma"/>
      </w:pPr>
      <w:bookmarkStart w:id="6" w:name="TextBodyBegin"/>
      <w:bookmarkEnd w:id="6"/>
      <w:r w:rsidRPr="002507EB">
        <w:rPr>
          <w:i/>
          <w:iCs/>
        </w:rPr>
        <w:t>Eiropas Parlaments</w:t>
      </w:r>
      <w:r w:rsidRPr="002507EB">
        <w:t>,</w:t>
      </w:r>
    </w:p>
    <w:p w:rsidR="003029DF" w:rsidRPr="002507EB" w:rsidRDefault="003029DF" w:rsidP="003029DF">
      <w:pPr>
        <w:pStyle w:val="NormalHanging12a"/>
      </w:pPr>
      <w:r w:rsidRPr="002507EB">
        <w:t>–</w:t>
      </w:r>
      <w:r w:rsidRPr="002507EB">
        <w:tab/>
        <w:t>ņemot vērā projektu Komisijas īstenošanas lēmumam, ar ko atbilstoši Eiropas Parlamenta un Padomes Regulai (EK) Nr. 1829/2003 atļauj laist tirgū produktus, kas satur ģenētiski modificētas sojas pupas MON 87705 × MON 87708 × MON 89788, sastāv vai ir ražoti no tām (D105678/03),</w:t>
      </w:r>
    </w:p>
    <w:p w:rsidR="003029DF" w:rsidRPr="002507EB" w:rsidRDefault="003029DF" w:rsidP="003029DF">
      <w:pPr>
        <w:pStyle w:val="NormalHanging12a"/>
      </w:pPr>
      <w:r w:rsidRPr="002507EB">
        <w:t>–</w:t>
      </w:r>
      <w:r w:rsidRPr="002507EB">
        <w:tab/>
        <w:t>ņemot vērā Eiropas Parlamenta un Padomes 2003. gada 22. septembra Regulu (EK) Nr. 1829/2003 par ģenētiski modificētu pārtiku un barību</w:t>
      </w:r>
      <w:r w:rsidRPr="002507EB">
        <w:rPr>
          <w:rStyle w:val="FootnoteReference"/>
        </w:rPr>
        <w:footnoteReference w:id="1"/>
      </w:r>
      <w:r w:rsidRPr="002507EB">
        <w:t xml:space="preserve"> un jo īpaši tās 7. panta 3. punktu un 19. panta 3. punktu,</w:t>
      </w:r>
    </w:p>
    <w:p w:rsidR="003029DF" w:rsidRPr="002507EB" w:rsidRDefault="003029DF" w:rsidP="003029DF">
      <w:pPr>
        <w:pStyle w:val="NormalHanging12a"/>
        <w:rPr>
          <w:szCs w:val="24"/>
        </w:rPr>
      </w:pPr>
      <w:r w:rsidRPr="002507EB">
        <w:t>–</w:t>
      </w:r>
      <w:r w:rsidRPr="002507EB">
        <w:tab/>
        <w:t xml:space="preserve">ņemot vērā Regulas (EK) Nr. 1829/2003 35. pantā minētās </w:t>
      </w:r>
      <w:r w:rsidRPr="002507EB">
        <w:rPr>
          <w:shd w:val="clear" w:color="auto" w:fill="FFFFFF"/>
        </w:rPr>
        <w:t>Augu, dzīvnieku, pārtikas aprites un dzīvnieku barības pastāvīgās komitejas 2025. gada 28. februāra balsojumu, kura dēļ atzinums netika sniegts</w:t>
      </w:r>
      <w:r w:rsidRPr="002507EB">
        <w:t>,</w:t>
      </w:r>
    </w:p>
    <w:p w:rsidR="003029DF" w:rsidRPr="002507EB" w:rsidRDefault="003029DF" w:rsidP="003029DF">
      <w:pPr>
        <w:pStyle w:val="NormalHanging12a"/>
      </w:pPr>
      <w:r w:rsidRPr="002507EB">
        <w:t>–</w:t>
      </w:r>
      <w:r w:rsidRPr="002507EB">
        <w:tab/>
        <w:t>ņemot vērā 11. pantu Eiropas Parlamenta un Padomes 2011. gada 16. februāra Regulā (ES) Nr. 182/2011, ar ko nosaka normas un vispārīgus principus par dalībvalstu kontroles mehānismiem, kuri attiecas uz Komisijas īstenošanas pilnvaru izmantošanu</w:t>
      </w:r>
      <w:r w:rsidRPr="002507EB">
        <w:rPr>
          <w:rStyle w:val="FootnoteReference"/>
        </w:rPr>
        <w:footnoteReference w:id="2"/>
      </w:r>
      <w:r w:rsidRPr="002507EB">
        <w:t>,</w:t>
      </w:r>
    </w:p>
    <w:p w:rsidR="003029DF" w:rsidRPr="002507EB" w:rsidRDefault="003029DF" w:rsidP="003029DF">
      <w:pPr>
        <w:pStyle w:val="NormalHanging12a"/>
      </w:pPr>
      <w:r w:rsidRPr="002507EB">
        <w:t>–</w:t>
      </w:r>
      <w:r w:rsidRPr="002507EB">
        <w:tab/>
        <w:t>ņemot vērā Eiropas Pārtikas nekaitīguma iestādes (</w:t>
      </w:r>
      <w:r w:rsidRPr="002507EB">
        <w:rPr>
          <w:i/>
          <w:iCs/>
        </w:rPr>
        <w:t>EFSA</w:t>
      </w:r>
      <w:r w:rsidRPr="002507EB">
        <w:t xml:space="preserve">) 2020. gada 2. aprīlī pieņemto </w:t>
      </w:r>
      <w:r w:rsidRPr="002507EB">
        <w:lastRenderedPageBreak/>
        <w:t>atzinumu, kas publicēts 2020. gada 18. maijā</w:t>
      </w:r>
      <w:r w:rsidRPr="002507EB">
        <w:rPr>
          <w:rStyle w:val="FootnoteReference"/>
        </w:rPr>
        <w:footnoteReference w:id="3"/>
      </w:r>
      <w:r w:rsidRPr="002507EB">
        <w:t>,</w:t>
      </w:r>
    </w:p>
    <w:p w:rsidR="003029DF" w:rsidRPr="002507EB" w:rsidRDefault="003029DF" w:rsidP="003029DF">
      <w:pPr>
        <w:pStyle w:val="NormalHanging12a"/>
        <w:rPr>
          <w:szCs w:val="24"/>
        </w:rPr>
      </w:pPr>
      <w:r w:rsidRPr="002507EB">
        <w:rPr>
          <w:rFonts w:ascii="Symbol" w:hAnsi="Symbol"/>
        </w:rPr>
        <w:sym w:font="Symbol" w:char="F02D"/>
      </w:r>
      <w:r w:rsidRPr="002507EB">
        <w:rPr>
          <w:rFonts w:ascii="Symbol" w:hAnsi="Symbol"/>
        </w:rPr>
        <w:tab/>
      </w:r>
      <w:r w:rsidRPr="002507EB">
        <w:rPr>
          <w:shd w:val="clear" w:color="auto" w:fill="FFFFFF"/>
        </w:rPr>
        <w:t>ņemot vērā iepriekšējās rezolūcijas, kurās ir iebilsts pret atļauju izmantot ģenētiski modificētus organismus (ĢMO)</w:t>
      </w:r>
      <w:r w:rsidRPr="002507EB">
        <w:rPr>
          <w:rStyle w:val="FootnoteReference"/>
          <w:szCs w:val="24"/>
          <w:shd w:val="clear" w:color="auto" w:fill="FFFFFF"/>
        </w:rPr>
        <w:footnoteReference w:id="4"/>
      </w:r>
      <w:r w:rsidRPr="002507EB">
        <w:rPr>
          <w:shd w:val="clear" w:color="auto" w:fill="FFFFFF"/>
        </w:rPr>
        <w:t>,</w:t>
      </w:r>
    </w:p>
    <w:p w:rsidR="003029DF" w:rsidRPr="002507EB" w:rsidRDefault="003029DF" w:rsidP="003029DF">
      <w:pPr>
        <w:pStyle w:val="NormalHanging12a"/>
      </w:pPr>
      <w:r w:rsidRPr="002507EB">
        <w:lastRenderedPageBreak/>
        <w:t>–</w:t>
      </w:r>
      <w:r w:rsidRPr="002507EB">
        <w:tab/>
        <w:t>ņemot vērā Reglamenta 115. panta 2. un 3. punktu,</w:t>
      </w:r>
    </w:p>
    <w:p w:rsidR="003029DF" w:rsidRPr="002507EB" w:rsidRDefault="003029DF" w:rsidP="003029DF">
      <w:pPr>
        <w:pStyle w:val="NormalHanging12a"/>
      </w:pPr>
      <w:r w:rsidRPr="002507EB">
        <w:t>–</w:t>
      </w:r>
      <w:r w:rsidRPr="002507EB">
        <w:tab/>
        <w:t>ņemot vērā Vides, klimata un pārtikas nekaitīguma komitejas rezolūcijas priekšlikumu,</w:t>
      </w:r>
    </w:p>
    <w:p w:rsidR="003029DF" w:rsidRPr="002507EB" w:rsidRDefault="003029DF" w:rsidP="003029DF">
      <w:pPr>
        <w:pStyle w:val="NormalHanging12a"/>
      </w:pPr>
      <w:r w:rsidRPr="002507EB">
        <w:t>A.</w:t>
      </w:r>
      <w:r w:rsidRPr="002507EB">
        <w:tab/>
        <w:t xml:space="preserve">tā kā 2015. gada 11. septembrī uzņēmums </w:t>
      </w:r>
      <w:proofErr w:type="spellStart"/>
      <w:r w:rsidRPr="002507EB">
        <w:rPr>
          <w:i/>
          <w:iCs/>
        </w:rPr>
        <w:t>Monsanto</w:t>
      </w:r>
      <w:proofErr w:type="spellEnd"/>
      <w:r w:rsidRPr="002507EB">
        <w:rPr>
          <w:i/>
          <w:iCs/>
        </w:rPr>
        <w:t xml:space="preserve"> </w:t>
      </w:r>
      <w:proofErr w:type="spellStart"/>
      <w:r w:rsidRPr="002507EB">
        <w:rPr>
          <w:i/>
          <w:iCs/>
        </w:rPr>
        <w:t>Europe</w:t>
      </w:r>
      <w:proofErr w:type="spellEnd"/>
      <w:r w:rsidRPr="002507EB">
        <w:rPr>
          <w:i/>
          <w:iCs/>
        </w:rPr>
        <w:t xml:space="preserve"> S.A./N.V.</w:t>
      </w:r>
      <w:r w:rsidRPr="002507EB">
        <w:t xml:space="preserve"> uzņēmuma </w:t>
      </w:r>
      <w:proofErr w:type="spellStart"/>
      <w:r w:rsidRPr="002507EB">
        <w:rPr>
          <w:i/>
          <w:iCs/>
        </w:rPr>
        <w:t>Monsanto</w:t>
      </w:r>
      <w:proofErr w:type="spellEnd"/>
      <w:r w:rsidRPr="002507EB">
        <w:rPr>
          <w:i/>
          <w:iCs/>
        </w:rPr>
        <w:t xml:space="preserve"> </w:t>
      </w:r>
      <w:proofErr w:type="spellStart"/>
      <w:r w:rsidRPr="002507EB">
        <w:rPr>
          <w:i/>
          <w:iCs/>
        </w:rPr>
        <w:t>Company</w:t>
      </w:r>
      <w:proofErr w:type="spellEnd"/>
      <w:r w:rsidRPr="002507EB">
        <w:t xml:space="preserve"> (Amerikas Savienotās Valstis) vārdā saskaņā ar Regulas (EK) Nr. 1829/2003 5. un 17. pantu Nīderlandes kompetentajai iestādei iesniedza pieteikumu, kurā lūdza atļaut laist tirgū tādus pārtikas produktus, pārtikas sastāvdaļas un barību, kas satur ģenētiski modificētas sojas pupas </w:t>
      </w:r>
      <w:bookmarkStart w:id="7" w:name="_Hlk183685905"/>
      <w:r w:rsidRPr="002507EB">
        <w:t>MON 87705 × MON 87708 × MON 89788</w:t>
      </w:r>
      <w:bookmarkEnd w:id="7"/>
      <w:r w:rsidRPr="002507EB">
        <w:t xml:space="preserve"> (“ĢM sojas pupas”), no tām sastāv vai ir no tām ražoti (“pieteikums”); tā kā pieteikumā minēta arī tādu produktu laišana tirgū, kas satur ĢM sojas pupas vai sastāv no tām, izmantošanai veidos, kas nav pārtika un dzīvnieku barība, izņemot audzēšanu;</w:t>
      </w:r>
    </w:p>
    <w:p w:rsidR="003029DF" w:rsidRPr="002507EB" w:rsidRDefault="003029DF" w:rsidP="003029DF">
      <w:pPr>
        <w:pStyle w:val="NormalHanging12a"/>
      </w:pPr>
      <w:r w:rsidRPr="002507EB">
        <w:t xml:space="preserve">B. </w:t>
      </w:r>
      <w:r w:rsidRPr="002507EB">
        <w:tab/>
        <w:t xml:space="preserve">tā kā </w:t>
      </w:r>
      <w:r w:rsidRPr="002507EB">
        <w:rPr>
          <w:i/>
          <w:iCs/>
        </w:rPr>
        <w:t>EFSA</w:t>
      </w:r>
      <w:r w:rsidRPr="002507EB">
        <w:t xml:space="preserve"> 2020. gada 2. aprīlī pieņēma pozitīvu atzinumu par ĢM sojas pupām, kas tika publicēts 2020. gada 18. maijā; tā kā, apspriedusies ar valstu kompetentajām iestādēm, kā noteikts Regulas (EK) Nr. 1829/2003 6. panta 4. punktā un 18. panta 4. punktā, </w:t>
      </w:r>
      <w:r w:rsidRPr="002507EB">
        <w:rPr>
          <w:i/>
          <w:iCs/>
        </w:rPr>
        <w:t>EFSA</w:t>
      </w:r>
      <w:r w:rsidRPr="002507EB">
        <w:t xml:space="preserve"> savā atzinumā ņēma vērā visus dalībvalstu uzdotos jautājumus un paustās bažas;</w:t>
      </w:r>
    </w:p>
    <w:p w:rsidR="003029DF" w:rsidRPr="002507EB" w:rsidRDefault="003029DF" w:rsidP="003029DF">
      <w:pPr>
        <w:pStyle w:val="NormalHanging12a"/>
      </w:pPr>
      <w:r w:rsidRPr="002507EB">
        <w:t>C.</w:t>
      </w:r>
      <w:r w:rsidRPr="002507EB">
        <w:tab/>
        <w:t xml:space="preserve">tā kā </w:t>
      </w:r>
      <w:r w:rsidRPr="002507EB">
        <w:rPr>
          <w:i/>
          <w:iCs/>
        </w:rPr>
        <w:t>EFSA</w:t>
      </w:r>
      <w:r w:rsidRPr="002507EB">
        <w:t xml:space="preserve"> tomēr nevarēja pabeigt riska novērtējumu un izdarīt secinājumus par ĢM sojas pupu nekaitīgumu, jo nebija veikts 90 dienu pētījums par ĢM sojas pupām un nebija izstrādāts </w:t>
      </w:r>
      <w:proofErr w:type="spellStart"/>
      <w:r w:rsidRPr="002507EB">
        <w:t>pēctirgus</w:t>
      </w:r>
      <w:proofErr w:type="spellEnd"/>
      <w:r w:rsidRPr="002507EB">
        <w:t xml:space="preserve"> uzraudzības plāns,</w:t>
      </w:r>
      <w:r w:rsidRPr="002507EB">
        <w:rPr>
          <w:i/>
        </w:rPr>
        <w:t xml:space="preserve"> </w:t>
      </w:r>
      <w:r w:rsidRPr="002507EB">
        <w:t>ņemot vērā izmainīto taukskābju profilu ĢM sojas pupām ar vairākiem transformācijas gadījumiem;</w:t>
      </w:r>
    </w:p>
    <w:p w:rsidR="003029DF" w:rsidRPr="002507EB" w:rsidRDefault="003029DF" w:rsidP="003029DF">
      <w:pPr>
        <w:pStyle w:val="NormalHanging12a"/>
      </w:pPr>
      <w:r w:rsidRPr="002507EB">
        <w:t xml:space="preserve">D. </w:t>
      </w:r>
      <w:r w:rsidRPr="002507EB">
        <w:tab/>
        <w:t xml:space="preserve">tā kā 2024. gada 3. oktobrī </w:t>
      </w:r>
      <w:r w:rsidRPr="002507EB">
        <w:rPr>
          <w:i/>
          <w:iCs/>
        </w:rPr>
        <w:t>EFSA</w:t>
      </w:r>
      <w:r w:rsidRPr="002507EB">
        <w:t xml:space="preserve"> pieņēma paziņojumu, kas tika publicēts 2024. gada 28. oktobrī, papildinot savu 2020. gada 2. aprīļa zinātnisko atzinumu, un tajā, pamatojoties uz pieteikuma iesniedzēja sniegtajiem papildu datiem</w:t>
      </w:r>
      <w:r w:rsidRPr="002507EB">
        <w:rPr>
          <w:rStyle w:val="FootnoteReference"/>
        </w:rPr>
        <w:footnoteReference w:id="5"/>
      </w:r>
      <w:r w:rsidRPr="002507EB">
        <w:t xml:space="preserve">, </w:t>
      </w:r>
      <w:r w:rsidRPr="002507EB">
        <w:rPr>
          <w:i/>
          <w:iCs/>
        </w:rPr>
        <w:t>EFSA</w:t>
      </w:r>
      <w:r w:rsidRPr="002507EB">
        <w:t xml:space="preserve"> secināja, ka pieteikumā aprakstītās ĢM sojas pupas ir tikpat drošas kā to konvencionālais aizstājējs un pārbaudītās ģenētiski nemodificētās sojas pupu salīdzināmās šķirnes attiecībā uz to potenciālo ietekmi uz cilvēku un dzīvnieku veselību un vidi; </w:t>
      </w:r>
      <w:r w:rsidRPr="002507EB">
        <w:rPr>
          <w:i/>
          <w:iCs/>
        </w:rPr>
        <w:t>EFSA</w:t>
      </w:r>
      <w:r w:rsidRPr="002507EB">
        <w:t xml:space="preserve"> arī secināja, ka ĢM </w:t>
      </w:r>
      <w:bookmarkStart w:id="8" w:name="_Hlk183443299"/>
      <w:r w:rsidRPr="002507EB">
        <w:lastRenderedPageBreak/>
        <w:t xml:space="preserve">sojas pupu </w:t>
      </w:r>
      <w:bookmarkEnd w:id="8"/>
      <w:r w:rsidRPr="002507EB">
        <w:t>lietošana uzturā nerada bažas par uzturvērtību;</w:t>
      </w:r>
    </w:p>
    <w:p w:rsidR="003029DF" w:rsidRPr="002507EB" w:rsidRDefault="003029DF" w:rsidP="003029DF">
      <w:pPr>
        <w:pStyle w:val="NormalHanging12a"/>
        <w:rPr>
          <w:color w:val="000000"/>
        </w:rPr>
      </w:pPr>
      <w:r w:rsidRPr="002507EB">
        <w:t>E.</w:t>
      </w:r>
      <w:r w:rsidRPr="002507EB">
        <w:tab/>
        <w:t xml:space="preserve">tā kā </w:t>
      </w:r>
      <w:r w:rsidRPr="002507EB">
        <w:rPr>
          <w:color w:val="000000"/>
        </w:rPr>
        <w:t xml:space="preserve">ĢM sojas pupas ir pārveidotas tā, lai tās būtu izturīgas pret </w:t>
      </w:r>
      <w:proofErr w:type="spellStart"/>
      <w:r w:rsidRPr="002507EB">
        <w:rPr>
          <w:color w:val="000000"/>
        </w:rPr>
        <w:t>glifosātu</w:t>
      </w:r>
      <w:proofErr w:type="spellEnd"/>
      <w:r w:rsidRPr="002507EB">
        <w:rPr>
          <w:color w:val="000000"/>
        </w:rPr>
        <w:t xml:space="preserve"> saturošiem herbicīdiem un </w:t>
      </w:r>
      <w:proofErr w:type="spellStart"/>
      <w:r w:rsidRPr="002507EB">
        <w:rPr>
          <w:color w:val="000000"/>
        </w:rPr>
        <w:t>dikambas</w:t>
      </w:r>
      <w:proofErr w:type="spellEnd"/>
      <w:r w:rsidRPr="002507EB">
        <w:rPr>
          <w:color w:val="000000"/>
        </w:rPr>
        <w:t xml:space="preserve"> herbicīdiem un lai mainītu to taukskābju profilu</w:t>
      </w:r>
      <w:r w:rsidRPr="002507EB">
        <w:t>;</w:t>
      </w:r>
    </w:p>
    <w:p w:rsidR="003029DF" w:rsidRPr="002507EB" w:rsidRDefault="003029DF" w:rsidP="003029DF">
      <w:pPr>
        <w:pStyle w:val="NormalHanging12a"/>
        <w:ind w:left="284" w:hanging="284"/>
        <w:rPr>
          <w:b/>
          <w:i/>
        </w:rPr>
      </w:pPr>
      <w:r w:rsidRPr="002507EB">
        <w:rPr>
          <w:b/>
          <w:i/>
        </w:rPr>
        <w:t>Trūkst komplementāro herbicīdu novērtējuma</w:t>
      </w:r>
    </w:p>
    <w:p w:rsidR="003029DF" w:rsidRPr="002507EB" w:rsidRDefault="003029DF" w:rsidP="003029DF">
      <w:pPr>
        <w:pStyle w:val="NormalHanging12a"/>
        <w:ind w:left="720" w:hanging="720"/>
      </w:pPr>
      <w:r w:rsidRPr="002507EB">
        <w:t>F.</w:t>
      </w:r>
      <w:r w:rsidRPr="002507EB">
        <w:tab/>
        <w:t>tā kā Komisijas Īstenošanas regulā (ES) Nr. 503/2013</w:t>
      </w:r>
      <w:r w:rsidRPr="002507EB">
        <w:rPr>
          <w:rStyle w:val="FootnoteReference"/>
        </w:rPr>
        <w:footnoteReference w:id="6"/>
      </w:r>
      <w:r w:rsidRPr="002507EB">
        <w:t xml:space="preserve"> ir prasīts novērtēt, vai paredzamā lauksaimniecības prakse ietekmē pētīto </w:t>
      </w:r>
      <w:proofErr w:type="spellStart"/>
      <w:r w:rsidRPr="002507EB">
        <w:t>beigupunktu</w:t>
      </w:r>
      <w:proofErr w:type="spellEnd"/>
      <w:r w:rsidRPr="002507EB">
        <w:t xml:space="preserve"> rezultātus; tā kā saskaņā ar minēto īstenošanas regulu tas jo īpaši attiecas uz </w:t>
      </w:r>
      <w:proofErr w:type="spellStart"/>
      <w:r w:rsidRPr="002507EB">
        <w:t>herbicīdizturīgiem</w:t>
      </w:r>
      <w:proofErr w:type="spellEnd"/>
      <w:r w:rsidRPr="002507EB">
        <w:t xml:space="preserve"> augiem;</w:t>
      </w:r>
    </w:p>
    <w:p w:rsidR="003029DF" w:rsidRPr="002507EB" w:rsidRDefault="003029DF" w:rsidP="003029DF">
      <w:pPr>
        <w:pStyle w:val="NormalHanging12a"/>
        <w:ind w:left="720" w:hanging="720"/>
      </w:pPr>
      <w:r w:rsidRPr="002507EB">
        <w:t>G.</w:t>
      </w:r>
      <w:r w:rsidRPr="002507EB">
        <w:tab/>
        <w:t xml:space="preserve">tā kā lielākā daļa ĢM kultūraugu ir ģenētiski modificēti, lai tie būtu izturīgi pret vienu vai vairākiem komplementāriem herbicīdiem, kurus var izmantot visā ĢM kultūraugu audzēšanas laikā, attiecīgajam kultūraugam neiznīkstot, kā tas būtu gadījumā, ja izmantotu pret herbicīdiem neizturīgu kultūru; tā kā vairākos pētījumos konstatēts, ka </w:t>
      </w:r>
      <w:proofErr w:type="spellStart"/>
      <w:r w:rsidRPr="002507EB">
        <w:t>herbicīdizturīgu</w:t>
      </w:r>
      <w:proofErr w:type="spellEnd"/>
      <w:r w:rsidRPr="002507EB">
        <w:t xml:space="preserve"> ĢM kultūraugu audzēšanā vairāk izmanto komplementārus herbicīdus, un tas lielā mērā notiek tādēļ, ka ir parādījušās </w:t>
      </w:r>
      <w:proofErr w:type="spellStart"/>
      <w:r w:rsidRPr="002507EB">
        <w:t>herbicīdizturīgas</w:t>
      </w:r>
      <w:proofErr w:type="spellEnd"/>
      <w:r w:rsidRPr="002507EB">
        <w:t xml:space="preserve"> nezāles</w:t>
      </w:r>
      <w:r w:rsidRPr="002507EB">
        <w:rPr>
          <w:rStyle w:val="FootnoteReference"/>
        </w:rPr>
        <w:footnoteReference w:id="7"/>
      </w:r>
      <w:r w:rsidRPr="002507EB">
        <w:t>;</w:t>
      </w:r>
    </w:p>
    <w:p w:rsidR="003029DF" w:rsidRPr="002507EB" w:rsidRDefault="003029DF" w:rsidP="003029DF">
      <w:pPr>
        <w:pStyle w:val="NormalHanging12a"/>
        <w:ind w:left="720" w:hanging="720"/>
      </w:pPr>
      <w:r w:rsidRPr="002507EB">
        <w:t>H.</w:t>
      </w:r>
      <w:r w:rsidRPr="002507EB">
        <w:tab/>
        <w:t xml:space="preserve">tā kā </w:t>
      </w:r>
      <w:proofErr w:type="spellStart"/>
      <w:r w:rsidRPr="002507EB">
        <w:t>herbicīdizturīgi</w:t>
      </w:r>
      <w:proofErr w:type="spellEnd"/>
      <w:r w:rsidRPr="002507EB">
        <w:t xml:space="preserve"> ĢM kultūraugi “ieslēdz” lauksaimniekus nezāļu apsaimniekošanas sistēmā, kas lielā mērā vai pilnībā ir atkarīga no herbicīdiem; tā kā lielāka atkarība no komplementāriem herbicīdiem saimniecībās, kurās audzē ĢM kultūraugus, paātrina pret minētajiem herbicīdiem izturīgu nezāļu rašanos un izplatību un tādējādi rada vajadzību vēl vairāk izmantot herbicīdus, proti, apburto loku, ko dēvē par “herbicīdu skrejceliņu”;</w:t>
      </w:r>
    </w:p>
    <w:p w:rsidR="003029DF" w:rsidRPr="002507EB" w:rsidRDefault="003029DF" w:rsidP="003029DF">
      <w:pPr>
        <w:pStyle w:val="NormalHanging12a"/>
        <w:ind w:left="720" w:hanging="720"/>
      </w:pPr>
      <w:r w:rsidRPr="002507EB">
        <w:t>I.</w:t>
      </w:r>
      <w:r w:rsidRPr="002507EB">
        <w:tab/>
        <w:t xml:space="preserve">tā kā negatīvā ietekme, ko rada pārmērīga paļaušanās uz herbicīdiem, pasliktinās augsnes veselību, ūdens kvalitāti un </w:t>
      </w:r>
      <w:proofErr w:type="spellStart"/>
      <w:r w:rsidRPr="002507EB">
        <w:t>biodaudzveidību</w:t>
      </w:r>
      <w:proofErr w:type="spellEnd"/>
      <w:r w:rsidRPr="002507EB">
        <w:t xml:space="preserve"> augsnē un zem tās, kā arī palielinās iedarbība uz cilvēkiem un dzīvniekiem, iespējams, arī tāpēc, ka lielāks daudzums herbicīdu atlieku nonāk pārtikā un dzīvnieku barībā;</w:t>
      </w:r>
    </w:p>
    <w:p w:rsidR="003029DF" w:rsidRPr="002507EB" w:rsidRDefault="003029DF" w:rsidP="003029DF">
      <w:pPr>
        <w:pStyle w:val="NormalHanging12a"/>
        <w:ind w:left="720" w:hanging="720"/>
        <w:rPr>
          <w:szCs w:val="24"/>
        </w:rPr>
      </w:pPr>
      <w:r w:rsidRPr="002507EB">
        <w:t xml:space="preserve">J. </w:t>
      </w:r>
      <w:r w:rsidRPr="002507EB">
        <w:tab/>
        <w:t xml:space="preserve">tā kā </w:t>
      </w:r>
      <w:proofErr w:type="spellStart"/>
      <w:r w:rsidRPr="002507EB">
        <w:t>dikamba</w:t>
      </w:r>
      <w:proofErr w:type="spellEnd"/>
      <w:r w:rsidRPr="002507EB">
        <w:t xml:space="preserve"> ir ļoti gaistoša viela, proti, pēc lietošanas tā var iztvaikot gaisā un tad to var aiznest vējš, līdz tā nokrīt uz zemes, pakļaujot savai ietekmei cilvēkus un </w:t>
      </w:r>
      <w:proofErr w:type="spellStart"/>
      <w:r w:rsidRPr="002507EB">
        <w:t>nemērķa</w:t>
      </w:r>
      <w:proofErr w:type="spellEnd"/>
      <w:r w:rsidRPr="002507EB">
        <w:t xml:space="preserve"> augus, vīnogulājus, kokus un krūmus un nodarot nopietnu kaitējumu, jo īpaši tad, ja iedarbība ir vairāku gadu garumā; </w:t>
      </w:r>
    </w:p>
    <w:p w:rsidR="003029DF" w:rsidRPr="002507EB" w:rsidRDefault="003029DF" w:rsidP="003029DF">
      <w:pPr>
        <w:pStyle w:val="NormalHanging12a"/>
        <w:ind w:left="720" w:hanging="720"/>
      </w:pPr>
      <w:r w:rsidRPr="002507EB">
        <w:t>K.</w:t>
      </w:r>
      <w:r w:rsidRPr="002507EB">
        <w:tab/>
        <w:t>tā kā zinātniski recenzētajā žurnālā “</w:t>
      </w:r>
      <w:proofErr w:type="spellStart"/>
      <w:r w:rsidRPr="002507EB">
        <w:rPr>
          <w:i/>
          <w:iCs/>
        </w:rPr>
        <w:t>International</w:t>
      </w:r>
      <w:proofErr w:type="spellEnd"/>
      <w:r w:rsidRPr="002507EB">
        <w:rPr>
          <w:i/>
          <w:iCs/>
        </w:rPr>
        <w:t xml:space="preserve"> </w:t>
      </w:r>
      <w:proofErr w:type="spellStart"/>
      <w:r w:rsidRPr="002507EB">
        <w:rPr>
          <w:i/>
          <w:iCs/>
        </w:rPr>
        <w:t>Journal</w:t>
      </w:r>
      <w:proofErr w:type="spellEnd"/>
      <w:r w:rsidRPr="002507EB">
        <w:rPr>
          <w:i/>
          <w:iCs/>
        </w:rPr>
        <w:t xml:space="preserve"> </w:t>
      </w:r>
      <w:proofErr w:type="spellStart"/>
      <w:r w:rsidRPr="002507EB">
        <w:rPr>
          <w:i/>
          <w:iCs/>
        </w:rPr>
        <w:t>of</w:t>
      </w:r>
      <w:proofErr w:type="spellEnd"/>
      <w:r w:rsidRPr="002507EB">
        <w:rPr>
          <w:i/>
          <w:iCs/>
        </w:rPr>
        <w:t xml:space="preserve"> </w:t>
      </w:r>
      <w:proofErr w:type="spellStart"/>
      <w:r w:rsidRPr="002507EB">
        <w:rPr>
          <w:i/>
          <w:iCs/>
        </w:rPr>
        <w:t>Epidemiology</w:t>
      </w:r>
      <w:proofErr w:type="spellEnd"/>
      <w:r w:rsidRPr="002507EB">
        <w:t xml:space="preserve">” tika </w:t>
      </w:r>
      <w:r w:rsidR="002C67C7">
        <w:lastRenderedPageBreak/>
        <w:t xml:space="preserve">publicēts </w:t>
      </w:r>
      <w:bookmarkStart w:id="9" w:name="_GoBack"/>
      <w:bookmarkEnd w:id="9"/>
      <w:r w:rsidRPr="002507EB">
        <w:t xml:space="preserve">Amerikas Savienoto Valstu valdības zinātnieku 2020. gada pētījums, kurā konstatēts, ka intensīva </w:t>
      </w:r>
      <w:proofErr w:type="spellStart"/>
      <w:r w:rsidRPr="002507EB">
        <w:t>dikambas</w:t>
      </w:r>
      <w:proofErr w:type="spellEnd"/>
      <w:r w:rsidRPr="002507EB">
        <w:t xml:space="preserve"> izmantošana palielina aknu un </w:t>
      </w:r>
      <w:proofErr w:type="spellStart"/>
      <w:r w:rsidRPr="002507EB">
        <w:t>intrahepatisko</w:t>
      </w:r>
      <w:proofErr w:type="spellEnd"/>
      <w:r w:rsidRPr="002507EB">
        <w:t xml:space="preserve"> žultsvadu vēža attīstības risku to cilvēku vidū, kas strādā ar šo vielu; </w:t>
      </w:r>
    </w:p>
    <w:p w:rsidR="003029DF" w:rsidRPr="002507EB" w:rsidRDefault="003029DF" w:rsidP="003029DF">
      <w:pPr>
        <w:pStyle w:val="NormalHanging12a"/>
        <w:ind w:left="720" w:hanging="720"/>
      </w:pPr>
      <w:r w:rsidRPr="002507EB">
        <w:t>L.</w:t>
      </w:r>
      <w:r w:rsidRPr="002507EB">
        <w:tab/>
        <w:t xml:space="preserve">tā kā 2020. gada pētījumā ir norādīts, ka ir sagaidāms, ka pret </w:t>
      </w:r>
      <w:proofErr w:type="spellStart"/>
      <w:r w:rsidRPr="002507EB">
        <w:t>dikambu</w:t>
      </w:r>
      <w:proofErr w:type="spellEnd"/>
      <w:r w:rsidRPr="002507EB">
        <w:t xml:space="preserve"> izturīgu ĢM kultūraugu apstiprināšana turpmākajos gados palielinās </w:t>
      </w:r>
      <w:proofErr w:type="spellStart"/>
      <w:r w:rsidRPr="002507EB">
        <w:t>dikambas</w:t>
      </w:r>
      <w:proofErr w:type="spellEnd"/>
      <w:r w:rsidRPr="002507EB">
        <w:t xml:space="preserve"> izmantošanu lauksaimniecībā</w:t>
      </w:r>
      <w:r w:rsidRPr="002507EB">
        <w:rPr>
          <w:vertAlign w:val="superscript"/>
        </w:rPr>
        <w:footnoteReference w:id="8"/>
      </w:r>
      <w:r w:rsidRPr="002507EB">
        <w:t xml:space="preserve">, un </w:t>
      </w:r>
      <w:proofErr w:type="spellStart"/>
      <w:r w:rsidRPr="002507EB">
        <w:rPr>
          <w:i/>
          <w:iCs/>
        </w:rPr>
        <w:t>Heartland</w:t>
      </w:r>
      <w:proofErr w:type="spellEnd"/>
      <w:r w:rsidRPr="002507EB">
        <w:rPr>
          <w:i/>
          <w:iCs/>
        </w:rPr>
        <w:t xml:space="preserve"> Health </w:t>
      </w:r>
      <w:proofErr w:type="spellStart"/>
      <w:r w:rsidRPr="002507EB">
        <w:rPr>
          <w:i/>
          <w:iCs/>
        </w:rPr>
        <w:t>Research</w:t>
      </w:r>
      <w:proofErr w:type="spellEnd"/>
      <w:r w:rsidRPr="002507EB">
        <w:rPr>
          <w:i/>
          <w:iCs/>
        </w:rPr>
        <w:t xml:space="preserve"> Alliance</w:t>
      </w:r>
      <w:r w:rsidRPr="002507EB">
        <w:t xml:space="preserve"> Pesticīdu lietošanas datu sistēma apstiprina, ka tas tā ir, jo Amerikas Savienoto Valstu </w:t>
      </w:r>
      <w:proofErr w:type="spellStart"/>
      <w:r w:rsidRPr="002507EB">
        <w:t>Midvestas</w:t>
      </w:r>
      <w:proofErr w:type="spellEnd"/>
      <w:r w:rsidRPr="002507EB">
        <w:t xml:space="preserve"> reģionā </w:t>
      </w:r>
      <w:proofErr w:type="spellStart"/>
      <w:r w:rsidRPr="002507EB">
        <w:t>dikambu</w:t>
      </w:r>
      <w:proofErr w:type="spellEnd"/>
      <w:r w:rsidRPr="002507EB">
        <w:t xml:space="preserve"> patlaban lieto 10 reizes lielākā apjomā nekā pirms desmit gadiem</w:t>
      </w:r>
      <w:r w:rsidRPr="002507EB">
        <w:rPr>
          <w:vertAlign w:val="superscript"/>
        </w:rPr>
        <w:footnoteReference w:id="9"/>
      </w:r>
      <w:r w:rsidRPr="002507EB">
        <w:t>;</w:t>
      </w:r>
    </w:p>
    <w:p w:rsidR="003029DF" w:rsidRPr="002507EB" w:rsidRDefault="003029DF" w:rsidP="003029DF">
      <w:pPr>
        <w:pStyle w:val="NormalHanging12a"/>
        <w:ind w:left="720" w:hanging="720"/>
      </w:pPr>
      <w:r w:rsidRPr="002507EB">
        <w:t>M.</w:t>
      </w:r>
      <w:r w:rsidRPr="002507EB">
        <w:tab/>
        <w:t xml:space="preserve">tā kā joprojām nav skaidras atbildes par to, vai </w:t>
      </w:r>
      <w:proofErr w:type="spellStart"/>
      <w:r w:rsidRPr="002507EB">
        <w:t>glifosāts</w:t>
      </w:r>
      <w:proofErr w:type="spellEnd"/>
      <w:r w:rsidRPr="002507EB">
        <w:t xml:space="preserve"> ir kancerogēns; tā kā </w:t>
      </w:r>
      <w:r w:rsidRPr="002507EB">
        <w:rPr>
          <w:i/>
          <w:iCs/>
        </w:rPr>
        <w:t>EFSA</w:t>
      </w:r>
      <w:r w:rsidRPr="002507EB">
        <w:t xml:space="preserve"> 2015. gada novembrī secināja, ka </w:t>
      </w:r>
      <w:proofErr w:type="spellStart"/>
      <w:r w:rsidRPr="002507EB">
        <w:t>glifozāts</w:t>
      </w:r>
      <w:proofErr w:type="spellEnd"/>
      <w:r w:rsidRPr="002507EB">
        <w:t xml:space="preserve">, visticamāk, nav kancerogēns, un Eiropas Ķimikāliju aģentūra 2017. gada martā secināja, ka nav pamata to šādi klasificēt; tā kā pretēji tam 2015. gadā Starptautiskā Vēža izpētes aģentūra (specializētā Pasaules Veselības organizācijas vēža pētniecības aģentūra) </w:t>
      </w:r>
      <w:proofErr w:type="spellStart"/>
      <w:r w:rsidRPr="002507EB">
        <w:t>glifozātu</w:t>
      </w:r>
      <w:proofErr w:type="spellEnd"/>
      <w:r w:rsidRPr="002507EB">
        <w:t xml:space="preserve"> klasificēja kā iespējami kancerogēnu cilvēkam; tā kā vairāki neseni zinātniski recenzēti pētījumi apstiprina to, ka </w:t>
      </w:r>
      <w:proofErr w:type="spellStart"/>
      <w:r w:rsidRPr="002507EB">
        <w:t>glifozāts</w:t>
      </w:r>
      <w:proofErr w:type="spellEnd"/>
      <w:r w:rsidRPr="002507EB">
        <w:t xml:space="preserve"> varētu būt kancerogēns</w:t>
      </w:r>
      <w:r w:rsidRPr="002507EB">
        <w:rPr>
          <w:szCs w:val="24"/>
          <w:vertAlign w:val="superscript"/>
        </w:rPr>
        <w:footnoteReference w:id="10"/>
      </w:r>
      <w:r w:rsidRPr="002507EB">
        <w:t>;</w:t>
      </w:r>
    </w:p>
    <w:p w:rsidR="003029DF" w:rsidRPr="002507EB" w:rsidRDefault="003029DF" w:rsidP="003029DF">
      <w:pPr>
        <w:pStyle w:val="NormalHanging12a"/>
        <w:ind w:left="720" w:hanging="720"/>
      </w:pPr>
      <w:r w:rsidRPr="002507EB">
        <w:t>N.</w:t>
      </w:r>
      <w:r w:rsidRPr="002507EB">
        <w:tab/>
        <w:t xml:space="preserve">tā kā zinātniski recenzētā pētījumā tika atklāts, ka </w:t>
      </w:r>
      <w:proofErr w:type="spellStart"/>
      <w:r w:rsidRPr="002507EB">
        <w:t>glifosāts</w:t>
      </w:r>
      <w:proofErr w:type="spellEnd"/>
      <w:r w:rsidRPr="002507EB">
        <w:t xml:space="preserve"> uzkrājas ĢM sojas pupās, kam ir attiecīgi nelabvēlīga ietekme uz uztura sastāvu salīdzinājumā ar ģenētiski nemodificētām sojas pupām</w:t>
      </w:r>
      <w:r w:rsidRPr="002507EB">
        <w:rPr>
          <w:vertAlign w:val="superscript"/>
        </w:rPr>
        <w:footnoteReference w:id="11"/>
      </w:r>
      <w:r w:rsidRPr="002507EB">
        <w:t xml:space="preserve">; tā kā izmēģinājuma projektā, kas tika veikts Argentīnā, tika konstatēts pārsteidzoši augsts </w:t>
      </w:r>
      <w:proofErr w:type="spellStart"/>
      <w:r w:rsidRPr="002507EB">
        <w:t>glifozāta</w:t>
      </w:r>
      <w:proofErr w:type="spellEnd"/>
      <w:r w:rsidRPr="002507EB">
        <w:t xml:space="preserve"> atlieku līmenis uz ĢM sojas pupām</w:t>
      </w:r>
      <w:r w:rsidRPr="002507EB">
        <w:rPr>
          <w:vertAlign w:val="superscript"/>
        </w:rPr>
        <w:footnoteReference w:id="12"/>
      </w:r>
      <w:r w:rsidRPr="002507EB">
        <w:t>;</w:t>
      </w:r>
    </w:p>
    <w:p w:rsidR="003029DF" w:rsidRPr="002507EB" w:rsidRDefault="003029DF" w:rsidP="003029DF">
      <w:pPr>
        <w:pStyle w:val="NormalHanging12a"/>
        <w:ind w:left="720" w:hanging="720"/>
      </w:pPr>
      <w:r w:rsidRPr="002507EB">
        <w:t>O.</w:t>
      </w:r>
      <w:r w:rsidRPr="002507EB">
        <w:tab/>
        <w:t>tā kā ĢM augos veidu, kādā augs noārda papildu herbicīdus, noārdīšanās produktu (metabolītu) sastāvu un līdz ar to arī toksiskumu var veicināt pati ģenētiskā modifikācija</w:t>
      </w:r>
      <w:r w:rsidRPr="002507EB">
        <w:rPr>
          <w:szCs w:val="24"/>
          <w:vertAlign w:val="superscript"/>
        </w:rPr>
        <w:footnoteReference w:id="13"/>
      </w:r>
      <w:r w:rsidRPr="002507EB">
        <w:t>;</w:t>
      </w:r>
    </w:p>
    <w:p w:rsidR="003029DF" w:rsidRPr="002507EB" w:rsidRDefault="003029DF" w:rsidP="003029DF">
      <w:pPr>
        <w:pStyle w:val="NormalHanging12a"/>
        <w:ind w:left="720" w:hanging="720"/>
      </w:pPr>
      <w:r w:rsidRPr="002507EB">
        <w:t>P.</w:t>
      </w:r>
      <w:r w:rsidRPr="002507EB">
        <w:tab/>
        <w:t xml:space="preserve">tā kā ĢM augos atrasto herbicīdu atlieku un metabolītu izvērtēšana neietilpst </w:t>
      </w:r>
      <w:r w:rsidRPr="002507EB">
        <w:rPr>
          <w:i/>
          <w:iCs/>
        </w:rPr>
        <w:t>EFSA</w:t>
      </w:r>
      <w:r w:rsidRPr="002507EB">
        <w:t xml:space="preserve"> Ģenētiski modificēto organismu komisijas kompetencē, un līdz ar to šāds novērtējums nav daļa no ĢMO apstiprināšanas;</w:t>
      </w:r>
    </w:p>
    <w:p w:rsidR="003029DF" w:rsidRPr="002507EB" w:rsidRDefault="003029DF" w:rsidP="003029DF">
      <w:pPr>
        <w:pStyle w:val="NormalHanging12a"/>
        <w:ind w:left="284" w:hanging="284"/>
        <w:rPr>
          <w:b/>
          <w:i/>
        </w:rPr>
      </w:pPr>
      <w:r w:rsidRPr="002507EB">
        <w:rPr>
          <w:b/>
          <w:i/>
        </w:rPr>
        <w:lastRenderedPageBreak/>
        <w:t>Vienlīdzīgu konkurences apstākļu nodrošināšana visā pasaulē un Savienības starptautisko saistību ievērošana</w:t>
      </w:r>
    </w:p>
    <w:p w:rsidR="003029DF" w:rsidRPr="002507EB" w:rsidRDefault="003029DF" w:rsidP="003029DF">
      <w:pPr>
        <w:pStyle w:val="NormalHanging12a"/>
        <w:ind w:left="720" w:hanging="720"/>
      </w:pPr>
      <w:r w:rsidRPr="002507EB">
        <w:t>Q.</w:t>
      </w:r>
      <w:r w:rsidRPr="002507EB">
        <w:tab/>
        <w:t>tā kā Savienībā nav atļauta ĢM sojas pupu audzēšana;</w:t>
      </w:r>
    </w:p>
    <w:p w:rsidR="003029DF" w:rsidRPr="002507EB" w:rsidRDefault="003029DF" w:rsidP="003029DF">
      <w:pPr>
        <w:pStyle w:val="NormalHanging12a"/>
        <w:ind w:left="720" w:hanging="720"/>
      </w:pPr>
      <w:r w:rsidRPr="002507EB">
        <w:t>R.</w:t>
      </w:r>
      <w:r w:rsidRPr="002507EB">
        <w:tab/>
        <w:t>tā kā stratēģiskā dialoga par ES lauksaimniecības nākotni</w:t>
      </w:r>
      <w:r w:rsidRPr="002507EB">
        <w:rPr>
          <w:rStyle w:val="FootnoteReference"/>
        </w:rPr>
        <w:footnoteReference w:id="14"/>
      </w:r>
      <w:r w:rsidRPr="002507EB">
        <w:t xml:space="preserve"> secinājumos Komisija tiek aicināta atkārtoti izvērtēt savu pieeju attiecībā uz tirgus pieejamību lauksaimniecības pārtikas importam un eksportam, ņemot vērā izaicinājumu, ko rada Savienības un tās tirdzniecības partneru atšķirīgie standarti; tā kā godīgākas tirdzniecības attiecības, kas atbilst veselīgas pārtikas un veselīgas vides mērķiem visā pasaulē, bija viena no galvenajām lauksaimnieku prasībām 2023. un 2024. gada demonstrācijās;</w:t>
      </w:r>
    </w:p>
    <w:p w:rsidR="003029DF" w:rsidRPr="002507EB" w:rsidRDefault="003029DF" w:rsidP="003029DF">
      <w:pPr>
        <w:pStyle w:val="NormalHanging12a"/>
        <w:ind w:left="720" w:hanging="720"/>
      </w:pPr>
      <w:r w:rsidRPr="002507EB">
        <w:t>S.</w:t>
      </w:r>
      <w:r w:rsidRPr="002507EB">
        <w:tab/>
        <w:t>tā kā ANO īpašā referenta jautājumos par tiesībām uz pārtiku 2017. gada ziņojumā konstatēts, ka jo īpaši jaunattīstības valstīs bīstamiem pesticīdiem ir katastrofāla iedarbība uz veselību</w:t>
      </w:r>
      <w:r w:rsidRPr="002507EB">
        <w:rPr>
          <w:rStyle w:val="FootnoteReference"/>
        </w:rPr>
        <w:footnoteReference w:id="15"/>
      </w:r>
      <w:r w:rsidRPr="002507EB">
        <w:t>; tā kā ANO ilgtspējīgas attīstības mērķu (ANO IAM) 3. mērķa 9. </w:t>
      </w:r>
      <w:proofErr w:type="spellStart"/>
      <w:r w:rsidRPr="002507EB">
        <w:t>apakšmērķis</w:t>
      </w:r>
      <w:proofErr w:type="spellEnd"/>
      <w:r w:rsidRPr="002507EB">
        <w:t xml:space="preserve"> paredz līdz 2030. gadam būtiski samazināt nāves gadījumu un slimību skaitu, ko izraisa bīstamas ķīmiskas vielas un gaisa, ūdens un augsnes piesārņojums un kontaminācija</w:t>
      </w:r>
      <w:r w:rsidRPr="002507EB">
        <w:rPr>
          <w:rStyle w:val="FootnoteReference"/>
        </w:rPr>
        <w:footnoteReference w:id="16"/>
      </w:r>
      <w:r w:rsidRPr="002507EB">
        <w:t>;</w:t>
      </w:r>
    </w:p>
    <w:p w:rsidR="003029DF" w:rsidRPr="002507EB" w:rsidRDefault="003029DF" w:rsidP="003029DF">
      <w:pPr>
        <w:pStyle w:val="NormalHanging12a"/>
        <w:ind w:left="720" w:hanging="720"/>
      </w:pPr>
      <w:r w:rsidRPr="002507EB">
        <w:t>T.</w:t>
      </w:r>
      <w:r w:rsidRPr="002507EB">
        <w:tab/>
        <w:t xml:space="preserve">tā kā </w:t>
      </w:r>
      <w:proofErr w:type="spellStart"/>
      <w:r w:rsidRPr="002507EB">
        <w:t>Kuņminas</w:t>
      </w:r>
      <w:proofErr w:type="spellEnd"/>
      <w:r w:rsidRPr="002507EB">
        <w:t xml:space="preserve">–Monreālas globālais </w:t>
      </w:r>
      <w:proofErr w:type="spellStart"/>
      <w:r w:rsidRPr="002507EB">
        <w:t>biodaudzveidības</w:t>
      </w:r>
      <w:proofErr w:type="spellEnd"/>
      <w:r w:rsidRPr="002507EB">
        <w:t xml:space="preserve"> satvars (“</w:t>
      </w:r>
      <w:proofErr w:type="spellStart"/>
      <w:r w:rsidRPr="002507EB">
        <w:t>Kuņminas</w:t>
      </w:r>
      <w:proofErr w:type="spellEnd"/>
      <w:r w:rsidRPr="002507EB">
        <w:t>–Monreālas satvars”), par ko 2022. gada decembrī vienojās Apvienoto Nāciju Organizācijas Konvencijas par bioloģisko daudzveidību (ANO KBD) Pušu konferences 15. sesijā, ietver globālu mērķi līdz 2030. gadam vismaz par 50 % samazināt pesticīdu radīto apdraudējumu</w:t>
      </w:r>
      <w:r w:rsidRPr="002507EB">
        <w:rPr>
          <w:rStyle w:val="FootnoteReference"/>
        </w:rPr>
        <w:footnoteReference w:id="17"/>
      </w:r>
      <w:r w:rsidRPr="002507EB">
        <w:t>;</w:t>
      </w:r>
    </w:p>
    <w:p w:rsidR="003029DF" w:rsidRPr="002507EB" w:rsidRDefault="003029DF" w:rsidP="003029DF">
      <w:pPr>
        <w:pStyle w:val="NormalHanging12a"/>
        <w:ind w:left="720" w:hanging="720"/>
      </w:pPr>
      <w:r w:rsidRPr="002507EB">
        <w:t>U.</w:t>
      </w:r>
      <w:r w:rsidRPr="002507EB">
        <w:tab/>
        <w:t>tā kā Regulā (EK) Nr. 1829/2003 ir noteikts, ka ĢM pārtika vai dzīvnieku barība nedrīkst nelabvēlīgi ietekmēt cilvēku veselību, dzīvnieku veselību vai vidi un ka Komisijai savu lēmumu izstrādē ir jāņem vērā visi attiecīgie Savienības tiesību aktu noteikumi un citi pamatoti faktori, kas attiecas uz izskatāmo jautājumu; tā kā šādiem pamatotiem faktoriem būtu jāietver Savienības saistības, kas izriet no ANO IAM un ANO KBD;</w:t>
      </w:r>
    </w:p>
    <w:p w:rsidR="003029DF" w:rsidRPr="002507EB" w:rsidRDefault="003029DF" w:rsidP="003029DF">
      <w:pPr>
        <w:pStyle w:val="NormalHanging12a"/>
        <w:ind w:left="720" w:hanging="720"/>
      </w:pPr>
      <w:r w:rsidRPr="002507EB">
        <w:t>V.</w:t>
      </w:r>
      <w:r w:rsidRPr="002507EB">
        <w:tab/>
        <w:t>tā kā Savienības apstiprinājums ĢM sojas pupām neatbilstu starptautiskajām saistībām attiecībā uz pesticīdu samazināšanu</w:t>
      </w:r>
      <w:r w:rsidRPr="002507EB">
        <w:rPr>
          <w:vertAlign w:val="superscript"/>
        </w:rPr>
        <w:footnoteReference w:id="18"/>
      </w:r>
      <w:r w:rsidRPr="002507EB">
        <w:t xml:space="preserve">, ņemot vērā to, ka valstīs, kurās audzē pret herbicīdiem izturīgus ĢM kultūraugus, pieaug herbicīdu ietekme uz cilvēkiem un vidi, </w:t>
      </w:r>
      <w:r w:rsidRPr="002507EB">
        <w:lastRenderedPageBreak/>
        <w:t>kā arī potenciāli nopietni ar to saistītie veselības traucējumi;</w:t>
      </w:r>
    </w:p>
    <w:p w:rsidR="003029DF" w:rsidRPr="002507EB" w:rsidRDefault="003029DF" w:rsidP="003029DF">
      <w:pPr>
        <w:pStyle w:val="NormalHanging12a"/>
        <w:ind w:left="720" w:hanging="720"/>
      </w:pPr>
      <w:r w:rsidRPr="002507EB">
        <w:t>W.</w:t>
      </w:r>
      <w:r w:rsidRPr="002507EB">
        <w:tab/>
        <w:t xml:space="preserve">tā kā atmežošana ir galvenais </w:t>
      </w:r>
      <w:proofErr w:type="spellStart"/>
      <w:r w:rsidRPr="002507EB">
        <w:t>biodaudzveidības</w:t>
      </w:r>
      <w:proofErr w:type="spellEnd"/>
      <w:r w:rsidRPr="002507EB">
        <w:t xml:space="preserve"> samazināšanās iemesls; tā kā emisijas no zemes izmantošanas un zemes izmantošanas maiņas, galvenokārt atmežošanas dēļ, ir otrs lielākais klimata pārmaiņu cēlonis pēc fosilā kurināmā izmantošanas</w:t>
      </w:r>
      <w:r w:rsidRPr="002507EB">
        <w:rPr>
          <w:szCs w:val="24"/>
          <w:vertAlign w:val="superscript"/>
        </w:rPr>
        <w:footnoteReference w:id="19"/>
      </w:r>
      <w:r w:rsidRPr="002507EB">
        <w:t xml:space="preserve">; tā kā Parīzes klimata nolīgums un Stratēģiskais bioloģiskās daudzveidības plāns 2011.–2020. gadam, ko pieņēma saskaņā ar ANO </w:t>
      </w:r>
      <w:proofErr w:type="spellStart"/>
      <w:r w:rsidRPr="002507EB">
        <w:t>Biodaudzveidības</w:t>
      </w:r>
      <w:proofErr w:type="spellEnd"/>
      <w:r w:rsidRPr="002507EB">
        <w:t xml:space="preserve"> konvenciju, un </w:t>
      </w:r>
      <w:proofErr w:type="spellStart"/>
      <w:r w:rsidRPr="002507EB">
        <w:t>Aiči</w:t>
      </w:r>
      <w:proofErr w:type="spellEnd"/>
      <w:r w:rsidRPr="002507EB">
        <w:t xml:space="preserve"> mērķi </w:t>
      </w:r>
      <w:proofErr w:type="spellStart"/>
      <w:r w:rsidRPr="002507EB">
        <w:t>biodaudzveidības</w:t>
      </w:r>
      <w:proofErr w:type="spellEnd"/>
      <w:r w:rsidRPr="002507EB">
        <w:t xml:space="preserve"> jomā veicina ilgtspējīgas mežu apsaimniekošanas, aizsardzības un atjaunošanas centienus</w:t>
      </w:r>
      <w:r w:rsidRPr="002507EB">
        <w:rPr>
          <w:szCs w:val="24"/>
          <w:vertAlign w:val="superscript"/>
        </w:rPr>
        <w:footnoteReference w:id="20"/>
      </w:r>
      <w:r w:rsidRPr="002507EB">
        <w:t xml:space="preserve">; tā kā ANO IAM 15. mērķis ietver </w:t>
      </w:r>
      <w:proofErr w:type="spellStart"/>
      <w:r w:rsidRPr="002507EB">
        <w:t>apakšmērķi</w:t>
      </w:r>
      <w:proofErr w:type="spellEnd"/>
      <w:r w:rsidRPr="002507EB">
        <w:t xml:space="preserve"> līdz 2020. gadam apturēt atmežošanu</w:t>
      </w:r>
      <w:r w:rsidRPr="002507EB">
        <w:rPr>
          <w:szCs w:val="24"/>
          <w:vertAlign w:val="superscript"/>
        </w:rPr>
        <w:footnoteReference w:id="21"/>
      </w:r>
      <w:r w:rsidRPr="002507EB">
        <w:t>; tā kā mežiem ir daudzfunkcionāla nozīme, kas palīdz sasniegt lielāko daļu ANO IAM</w:t>
      </w:r>
      <w:r w:rsidRPr="002507EB">
        <w:rPr>
          <w:szCs w:val="24"/>
          <w:vertAlign w:val="superscript"/>
        </w:rPr>
        <w:footnoteReference w:id="22"/>
      </w:r>
      <w:r w:rsidRPr="002507EB">
        <w:t>;</w:t>
      </w:r>
    </w:p>
    <w:p w:rsidR="003029DF" w:rsidRPr="002507EB" w:rsidRDefault="003029DF" w:rsidP="003029DF">
      <w:pPr>
        <w:pStyle w:val="NormalHanging12a"/>
        <w:ind w:left="720" w:hanging="720"/>
      </w:pPr>
      <w:r w:rsidRPr="002507EB">
        <w:t>X.</w:t>
      </w:r>
      <w:r w:rsidRPr="002507EB">
        <w:tab/>
        <w:t>tā kā mežu ugunsgrēkus Amazonē sekmē lielais atmežošanas apjoms; tā kā Komisija 2019. gada paziņojumā norādīja, ka vēlas aizsargāt un atjaunot pasaules mežus</w:t>
      </w:r>
      <w:r w:rsidRPr="002507EB">
        <w:rPr>
          <w:vertAlign w:val="superscript"/>
        </w:rPr>
        <w:footnoteReference w:id="23"/>
      </w:r>
      <w:r w:rsidRPr="002507EB">
        <w:t xml:space="preserve">; tā kā </w:t>
      </w:r>
      <w:proofErr w:type="spellStart"/>
      <w:r w:rsidRPr="002507EB">
        <w:t>biodaudzveidības</w:t>
      </w:r>
      <w:proofErr w:type="spellEnd"/>
      <w:r w:rsidRPr="002507EB">
        <w:t xml:space="preserve">, tostarp mežu, globālā aizsardzība ir ES </w:t>
      </w:r>
      <w:proofErr w:type="spellStart"/>
      <w:r w:rsidRPr="002507EB">
        <w:t>Biodaudzveidības</w:t>
      </w:r>
      <w:proofErr w:type="spellEnd"/>
      <w:r w:rsidRPr="002507EB">
        <w:t xml:space="preserve"> stratēģijas galvenais mērķis</w:t>
      </w:r>
      <w:r w:rsidRPr="002507EB">
        <w:rPr>
          <w:vertAlign w:val="superscript"/>
        </w:rPr>
        <w:footnoteReference w:id="24"/>
      </w:r>
      <w:r w:rsidRPr="002507EB">
        <w:t>;</w:t>
      </w:r>
    </w:p>
    <w:p w:rsidR="003029DF" w:rsidRPr="002507EB" w:rsidRDefault="003029DF" w:rsidP="003029DF">
      <w:pPr>
        <w:pStyle w:val="NormalHanging12a"/>
        <w:ind w:left="720" w:hanging="720"/>
      </w:pPr>
      <w:r w:rsidRPr="002507EB">
        <w:t>Y.</w:t>
      </w:r>
      <w:r w:rsidRPr="002507EB">
        <w:tab/>
        <w:t xml:space="preserve">tā kā sojas ražošana ir galvenais atmežošanas veicinātājs Dienvidamerikas Amazones, </w:t>
      </w:r>
      <w:proofErr w:type="spellStart"/>
      <w:r w:rsidRPr="002507EB">
        <w:rPr>
          <w:i/>
          <w:iCs/>
        </w:rPr>
        <w:t>Cerrado</w:t>
      </w:r>
      <w:proofErr w:type="spellEnd"/>
      <w:r w:rsidRPr="002507EB">
        <w:t xml:space="preserve"> un </w:t>
      </w:r>
      <w:proofErr w:type="spellStart"/>
      <w:r w:rsidRPr="002507EB">
        <w:rPr>
          <w:i/>
          <w:iCs/>
        </w:rPr>
        <w:t>Gran</w:t>
      </w:r>
      <w:proofErr w:type="spellEnd"/>
      <w:r w:rsidRPr="002507EB">
        <w:rPr>
          <w:i/>
          <w:iCs/>
        </w:rPr>
        <w:t xml:space="preserve"> </w:t>
      </w:r>
      <w:proofErr w:type="spellStart"/>
      <w:r w:rsidRPr="002507EB">
        <w:rPr>
          <w:i/>
          <w:iCs/>
        </w:rPr>
        <w:t>Chaco</w:t>
      </w:r>
      <w:proofErr w:type="spellEnd"/>
      <w:r w:rsidRPr="002507EB">
        <w:rPr>
          <w:i/>
          <w:iCs/>
        </w:rPr>
        <w:t xml:space="preserve"> </w:t>
      </w:r>
      <w:r w:rsidRPr="002507EB">
        <w:t>mežos; tā kā 97 % sojas, ko audzē Brazīlijā, un 100 % sojas, ko audzē Argentīnā, ir ģenētiski modificēta soja</w:t>
      </w:r>
      <w:r w:rsidRPr="002507EB">
        <w:rPr>
          <w:szCs w:val="24"/>
          <w:vertAlign w:val="superscript"/>
        </w:rPr>
        <w:footnoteReference w:id="25"/>
      </w:r>
      <w:r w:rsidRPr="002507EB">
        <w:t>;</w:t>
      </w:r>
    </w:p>
    <w:p w:rsidR="003029DF" w:rsidRPr="002507EB" w:rsidRDefault="003029DF" w:rsidP="003029DF">
      <w:pPr>
        <w:pStyle w:val="NormalHanging12a"/>
        <w:ind w:left="720" w:hanging="720"/>
        <w:rPr>
          <w:szCs w:val="24"/>
        </w:rPr>
      </w:pPr>
      <w:r w:rsidRPr="002507EB">
        <w:t>Z.</w:t>
      </w:r>
      <w:r w:rsidRPr="002507EB">
        <w:tab/>
        <w:t xml:space="preserve">tā kā Komisijas analīzē ir konstatēts, ka soja vēsturiski ir bijusi lielākais Savienības veicinātās globālās atmežošanas un ar to saistīto emisiju izraisītājs, esot par iemeslu </w:t>
      </w:r>
      <w:r w:rsidRPr="002507EB">
        <w:lastRenderedPageBreak/>
        <w:t>gandrīz pusei no Savienības kopējā materializētās atmežošanas importa</w:t>
      </w:r>
      <w:r w:rsidRPr="002507EB">
        <w:rPr>
          <w:szCs w:val="24"/>
          <w:vertAlign w:val="superscript"/>
        </w:rPr>
        <w:footnoteReference w:id="26"/>
      </w:r>
      <w:r w:rsidRPr="002507EB">
        <w:t>;</w:t>
      </w:r>
    </w:p>
    <w:p w:rsidR="003029DF" w:rsidRPr="002507EB" w:rsidRDefault="003029DF" w:rsidP="003029DF">
      <w:pPr>
        <w:pStyle w:val="NormalHanging12a"/>
        <w:ind w:left="284" w:hanging="284"/>
        <w:rPr>
          <w:b/>
          <w:i/>
        </w:rPr>
      </w:pPr>
      <w:r w:rsidRPr="002507EB">
        <w:rPr>
          <w:b/>
          <w:i/>
        </w:rPr>
        <w:t>Atkarības no importētas barības samazināšana</w:t>
      </w:r>
    </w:p>
    <w:p w:rsidR="003029DF" w:rsidRPr="002507EB" w:rsidRDefault="003029DF" w:rsidP="003029DF">
      <w:pPr>
        <w:pStyle w:val="NormalHanging12a"/>
        <w:ind w:left="720" w:hanging="720"/>
      </w:pPr>
      <w:r w:rsidRPr="002507EB">
        <w:t>AA.</w:t>
      </w:r>
      <w:r w:rsidRPr="002507EB">
        <w:tab/>
        <w:t xml:space="preserve">tā kā viena no atziņām, kas gūta no Covid-19 krīzes un joprojām notiekošā kara Ukrainā, ir vajadzība Savienībai izbeigt atkarību no atsevišķām kritiski svarīgām izejvielām; tā kā komisāram </w:t>
      </w:r>
      <w:proofErr w:type="spellStart"/>
      <w:r w:rsidRPr="002507EB">
        <w:rPr>
          <w:i/>
          <w:iCs/>
        </w:rPr>
        <w:t>Christophe</w:t>
      </w:r>
      <w:proofErr w:type="spellEnd"/>
      <w:r w:rsidRPr="002507EB">
        <w:rPr>
          <w:i/>
          <w:iCs/>
        </w:rPr>
        <w:t xml:space="preserve"> </w:t>
      </w:r>
      <w:proofErr w:type="spellStart"/>
      <w:r w:rsidRPr="002507EB">
        <w:rPr>
          <w:i/>
          <w:iCs/>
        </w:rPr>
        <w:t>Hansen</w:t>
      </w:r>
      <w:proofErr w:type="spellEnd"/>
      <w:r w:rsidRPr="002507EB">
        <w:t xml:space="preserve"> adresētajā pilnvarojuma vēstulē Komisijas priekšsēdētāja </w:t>
      </w:r>
      <w:proofErr w:type="spellStart"/>
      <w:r w:rsidRPr="002507EB">
        <w:rPr>
          <w:i/>
          <w:iCs/>
        </w:rPr>
        <w:t>Ursula</w:t>
      </w:r>
      <w:proofErr w:type="spellEnd"/>
      <w:r w:rsidRPr="002507EB">
        <w:rPr>
          <w:i/>
          <w:iCs/>
        </w:rPr>
        <w:t xml:space="preserve"> von der </w:t>
      </w:r>
      <w:proofErr w:type="spellStart"/>
      <w:r w:rsidRPr="002507EB">
        <w:rPr>
          <w:i/>
          <w:iCs/>
        </w:rPr>
        <w:t>Leyen</w:t>
      </w:r>
      <w:proofErr w:type="spellEnd"/>
      <w:r w:rsidRPr="002507EB">
        <w:t xml:space="preserve"> aicina viņu meklēt veidus, kā samazināt kritiski svarīgu preču importu</w:t>
      </w:r>
      <w:r w:rsidRPr="002507EB">
        <w:rPr>
          <w:rStyle w:val="FootnoteReference"/>
        </w:rPr>
        <w:footnoteReference w:id="27"/>
      </w:r>
      <w:r w:rsidRPr="002507EB">
        <w:t xml:space="preserve">; </w:t>
      </w:r>
    </w:p>
    <w:p w:rsidR="003029DF" w:rsidRPr="002507EB" w:rsidRDefault="003029DF" w:rsidP="003029DF">
      <w:pPr>
        <w:pStyle w:val="NormalHanging12a"/>
        <w:ind w:left="720" w:hanging="720"/>
      </w:pPr>
      <w:r w:rsidRPr="002507EB">
        <w:t>AB.</w:t>
      </w:r>
      <w:r w:rsidRPr="002507EB">
        <w:tab/>
        <w:t>tā kā tirdzniecības nolīgumi stimulē tādas pārtikas un dzīvnieku barības importu Savienībā, kas satur ĢMO, sastāv vai ir ražota no tiem; tā kā Brazīlija un Argentīna ir starp pasaulē lielākajiem ĢMO ražotājiem un pesticīdu izmantotājiem, tostarp tādu ĢMO un pesticīdu, kuri Savienībā ir aizliegti veselības vai vides apsvērumu dēļ;</w:t>
      </w:r>
    </w:p>
    <w:p w:rsidR="003029DF" w:rsidRPr="002507EB" w:rsidRDefault="003029DF" w:rsidP="003029DF">
      <w:pPr>
        <w:pStyle w:val="NormalHanging12a"/>
        <w:ind w:left="284" w:hanging="284"/>
        <w:rPr>
          <w:b/>
          <w:i/>
        </w:rPr>
      </w:pPr>
      <w:r w:rsidRPr="002507EB">
        <w:rPr>
          <w:b/>
          <w:i/>
        </w:rPr>
        <w:t>Nedemokrātiska lēmumu pieņemšana</w:t>
      </w:r>
    </w:p>
    <w:p w:rsidR="003029DF" w:rsidRPr="002507EB" w:rsidRDefault="003029DF" w:rsidP="003029DF">
      <w:pPr>
        <w:pStyle w:val="NormalHanging12a"/>
        <w:ind w:left="720" w:hanging="720"/>
      </w:pPr>
      <w:r w:rsidRPr="002507EB">
        <w:t>AC.</w:t>
      </w:r>
      <w:r w:rsidRPr="002507EB">
        <w:tab/>
        <w:t xml:space="preserve">tā kā Parlaments astotajā </w:t>
      </w:r>
      <w:proofErr w:type="spellStart"/>
      <w:r w:rsidRPr="002507EB">
        <w:t>sasaukumā</w:t>
      </w:r>
      <w:proofErr w:type="spellEnd"/>
      <w:r w:rsidRPr="002507EB">
        <w:t xml:space="preserve"> pieņēma kopumā 36 rezolūcijas, kurās iebilda pret tādu ĢMO laišanu tirgū, kas paredzēti izmantošanai pārtikā un dzīvnieku barībā (33 rezolūcijas), un pret ĢMO audzēšanu Savienībā (trīs rezolūcijas); tā kā devītajā </w:t>
      </w:r>
      <w:proofErr w:type="spellStart"/>
      <w:r w:rsidRPr="002507EB">
        <w:t>sasaukumā</w:t>
      </w:r>
      <w:proofErr w:type="spellEnd"/>
      <w:r w:rsidRPr="002507EB">
        <w:t xml:space="preserve"> Parlaments pieņēma 38 rezolūcijas, iebilstot pret ĢMO laišanu tirgū, un pašreizējā desmitajā </w:t>
      </w:r>
      <w:proofErr w:type="spellStart"/>
      <w:r w:rsidRPr="002507EB">
        <w:t>sasaukumā</w:t>
      </w:r>
      <w:proofErr w:type="spellEnd"/>
      <w:r w:rsidRPr="002507EB">
        <w:t xml:space="preserve"> jau ir pieņēmis vēl 10 rezolūcijas, iebilstot pret ĢMO laišanu tirgū; </w:t>
      </w:r>
    </w:p>
    <w:p w:rsidR="003029DF" w:rsidRPr="002507EB" w:rsidRDefault="003029DF" w:rsidP="003029DF">
      <w:pPr>
        <w:pStyle w:val="NormalHanging12a"/>
        <w:ind w:left="720" w:hanging="720"/>
      </w:pPr>
      <w:r w:rsidRPr="002507EB">
        <w:t>AD.</w:t>
      </w:r>
      <w:r w:rsidRPr="002507EB">
        <w:tab/>
        <w:t>tā kā Komisija turpina piešķirt atļaujas ĢMO, neraugoties uz pašas atzītajām nepilnībām demokrātiskā lēmumu pieņemšanas procesā, dalībvalstu atbalsta trūkumu un Parlamenta iebildumiem;</w:t>
      </w:r>
    </w:p>
    <w:p w:rsidR="003029DF" w:rsidRPr="002507EB" w:rsidRDefault="003029DF" w:rsidP="003029DF">
      <w:pPr>
        <w:pStyle w:val="NormalHanging12a"/>
        <w:ind w:left="720" w:hanging="720"/>
      </w:pPr>
      <w:r w:rsidRPr="002507EB">
        <w:t>AE.</w:t>
      </w:r>
      <w:r w:rsidRPr="002507EB">
        <w:tab/>
        <w:t>tā kā nav vajadzīgas izmaiņas tiesību aktos, lai Komisija varētu nepiešķirt atļaujas ĢMO gadījumos, kad ar dalībvalstu kvalificētu balsu vairākumu nav sniegts pozitīvs atzinums Pārsūdzības komitejā</w:t>
      </w:r>
      <w:r w:rsidRPr="002507EB">
        <w:rPr>
          <w:rStyle w:val="FootnoteReference"/>
        </w:rPr>
        <w:footnoteReference w:id="28"/>
      </w:r>
      <w:r w:rsidRPr="002507EB">
        <w:t>;</w:t>
      </w:r>
    </w:p>
    <w:p w:rsidR="003029DF" w:rsidRPr="002507EB" w:rsidRDefault="003029DF" w:rsidP="003029DF">
      <w:pPr>
        <w:pStyle w:val="NormalHanging12a"/>
        <w:ind w:left="720" w:hanging="720"/>
      </w:pPr>
      <w:r w:rsidRPr="002507EB">
        <w:t>AF.</w:t>
      </w:r>
      <w:r w:rsidRPr="002507EB">
        <w:tab/>
        <w:t xml:space="preserve">tā kā Augu, dzīvnieku, pārtikas aprites un dzīvnieku barības pastāvīgā komiteja, kas minēta Regulas (EK) Nr. 1829/2003 35. pantā, 2025. gada 28. februāra balsojumā nolēma atzinumu nesniegt, kas nozīmē, ka atļaujai nav dalībvalstu kvalificēta balsu </w:t>
      </w:r>
      <w:r w:rsidRPr="002507EB">
        <w:lastRenderedPageBreak/>
        <w:t xml:space="preserve">vairākuma atbalsta;  </w:t>
      </w:r>
    </w:p>
    <w:p w:rsidR="003029DF" w:rsidRPr="002507EB" w:rsidRDefault="003029DF" w:rsidP="003029DF">
      <w:pPr>
        <w:pStyle w:val="NormalHanging12a"/>
        <w:ind w:left="720" w:hanging="720"/>
      </w:pPr>
      <w:r w:rsidRPr="002507EB">
        <w:t>1.</w:t>
      </w:r>
      <w:r w:rsidRPr="002507EB">
        <w:tab/>
        <w:t>uzskata, ka Komisijas īstenošanas lēmuma projekts pārsniedz Regulā (EK) Nr. 1829/2003 paredzētās īstenošanas pilnvaras;</w:t>
      </w:r>
    </w:p>
    <w:p w:rsidR="003029DF" w:rsidRPr="002507EB" w:rsidRDefault="003029DF" w:rsidP="003029DF">
      <w:pPr>
        <w:pStyle w:val="NormalHanging12a"/>
        <w:ind w:left="720" w:hanging="720"/>
      </w:pPr>
      <w:r w:rsidRPr="002507EB">
        <w:t>2.</w:t>
      </w:r>
      <w:r w:rsidRPr="002507EB">
        <w:tab/>
        <w:t>uzskata, ka Komisijas īstenošanas lēmuma projekts neatbilst Savienības tiesību aktiem, jo nav savienojams ar Regulas (EK) Nr. 1829/2003 mērķi, proti, saskaņā ar Eiropas Parlamenta un Padomes Regulā (EK) Nr. 178/2002</w:t>
      </w:r>
      <w:r w:rsidRPr="002507EB">
        <w:rPr>
          <w:rStyle w:val="FootnoteReference"/>
        </w:rPr>
        <w:footnoteReference w:id="29"/>
      </w:r>
      <w:r w:rsidRPr="002507EB">
        <w:t xml:space="preserve"> izklāstītiem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w:t>
      </w:r>
    </w:p>
    <w:p w:rsidR="003029DF" w:rsidRPr="002507EB" w:rsidRDefault="003029DF" w:rsidP="003029DF">
      <w:pPr>
        <w:pStyle w:val="NormalHanging12a"/>
        <w:ind w:left="720" w:hanging="720"/>
      </w:pPr>
      <w:r w:rsidRPr="002507EB">
        <w:t>3.</w:t>
      </w:r>
      <w:r w:rsidRPr="002507EB">
        <w:tab/>
        <w:t>prasa Komisijai atsaukt īstenošanas lēmuma projektu un iesniegt komitejai jaunu projektu;</w:t>
      </w:r>
    </w:p>
    <w:p w:rsidR="003029DF" w:rsidRPr="002507EB" w:rsidRDefault="003029DF" w:rsidP="003029DF">
      <w:pPr>
        <w:pStyle w:val="NormalHanging12a"/>
        <w:ind w:left="720" w:hanging="720"/>
      </w:pPr>
      <w:r w:rsidRPr="002507EB">
        <w:t>4.</w:t>
      </w:r>
      <w:r w:rsidRPr="002507EB">
        <w:tab/>
        <w:t xml:space="preserve">aicina Komisiju saskaņā ar pieeju “Viena veselība” neatļaut </w:t>
      </w:r>
      <w:proofErr w:type="spellStart"/>
      <w:r w:rsidRPr="002507EB">
        <w:t>herbicīdizturīgus</w:t>
      </w:r>
      <w:proofErr w:type="spellEnd"/>
      <w:r w:rsidRPr="002507EB">
        <w:t xml:space="preserve"> ĢM kultūraugus, jo tas palielinātu papildu herbicīdu izmantošanu un tādējādi palielinātu risku </w:t>
      </w:r>
      <w:proofErr w:type="spellStart"/>
      <w:r w:rsidRPr="002507EB">
        <w:t>biodaudzveidībai</w:t>
      </w:r>
      <w:proofErr w:type="spellEnd"/>
      <w:r w:rsidRPr="002507EB">
        <w:t>, pārtikas nekaitīgumam un darba ņēmēju veselībai;</w:t>
      </w:r>
    </w:p>
    <w:p w:rsidR="003029DF" w:rsidRPr="002507EB" w:rsidRDefault="003029DF" w:rsidP="003029DF">
      <w:pPr>
        <w:pStyle w:val="NormalHanging12a"/>
        <w:ind w:left="720" w:hanging="720"/>
      </w:pPr>
      <w:r w:rsidRPr="002507EB">
        <w:t>5.</w:t>
      </w:r>
      <w:r w:rsidRPr="002507EB">
        <w:tab/>
        <w:t xml:space="preserve">šajā saistībā uzsver, ka atļauja importēt tādus ĢM augus izmantošanai pārtikā vai barībā, kas ir kļuvuši </w:t>
      </w:r>
      <w:proofErr w:type="spellStart"/>
      <w:r w:rsidRPr="002507EB">
        <w:t>herbicīdnoturīgi</w:t>
      </w:r>
      <w:proofErr w:type="spellEnd"/>
      <w:r w:rsidRPr="002507EB">
        <w:t xml:space="preserve">, neatbilst Savienības starptautiskajām saistībām, cita starpā ANO IAM un ANO KBD, arī nesen pieņemtajam </w:t>
      </w:r>
      <w:proofErr w:type="spellStart"/>
      <w:r w:rsidRPr="002507EB">
        <w:t>Kuņminas</w:t>
      </w:r>
      <w:proofErr w:type="spellEnd"/>
      <w:r w:rsidRPr="002507EB">
        <w:t>-Monreālas satvaram</w:t>
      </w:r>
      <w:r w:rsidRPr="002507EB">
        <w:rPr>
          <w:rStyle w:val="FootnoteReference"/>
        </w:rPr>
        <w:footnoteReference w:id="30"/>
      </w:r>
      <w:r w:rsidRPr="002507EB">
        <w:t>;</w:t>
      </w:r>
    </w:p>
    <w:p w:rsidR="003029DF" w:rsidRPr="002507EB" w:rsidRDefault="003029DF" w:rsidP="003029DF">
      <w:pPr>
        <w:pStyle w:val="NormalHanging12a"/>
        <w:ind w:left="720" w:hanging="720"/>
      </w:pPr>
      <w:r w:rsidRPr="002507EB">
        <w:t>6.</w:t>
      </w:r>
      <w:r w:rsidRPr="002507EB">
        <w:tab/>
        <w:t>sagaida, ka Komisija steidzami izpildīs savu apņemšanos iesniegt priekšlikumu, lai nodrošinātu, ka Savienībā aizliegtās bīstamās ķīmiskās vielas netiek ražotas eksportam, un apņemšanos nodrošināt savstarpīgumu, labāk saskaņojot mūsu vietējos ražošanas standartus ar standartiem, ko piemēro importam, jo īpaši attiecībā uz pesticīdiem;</w:t>
      </w:r>
    </w:p>
    <w:p w:rsidR="003029DF" w:rsidRPr="002507EB" w:rsidRDefault="003029DF" w:rsidP="003029DF">
      <w:pPr>
        <w:pStyle w:val="NormalHanging12a"/>
        <w:ind w:left="720" w:hanging="720"/>
      </w:pPr>
      <w:r w:rsidRPr="002507EB">
        <w:t>7.</w:t>
      </w:r>
      <w:r w:rsidRPr="002507EB">
        <w:tab/>
        <w:t>aicina Komisiju nodrošināt standartu konverģenci starp Savienību un tās partneriem sarunās par brīvās tirdzniecības nolīgumiem, lai nodrošinātu atbilstību Savienības drošības standartiem;</w:t>
      </w:r>
    </w:p>
    <w:p w:rsidR="003029DF" w:rsidRPr="002507EB" w:rsidRDefault="003029DF" w:rsidP="003029DF">
      <w:pPr>
        <w:pStyle w:val="NormalHanging12a"/>
        <w:ind w:left="720" w:hanging="720"/>
      </w:pPr>
      <w:r w:rsidRPr="002507EB">
        <w:t xml:space="preserve">8. </w:t>
      </w:r>
      <w:r w:rsidRPr="002507EB">
        <w:tab/>
        <w:t>atzinīgi vērtē to, ka Komisija 2020. gada 11. septembra vēstulē deputātiem beidzot atzina, ka ĢMO atļauju piešķiršanas lēmumos ir jāņem vērā ilgtspēja</w:t>
      </w:r>
      <w:r w:rsidRPr="002507EB">
        <w:rPr>
          <w:rStyle w:val="FootnoteReference"/>
        </w:rPr>
        <w:footnoteReference w:id="31"/>
      </w:r>
      <w:r w:rsidRPr="002507EB">
        <w:t>; tomēr pauž dziļu vilšanos, jo kopš tā laika Komisija ir turpinājusi piešķirt atļaujas ĢMO importam Savienībā, lai gan Parlaments turpina pret to iebilst un vairākums dalībvalstu balso pret šādu atļauju piešķiršanu;</w:t>
      </w:r>
    </w:p>
    <w:p w:rsidR="003029DF" w:rsidRPr="002507EB" w:rsidRDefault="003029DF" w:rsidP="003029DF">
      <w:pPr>
        <w:pStyle w:val="NormalHanging12a"/>
        <w:ind w:left="720" w:hanging="720"/>
      </w:pPr>
      <w:r w:rsidRPr="002507EB">
        <w:t>9.</w:t>
      </w:r>
      <w:r w:rsidRPr="002507EB">
        <w:tab/>
        <w:t xml:space="preserve">atkārtoti mudina Komisiju ņemt vērā Savienības saistības saskaņā ar starptautiskiem nolīgumiem, piemēram, Parīzes klimata nolīgumu, ANO Konvenciju par bioloģisko </w:t>
      </w:r>
      <w:r w:rsidRPr="002507EB">
        <w:lastRenderedPageBreak/>
        <w:t>daudzveidību un ANO ilgtspējīgas attīstības mērķiem; atkārtoti prasa īstenošanas aktu projektiem pievienot paskaidrojuma rakstu, kurā būtu paskaidrots, kā minētie akti atbalsta principu “nekaitēt”</w:t>
      </w:r>
      <w:r w:rsidRPr="002507EB">
        <w:rPr>
          <w:rStyle w:val="FootnoteReference"/>
        </w:rPr>
        <w:footnoteReference w:id="32"/>
      </w:r>
      <w:r w:rsidRPr="002507EB">
        <w:t xml:space="preserve">; </w:t>
      </w:r>
    </w:p>
    <w:p w:rsidR="00E365E1" w:rsidRPr="002507EB" w:rsidRDefault="003029DF" w:rsidP="002507EB">
      <w:pPr>
        <w:widowControl/>
        <w:ind w:left="720" w:hanging="720"/>
      </w:pPr>
      <w:r w:rsidRPr="002507EB">
        <w:t>10.</w:t>
      </w:r>
      <w:r w:rsidRPr="002507EB">
        <w:tab/>
        <w:t>uzdod priekšsēdētājai šo rezolūciju nosūtīt Padomei un Komisijai, kā arī dalībvalstu valdībām un parlamentiem.</w:t>
      </w:r>
    </w:p>
    <w:sectPr w:rsidR="00E365E1" w:rsidRPr="002507EB" w:rsidSect="00D01E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77D" w:rsidRPr="00D01E22" w:rsidRDefault="0088277D">
      <w:r w:rsidRPr="00D01E22">
        <w:separator/>
      </w:r>
    </w:p>
  </w:endnote>
  <w:endnote w:type="continuationSeparator" w:id="0">
    <w:p w:rsidR="0088277D" w:rsidRPr="00D01E22" w:rsidRDefault="0088277D">
      <w:r w:rsidRPr="00D01E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E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E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E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77D" w:rsidRPr="00D01E22" w:rsidRDefault="0088277D">
      <w:r w:rsidRPr="00D01E22">
        <w:separator/>
      </w:r>
    </w:p>
  </w:footnote>
  <w:footnote w:type="continuationSeparator" w:id="0">
    <w:p w:rsidR="0088277D" w:rsidRPr="00D01E22" w:rsidRDefault="0088277D">
      <w:r w:rsidRPr="00D01E22">
        <w:continuationSeparator/>
      </w:r>
    </w:p>
  </w:footnote>
  <w:footnote w:id="1">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 xml:space="preserve">OV L 268, 18.10.2003., 1. lpp., ELI: </w:t>
      </w:r>
      <w:hyperlink r:id="rId1" w:history="1">
        <w:r w:rsidRPr="00D01E22">
          <w:rPr>
            <w:rStyle w:val="Hyperlink"/>
            <w:sz w:val="24"/>
            <w:lang w:val="lv-LV"/>
          </w:rPr>
          <w:t>http://data.europa.eu/eli/reg/2003/1829/oj</w:t>
        </w:r>
      </w:hyperlink>
      <w:r w:rsidRPr="00D01E22">
        <w:rPr>
          <w:rStyle w:val="Hyperlink"/>
          <w:color w:val="000000" w:themeColor="text1"/>
          <w:sz w:val="24"/>
          <w:lang w:val="lv-LV"/>
        </w:rPr>
        <w:t>.</w:t>
      </w:r>
    </w:p>
  </w:footnote>
  <w:footnote w:id="2">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OV L 55, 28.2.2011., 13. </w:t>
      </w:r>
      <w:r w:rsidRPr="00D01E22">
        <w:rPr>
          <w:sz w:val="24"/>
          <w:lang w:val="lv-LV"/>
        </w:rPr>
        <w:t>lpp., ELI</w:t>
      </w:r>
      <w:r w:rsidRPr="00D01E22">
        <w:rPr>
          <w:rStyle w:val="Hyperlink"/>
          <w:sz w:val="24"/>
          <w:lang w:val="lv-LV"/>
        </w:rPr>
        <w:t xml:space="preserve">: </w:t>
      </w:r>
      <w:hyperlink r:id="rId2" w:history="1">
        <w:r w:rsidRPr="00D01E22">
          <w:rPr>
            <w:rStyle w:val="Hyperlink"/>
            <w:sz w:val="24"/>
            <w:lang w:val="lv-LV"/>
          </w:rPr>
          <w:t>http://data.europa.eu/eli/reg/2011/182/oj</w:t>
        </w:r>
      </w:hyperlink>
      <w:r w:rsidRPr="00D01E22">
        <w:rPr>
          <w:rStyle w:val="Hyperlink"/>
          <w:sz w:val="24"/>
          <w:lang w:val="lv-LV"/>
        </w:rPr>
        <w:t>.</w:t>
      </w:r>
    </w:p>
  </w:footnote>
  <w:footnote w:id="3">
    <w:p w:rsidR="003029DF" w:rsidRPr="00D01E22" w:rsidRDefault="003029DF" w:rsidP="00D01E22">
      <w:pPr>
        <w:pStyle w:val="FootnoteText"/>
        <w:ind w:left="567" w:hanging="567"/>
        <w:rPr>
          <w:color w:val="000000" w:themeColor="text1"/>
          <w:sz w:val="24"/>
          <w:lang w:val="lv-LV"/>
        </w:rPr>
      </w:pPr>
      <w:r w:rsidRPr="00D01E22">
        <w:rPr>
          <w:rStyle w:val="FootnoteReference"/>
          <w:color w:val="000000" w:themeColor="text1"/>
          <w:sz w:val="24"/>
          <w:lang w:val="lv-LV"/>
        </w:rPr>
        <w:footnoteRef/>
      </w:r>
      <w:r w:rsidR="00D01E22" w:rsidRPr="00D01E22">
        <w:rPr>
          <w:i/>
          <w:iCs/>
          <w:color w:val="000000" w:themeColor="text1"/>
          <w:sz w:val="24"/>
          <w:lang w:val="lv-LV"/>
        </w:rPr>
        <w:t xml:space="preserve"> </w:t>
      </w:r>
      <w:r w:rsidR="00D01E22" w:rsidRPr="00D01E22">
        <w:rPr>
          <w:i/>
          <w:iCs/>
          <w:color w:val="000000" w:themeColor="text1"/>
          <w:sz w:val="24"/>
          <w:lang w:val="lv-LV"/>
        </w:rPr>
        <w:tab/>
      </w:r>
      <w:r w:rsidRPr="00D01E22">
        <w:rPr>
          <w:i/>
          <w:iCs/>
          <w:color w:val="000000" w:themeColor="text1"/>
          <w:sz w:val="24"/>
          <w:lang w:val="lv-LV"/>
        </w:rPr>
        <w:t>EFSA</w:t>
      </w:r>
      <w:r w:rsidRPr="00D01E22">
        <w:rPr>
          <w:color w:val="000000" w:themeColor="text1"/>
          <w:sz w:val="24"/>
          <w:lang w:val="lv-LV"/>
        </w:rPr>
        <w:t xml:space="preserve"> Ekspertu grupas ģenētiski modificētu organismu jautājumos zinātniskais atzinums “</w:t>
      </w:r>
      <w:proofErr w:type="spellStart"/>
      <w:r w:rsidRPr="00D01E22">
        <w:rPr>
          <w:i/>
          <w:iCs/>
          <w:color w:val="000000" w:themeColor="text1"/>
          <w:sz w:val="24"/>
          <w:lang w:val="lv-LV"/>
        </w:rPr>
        <w:t>Assessment</w:t>
      </w:r>
      <w:proofErr w:type="spellEnd"/>
      <w:r w:rsidRPr="00D01E22">
        <w:rPr>
          <w:i/>
          <w:iCs/>
          <w:color w:val="000000" w:themeColor="text1"/>
          <w:sz w:val="24"/>
          <w:lang w:val="lv-LV"/>
        </w:rPr>
        <w:t xml:space="preserve"> </w:t>
      </w:r>
      <w:proofErr w:type="spellStart"/>
      <w:r w:rsidRPr="00D01E22">
        <w:rPr>
          <w:i/>
          <w:iCs/>
          <w:color w:val="000000" w:themeColor="text1"/>
          <w:sz w:val="24"/>
          <w:lang w:val="lv-LV"/>
        </w:rPr>
        <w:t>of</w:t>
      </w:r>
      <w:proofErr w:type="spellEnd"/>
      <w:r w:rsidRPr="00D01E22">
        <w:rPr>
          <w:i/>
          <w:iCs/>
          <w:color w:val="000000" w:themeColor="text1"/>
          <w:sz w:val="24"/>
          <w:lang w:val="lv-LV"/>
        </w:rPr>
        <w:t xml:space="preserve"> </w:t>
      </w:r>
      <w:proofErr w:type="spellStart"/>
      <w:r w:rsidRPr="00D01E22">
        <w:rPr>
          <w:i/>
          <w:iCs/>
          <w:color w:val="000000" w:themeColor="text1"/>
          <w:sz w:val="24"/>
          <w:lang w:val="lv-LV"/>
        </w:rPr>
        <w:t>genetically</w:t>
      </w:r>
      <w:proofErr w:type="spellEnd"/>
      <w:r w:rsidRPr="00D01E22">
        <w:rPr>
          <w:i/>
          <w:iCs/>
          <w:color w:val="000000" w:themeColor="text1"/>
          <w:sz w:val="24"/>
          <w:lang w:val="lv-LV"/>
        </w:rPr>
        <w:t xml:space="preserve"> </w:t>
      </w:r>
      <w:proofErr w:type="spellStart"/>
      <w:r w:rsidRPr="00D01E22">
        <w:rPr>
          <w:i/>
          <w:iCs/>
          <w:color w:val="000000" w:themeColor="text1"/>
          <w:sz w:val="24"/>
          <w:lang w:val="lv-LV"/>
        </w:rPr>
        <w:t>modified</w:t>
      </w:r>
      <w:proofErr w:type="spellEnd"/>
      <w:r w:rsidRPr="00D01E22">
        <w:rPr>
          <w:i/>
          <w:iCs/>
          <w:color w:val="000000" w:themeColor="text1"/>
          <w:sz w:val="24"/>
          <w:lang w:val="lv-LV"/>
        </w:rPr>
        <w:t xml:space="preserve"> </w:t>
      </w:r>
      <w:proofErr w:type="spellStart"/>
      <w:r w:rsidRPr="00D01E22">
        <w:rPr>
          <w:i/>
          <w:iCs/>
          <w:color w:val="000000" w:themeColor="text1"/>
          <w:sz w:val="24"/>
          <w:lang w:val="lv-LV"/>
        </w:rPr>
        <w:t>soybean</w:t>
      </w:r>
      <w:proofErr w:type="spellEnd"/>
      <w:r w:rsidRPr="00D01E22">
        <w:rPr>
          <w:i/>
          <w:iCs/>
          <w:color w:val="000000" w:themeColor="text1"/>
          <w:sz w:val="24"/>
          <w:lang w:val="lv-LV"/>
        </w:rPr>
        <w:t xml:space="preserve"> MON 87705 × MON 87708 × MON 89788 </w:t>
      </w:r>
      <w:proofErr w:type="spellStart"/>
      <w:r w:rsidRPr="00D01E22">
        <w:rPr>
          <w:i/>
          <w:iCs/>
          <w:color w:val="000000" w:themeColor="text1"/>
          <w:sz w:val="24"/>
          <w:lang w:val="lv-LV"/>
        </w:rPr>
        <w:t>for</w:t>
      </w:r>
      <w:proofErr w:type="spellEnd"/>
      <w:r w:rsidRPr="00D01E22">
        <w:rPr>
          <w:i/>
          <w:iCs/>
          <w:color w:val="000000" w:themeColor="text1"/>
          <w:sz w:val="24"/>
          <w:lang w:val="lv-LV"/>
        </w:rPr>
        <w:t xml:space="preserve"> </w:t>
      </w:r>
      <w:proofErr w:type="spellStart"/>
      <w:r w:rsidRPr="00D01E22">
        <w:rPr>
          <w:i/>
          <w:iCs/>
          <w:color w:val="000000" w:themeColor="text1"/>
          <w:sz w:val="24"/>
          <w:lang w:val="lv-LV"/>
        </w:rPr>
        <w:t>food</w:t>
      </w:r>
      <w:proofErr w:type="spellEnd"/>
      <w:r w:rsidRPr="00D01E22">
        <w:rPr>
          <w:i/>
          <w:iCs/>
          <w:color w:val="000000" w:themeColor="text1"/>
          <w:sz w:val="24"/>
          <w:lang w:val="lv-LV"/>
        </w:rPr>
        <w:t xml:space="preserve"> </w:t>
      </w:r>
      <w:proofErr w:type="spellStart"/>
      <w:r w:rsidRPr="00D01E22">
        <w:rPr>
          <w:i/>
          <w:iCs/>
          <w:color w:val="000000" w:themeColor="text1"/>
          <w:sz w:val="24"/>
          <w:lang w:val="lv-LV"/>
        </w:rPr>
        <w:t>and</w:t>
      </w:r>
      <w:proofErr w:type="spellEnd"/>
      <w:r w:rsidRPr="00D01E22">
        <w:rPr>
          <w:i/>
          <w:iCs/>
          <w:color w:val="000000" w:themeColor="text1"/>
          <w:sz w:val="24"/>
          <w:lang w:val="lv-LV"/>
        </w:rPr>
        <w:t xml:space="preserve"> </w:t>
      </w:r>
      <w:proofErr w:type="spellStart"/>
      <w:r w:rsidRPr="00D01E22">
        <w:rPr>
          <w:i/>
          <w:iCs/>
          <w:color w:val="000000" w:themeColor="text1"/>
          <w:sz w:val="24"/>
          <w:lang w:val="lv-LV"/>
        </w:rPr>
        <w:t>feed</w:t>
      </w:r>
      <w:proofErr w:type="spellEnd"/>
      <w:r w:rsidRPr="00D01E22">
        <w:rPr>
          <w:i/>
          <w:iCs/>
          <w:color w:val="000000" w:themeColor="text1"/>
          <w:sz w:val="24"/>
          <w:lang w:val="lv-LV"/>
        </w:rPr>
        <w:t xml:space="preserve"> </w:t>
      </w:r>
      <w:proofErr w:type="spellStart"/>
      <w:r w:rsidRPr="00D01E22">
        <w:rPr>
          <w:i/>
          <w:iCs/>
          <w:color w:val="000000" w:themeColor="text1"/>
          <w:sz w:val="24"/>
          <w:lang w:val="lv-LV"/>
        </w:rPr>
        <w:t>uses</w:t>
      </w:r>
      <w:proofErr w:type="spellEnd"/>
      <w:r w:rsidRPr="00D01E22">
        <w:rPr>
          <w:i/>
          <w:iCs/>
          <w:color w:val="000000" w:themeColor="text1"/>
          <w:sz w:val="24"/>
          <w:lang w:val="lv-LV"/>
        </w:rPr>
        <w:t xml:space="preserve">, </w:t>
      </w:r>
      <w:proofErr w:type="spellStart"/>
      <w:r w:rsidRPr="00D01E22">
        <w:rPr>
          <w:i/>
          <w:iCs/>
          <w:color w:val="000000" w:themeColor="text1"/>
          <w:sz w:val="24"/>
          <w:lang w:val="lv-LV"/>
        </w:rPr>
        <w:t>under</w:t>
      </w:r>
      <w:proofErr w:type="spellEnd"/>
      <w:r w:rsidRPr="00D01E22">
        <w:rPr>
          <w:i/>
          <w:iCs/>
          <w:color w:val="000000" w:themeColor="text1"/>
          <w:sz w:val="24"/>
          <w:lang w:val="lv-LV"/>
        </w:rPr>
        <w:t xml:space="preserve"> </w:t>
      </w:r>
      <w:proofErr w:type="spellStart"/>
      <w:r w:rsidRPr="00D01E22">
        <w:rPr>
          <w:i/>
          <w:iCs/>
          <w:color w:val="000000" w:themeColor="text1"/>
          <w:sz w:val="24"/>
          <w:lang w:val="lv-LV"/>
        </w:rPr>
        <w:t>Regulation</w:t>
      </w:r>
      <w:proofErr w:type="spellEnd"/>
      <w:r w:rsidRPr="00D01E22">
        <w:rPr>
          <w:i/>
          <w:iCs/>
          <w:color w:val="000000" w:themeColor="text1"/>
          <w:sz w:val="24"/>
          <w:lang w:val="lv-LV"/>
        </w:rPr>
        <w:t xml:space="preserve"> (EC) No 1829/2003 (</w:t>
      </w:r>
      <w:proofErr w:type="spellStart"/>
      <w:r w:rsidRPr="00D01E22">
        <w:rPr>
          <w:i/>
          <w:iCs/>
          <w:color w:val="000000" w:themeColor="text1"/>
          <w:sz w:val="24"/>
          <w:lang w:val="lv-LV"/>
        </w:rPr>
        <w:t>application</w:t>
      </w:r>
      <w:proofErr w:type="spellEnd"/>
      <w:r w:rsidRPr="00D01E22">
        <w:rPr>
          <w:i/>
          <w:iCs/>
          <w:color w:val="000000" w:themeColor="text1"/>
          <w:sz w:val="24"/>
          <w:lang w:val="lv-LV"/>
        </w:rPr>
        <w:t xml:space="preserve"> EFSA-GMO-NL-2015-126)</w:t>
      </w:r>
      <w:r w:rsidRPr="00D01E22">
        <w:rPr>
          <w:color w:val="000000" w:themeColor="text1"/>
          <w:sz w:val="24"/>
          <w:lang w:val="lv-LV"/>
        </w:rPr>
        <w:t>”</w:t>
      </w:r>
      <w:r w:rsidRPr="00D01E22">
        <w:rPr>
          <w:sz w:val="24"/>
          <w:lang w:val="lv-LV"/>
        </w:rPr>
        <w:t xml:space="preserve"> (Novērtējums par ģenētiski modificētu sojas pupu MON 87705 × MON 87708 × MON 89788 izmantošanu pārtikā vai barībā saskaņā ar Regulu (EK) Nr. </w:t>
      </w:r>
      <w:r w:rsidRPr="00D01E22">
        <w:rPr>
          <w:sz w:val="24"/>
          <w:lang w:val="lv-LV"/>
        </w:rPr>
        <w:t xml:space="preserve">1829/2003 (pieteikums EFSA-GMO-NL-2015-126)), </w:t>
      </w:r>
      <w:r w:rsidRPr="00D01E22">
        <w:rPr>
          <w:i/>
          <w:iCs/>
          <w:sz w:val="24"/>
          <w:lang w:val="lv-LV"/>
        </w:rPr>
        <w:t xml:space="preserve">EFSA </w:t>
      </w:r>
      <w:proofErr w:type="spellStart"/>
      <w:r w:rsidRPr="00D01E22">
        <w:rPr>
          <w:i/>
          <w:iCs/>
          <w:sz w:val="24"/>
          <w:lang w:val="lv-LV"/>
        </w:rPr>
        <w:t>Journal</w:t>
      </w:r>
      <w:proofErr w:type="spellEnd"/>
      <w:r w:rsidRPr="00D01E22">
        <w:rPr>
          <w:sz w:val="24"/>
          <w:lang w:val="lv-LV"/>
        </w:rPr>
        <w:t xml:space="preserve"> 2020;18(5):e06111, </w:t>
      </w:r>
      <w:hyperlink r:id="rId3" w:history="1">
        <w:r w:rsidRPr="00D01E22">
          <w:rPr>
            <w:rStyle w:val="Hyperlink"/>
            <w:sz w:val="24"/>
            <w:lang w:val="lv-LV"/>
          </w:rPr>
          <w:t>https://doi.org/10.2903/j.efsa.2020.6111</w:t>
        </w:r>
      </w:hyperlink>
      <w:r w:rsidRPr="00D01E22">
        <w:rPr>
          <w:rStyle w:val="Hyperlink"/>
          <w:sz w:val="24"/>
          <w:lang w:val="lv-LV"/>
        </w:rPr>
        <w:t>.</w:t>
      </w:r>
    </w:p>
  </w:footnote>
  <w:footnote w:id="4">
    <w:p w:rsidR="003029DF" w:rsidRPr="00D01E22" w:rsidRDefault="003029DF" w:rsidP="00D01E22">
      <w:pPr>
        <w:pStyle w:val="FootnoteText"/>
        <w:ind w:left="567" w:hanging="567"/>
        <w:rPr>
          <w:color w:val="000000" w:themeColor="text1"/>
          <w:sz w:val="24"/>
          <w:vertAlign w:val="superscript"/>
          <w:lang w:val="lv-LV"/>
        </w:rPr>
      </w:pPr>
      <w:r w:rsidRPr="00D01E22">
        <w:rPr>
          <w:rStyle w:val="FootnoteReference"/>
          <w:sz w:val="24"/>
          <w:lang w:val="lv-LV"/>
        </w:rPr>
        <w:footnoteRef/>
      </w:r>
      <w:r w:rsidR="00D01E22" w:rsidRPr="00D01E22">
        <w:rPr>
          <w:color w:val="000000" w:themeColor="text1"/>
          <w:sz w:val="24"/>
          <w:lang w:val="lv-LV"/>
        </w:rPr>
        <w:t xml:space="preserve"> </w:t>
      </w:r>
      <w:r w:rsidR="00D01E22" w:rsidRPr="00D01E22">
        <w:rPr>
          <w:color w:val="000000" w:themeColor="text1"/>
          <w:sz w:val="24"/>
          <w:lang w:val="lv-LV"/>
        </w:rPr>
        <w:tab/>
      </w:r>
      <w:r w:rsidRPr="00D01E22">
        <w:rPr>
          <w:color w:val="000000" w:themeColor="text1"/>
          <w:sz w:val="24"/>
          <w:lang w:val="lv-LV"/>
        </w:rPr>
        <w:t xml:space="preserve">Parlaments astotajā </w:t>
      </w:r>
      <w:proofErr w:type="spellStart"/>
      <w:r w:rsidRPr="00D01E22">
        <w:rPr>
          <w:color w:val="000000" w:themeColor="text1"/>
          <w:sz w:val="24"/>
          <w:lang w:val="lv-LV"/>
        </w:rPr>
        <w:t>sasaukumā</w:t>
      </w:r>
      <w:proofErr w:type="spellEnd"/>
      <w:r w:rsidRPr="00D01E22">
        <w:rPr>
          <w:color w:val="000000" w:themeColor="text1"/>
          <w:sz w:val="24"/>
          <w:lang w:val="lv-LV"/>
        </w:rPr>
        <w:t xml:space="preserve"> pieņēma 36 rezolūcijas un devītajā </w:t>
      </w:r>
      <w:proofErr w:type="spellStart"/>
      <w:r w:rsidRPr="00D01E22">
        <w:rPr>
          <w:color w:val="000000" w:themeColor="text1"/>
          <w:sz w:val="24"/>
          <w:lang w:val="lv-LV"/>
        </w:rPr>
        <w:t>sasaukumā</w:t>
      </w:r>
      <w:proofErr w:type="spellEnd"/>
      <w:r w:rsidRPr="00D01E22">
        <w:rPr>
          <w:color w:val="000000" w:themeColor="text1"/>
          <w:sz w:val="24"/>
          <w:lang w:val="lv-LV"/>
        </w:rPr>
        <w:t xml:space="preserve"> — 38 rezolūcijas, ar ko iebilda pret atļauju izmantot ĢMO. Turklāt desmitajā </w:t>
      </w:r>
      <w:proofErr w:type="spellStart"/>
      <w:r w:rsidRPr="00D01E22">
        <w:rPr>
          <w:color w:val="000000" w:themeColor="text1"/>
          <w:sz w:val="24"/>
          <w:lang w:val="lv-LV"/>
        </w:rPr>
        <w:t>sasaukumā</w:t>
      </w:r>
      <w:proofErr w:type="spellEnd"/>
      <w:r w:rsidRPr="00D01E22">
        <w:rPr>
          <w:color w:val="000000" w:themeColor="text1"/>
          <w:sz w:val="24"/>
          <w:lang w:val="lv-LV"/>
        </w:rPr>
        <w:t xml:space="preserve"> Parlaments ir pieņēmis šādas rezolūcijas:</w:t>
      </w:r>
    </w:p>
    <w:p w:rsidR="003029DF" w:rsidRPr="00D01E22" w:rsidRDefault="00D01E22" w:rsidP="00D01E22">
      <w:pPr>
        <w:pStyle w:val="FootnoteText"/>
        <w:ind w:left="567" w:hanging="567"/>
        <w:rPr>
          <w:color w:val="000000" w:themeColor="text1"/>
          <w:sz w:val="24"/>
          <w:vertAlign w:val="superscript"/>
          <w:lang w:val="lv-LV"/>
        </w:rPr>
      </w:pPr>
      <w:r w:rsidRPr="00D01E22">
        <w:rPr>
          <w:color w:val="000000" w:themeColor="text1"/>
          <w:sz w:val="24"/>
          <w:lang w:val="lv-LV"/>
        </w:rPr>
        <w:t xml:space="preserve"> </w:t>
      </w:r>
      <w:r w:rsidRPr="00D01E22">
        <w:rPr>
          <w:color w:val="000000" w:themeColor="text1"/>
          <w:sz w:val="24"/>
          <w:lang w:val="lv-LV"/>
        </w:rPr>
        <w:tab/>
      </w:r>
      <w:r w:rsidR="003029DF" w:rsidRPr="00D01E22">
        <w:rPr>
          <w:color w:val="000000" w:themeColor="text1"/>
          <w:sz w:val="24"/>
          <w:lang w:val="lv-LV"/>
        </w:rPr>
        <w:t>–</w:t>
      </w:r>
      <w:r w:rsidR="003029DF" w:rsidRPr="00D01E22">
        <w:rPr>
          <w:color w:val="000000" w:themeColor="text1"/>
          <w:sz w:val="24"/>
          <w:lang w:val="lv-LV"/>
        </w:rPr>
        <w:tab/>
        <w:t>Eiropas Parlamenta 2024. gada 26. novembra rezolūcija par Komisijas Īstenošanas lēmumu (ES) 2024/2628, ar kuru atbilstoši Eiropas Parlamenta un Padomes Regulai (EK) Nr. </w:t>
      </w:r>
      <w:r w:rsidR="003029DF" w:rsidRPr="00D01E22">
        <w:rPr>
          <w:color w:val="000000" w:themeColor="text1"/>
          <w:sz w:val="24"/>
          <w:lang w:val="lv-LV"/>
        </w:rPr>
        <w:t xml:space="preserve">1829/2003 atjauno atļauju laist tirgū produktus, kas satur ģenētiski modificētu kukurūzu MON 89034 × 1507 × NK603, sastāv vai ir ražoti no tās (OV C, C/2025/1797, 4.4.2025., ELI: </w:t>
      </w:r>
      <w:hyperlink r:id="rId4" w:history="1">
        <w:r w:rsidR="003029DF" w:rsidRPr="00D01E22">
          <w:rPr>
            <w:rStyle w:val="Hyperlink"/>
            <w:sz w:val="24"/>
            <w:lang w:val="lv-LV"/>
          </w:rPr>
          <w:t>http://data.europa.eu/eli/C/2025/1797/oj</w:t>
        </w:r>
      </w:hyperlink>
      <w:r w:rsidR="003029DF" w:rsidRPr="00D01E22">
        <w:rPr>
          <w:color w:val="000000" w:themeColor="text1"/>
          <w:sz w:val="24"/>
          <w:lang w:val="lv-LV"/>
        </w:rPr>
        <w:t>);</w:t>
      </w:r>
    </w:p>
    <w:p w:rsidR="003029DF" w:rsidRPr="00D01E22" w:rsidRDefault="00D01E22" w:rsidP="00D01E22">
      <w:pPr>
        <w:pStyle w:val="FootnoteText"/>
        <w:ind w:left="567" w:hanging="567"/>
        <w:rPr>
          <w:color w:val="000000" w:themeColor="text1"/>
          <w:sz w:val="24"/>
          <w:vertAlign w:val="superscript"/>
          <w:lang w:val="lv-LV"/>
        </w:rPr>
      </w:pPr>
      <w:r w:rsidRPr="00D01E22">
        <w:rPr>
          <w:color w:val="000000" w:themeColor="text1"/>
          <w:sz w:val="24"/>
          <w:lang w:val="lv-LV"/>
        </w:rPr>
        <w:t xml:space="preserve"> </w:t>
      </w:r>
      <w:r w:rsidRPr="00D01E22">
        <w:rPr>
          <w:color w:val="000000" w:themeColor="text1"/>
          <w:sz w:val="24"/>
          <w:lang w:val="lv-LV"/>
        </w:rPr>
        <w:tab/>
      </w:r>
      <w:r w:rsidR="003029DF" w:rsidRPr="00D01E22">
        <w:rPr>
          <w:color w:val="000000" w:themeColor="text1"/>
          <w:sz w:val="24"/>
          <w:lang w:val="lv-LV"/>
        </w:rPr>
        <w:t>–</w:t>
      </w:r>
      <w:r w:rsidR="003029DF" w:rsidRPr="00D01E22">
        <w:rPr>
          <w:color w:val="000000" w:themeColor="text1"/>
          <w:sz w:val="24"/>
          <w:lang w:val="lv-LV"/>
        </w:rPr>
        <w:tab/>
        <w:t xml:space="preserve">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history="1">
        <w:r w:rsidR="003029DF" w:rsidRPr="00D01E22">
          <w:rPr>
            <w:rStyle w:val="Hyperlink"/>
            <w:sz w:val="24"/>
            <w:lang w:val="lv-LV"/>
          </w:rPr>
          <w:t>http://data.europa.eu/eli/C/2025/1798/oj</w:t>
        </w:r>
      </w:hyperlink>
      <w:r w:rsidR="003029DF" w:rsidRPr="00D01E22">
        <w:rPr>
          <w:color w:val="000000" w:themeColor="text1"/>
          <w:sz w:val="24"/>
          <w:lang w:val="lv-LV"/>
        </w:rPr>
        <w:t>);</w:t>
      </w:r>
    </w:p>
    <w:p w:rsidR="003029DF" w:rsidRPr="00D01E22" w:rsidRDefault="00D01E22" w:rsidP="00D01E22">
      <w:pPr>
        <w:pStyle w:val="FootnoteText"/>
        <w:ind w:left="567" w:hanging="567"/>
        <w:rPr>
          <w:color w:val="000000" w:themeColor="text1"/>
          <w:sz w:val="24"/>
          <w:vertAlign w:val="superscript"/>
          <w:lang w:val="lv-LV"/>
        </w:rPr>
      </w:pPr>
      <w:r w:rsidRPr="00D01E22">
        <w:rPr>
          <w:color w:val="000000" w:themeColor="text1"/>
          <w:sz w:val="24"/>
          <w:lang w:val="lv-LV"/>
        </w:rPr>
        <w:t xml:space="preserve"> </w:t>
      </w:r>
      <w:r w:rsidRPr="00D01E22">
        <w:rPr>
          <w:color w:val="000000" w:themeColor="text1"/>
          <w:sz w:val="24"/>
          <w:lang w:val="lv-LV"/>
        </w:rPr>
        <w:tab/>
      </w:r>
      <w:r w:rsidR="003029DF" w:rsidRPr="00D01E22">
        <w:rPr>
          <w:color w:val="000000" w:themeColor="text1"/>
          <w:sz w:val="24"/>
          <w:lang w:val="lv-LV"/>
        </w:rPr>
        <w:t>–</w:t>
      </w:r>
      <w:r w:rsidR="003029DF" w:rsidRPr="00D01E22">
        <w:rPr>
          <w:color w:val="000000" w:themeColor="text1"/>
          <w:sz w:val="24"/>
          <w:lang w:val="lv-LV"/>
        </w:rPr>
        <w:tab/>
        <w:t xml:space="preserve">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w:t>
      </w:r>
      <w:proofErr w:type="spellStart"/>
      <w:r w:rsidR="003029DF" w:rsidRPr="00D01E22">
        <w:rPr>
          <w:color w:val="000000" w:themeColor="text1"/>
          <w:sz w:val="24"/>
          <w:lang w:val="lv-LV"/>
        </w:rPr>
        <w:t>apakškombinācijas</w:t>
      </w:r>
      <w:proofErr w:type="spellEnd"/>
      <w:r w:rsidR="003029DF" w:rsidRPr="00D01E22">
        <w:rPr>
          <w:color w:val="000000" w:themeColor="text1"/>
          <w:sz w:val="24"/>
          <w:lang w:val="lv-LV"/>
        </w:rPr>
        <w:t xml:space="preserve">, sastāv vai ir ražoti no tām (OV C, C/2025/1799, 4.4.2025., ELI: </w:t>
      </w:r>
      <w:hyperlink r:id="rId6" w:history="1">
        <w:r w:rsidR="003029DF" w:rsidRPr="00D01E22">
          <w:rPr>
            <w:rStyle w:val="Hyperlink"/>
            <w:sz w:val="24"/>
            <w:lang w:val="lv-LV"/>
          </w:rPr>
          <w:t>http://data.europa.eu/eli/C/2025/1799/oj</w:t>
        </w:r>
      </w:hyperlink>
      <w:r w:rsidR="003029DF" w:rsidRPr="00D01E22">
        <w:rPr>
          <w:color w:val="000000" w:themeColor="text1"/>
          <w:sz w:val="24"/>
          <w:lang w:val="lv-LV"/>
        </w:rPr>
        <w:t>);</w:t>
      </w:r>
    </w:p>
    <w:p w:rsidR="003029DF" w:rsidRPr="00D01E22" w:rsidRDefault="00D01E22" w:rsidP="00D01E22">
      <w:pPr>
        <w:pStyle w:val="FootnoteText"/>
        <w:ind w:left="567" w:hanging="567"/>
        <w:rPr>
          <w:color w:val="000000" w:themeColor="text1"/>
          <w:sz w:val="24"/>
          <w:vertAlign w:val="superscript"/>
          <w:lang w:val="lv-LV"/>
        </w:rPr>
      </w:pPr>
      <w:r w:rsidRPr="00D01E22">
        <w:rPr>
          <w:color w:val="000000" w:themeColor="text1"/>
          <w:sz w:val="24"/>
          <w:lang w:val="lv-LV"/>
        </w:rPr>
        <w:t xml:space="preserve"> </w:t>
      </w:r>
      <w:r w:rsidRPr="00D01E22">
        <w:rPr>
          <w:color w:val="000000" w:themeColor="text1"/>
          <w:sz w:val="24"/>
          <w:lang w:val="lv-LV"/>
        </w:rPr>
        <w:tab/>
      </w:r>
      <w:r w:rsidR="003029DF" w:rsidRPr="00D01E22">
        <w:rPr>
          <w:color w:val="000000" w:themeColor="text1"/>
          <w:sz w:val="24"/>
          <w:lang w:val="lv-LV"/>
        </w:rPr>
        <w:t>–</w:t>
      </w:r>
      <w:r w:rsidR="003029DF" w:rsidRPr="00D01E22">
        <w:rPr>
          <w:color w:val="000000" w:themeColor="text1"/>
          <w:sz w:val="24"/>
          <w:lang w:val="lv-LV"/>
        </w:rPr>
        <w:tab/>
        <w:t xml:space="preserve">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history="1">
        <w:r w:rsidR="003029DF" w:rsidRPr="00D01E22">
          <w:rPr>
            <w:rStyle w:val="Hyperlink"/>
            <w:sz w:val="24"/>
            <w:lang w:val="lv-LV"/>
          </w:rPr>
          <w:t>http://data.europa.eu/eli/C/2025/1800/oj</w:t>
        </w:r>
      </w:hyperlink>
      <w:r w:rsidR="003029DF" w:rsidRPr="00D01E22">
        <w:rPr>
          <w:color w:val="000000" w:themeColor="text1"/>
          <w:sz w:val="24"/>
          <w:lang w:val="lv-LV"/>
        </w:rPr>
        <w:t>);</w:t>
      </w:r>
    </w:p>
    <w:p w:rsidR="003029DF" w:rsidRPr="00D01E22" w:rsidRDefault="00D01E22" w:rsidP="00D01E22">
      <w:pPr>
        <w:pStyle w:val="FootnoteText"/>
        <w:ind w:left="567" w:hanging="567"/>
        <w:rPr>
          <w:color w:val="000000" w:themeColor="text1"/>
          <w:sz w:val="24"/>
          <w:vertAlign w:val="superscript"/>
          <w:lang w:val="lv-LV"/>
        </w:rPr>
      </w:pPr>
      <w:r w:rsidRPr="00D01E22">
        <w:rPr>
          <w:color w:val="000000" w:themeColor="text1"/>
          <w:sz w:val="24"/>
          <w:lang w:val="lv-LV"/>
        </w:rPr>
        <w:t xml:space="preserve"> </w:t>
      </w:r>
      <w:r w:rsidRPr="00D01E22">
        <w:rPr>
          <w:color w:val="000000" w:themeColor="text1"/>
          <w:sz w:val="24"/>
          <w:lang w:val="lv-LV"/>
        </w:rPr>
        <w:tab/>
      </w:r>
      <w:r w:rsidR="003029DF" w:rsidRPr="00D01E22">
        <w:rPr>
          <w:color w:val="000000" w:themeColor="text1"/>
          <w:sz w:val="24"/>
          <w:lang w:val="lv-LV"/>
        </w:rPr>
        <w:t>–</w:t>
      </w:r>
      <w:r w:rsidR="003029DF" w:rsidRPr="00D01E22">
        <w:rPr>
          <w:color w:val="000000" w:themeColor="text1"/>
          <w:sz w:val="24"/>
          <w:lang w:val="lv-LV"/>
        </w:rPr>
        <w:tab/>
        <w:t xml:space="preserve">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history="1">
        <w:r w:rsidR="003029DF" w:rsidRPr="00D01E22">
          <w:rPr>
            <w:rStyle w:val="Hyperlink"/>
            <w:sz w:val="24"/>
            <w:lang w:val="lv-LV"/>
          </w:rPr>
          <w:t>http://data.europa.eu/eli/C/2025/1801/oj</w:t>
        </w:r>
      </w:hyperlink>
      <w:r w:rsidR="003029DF" w:rsidRPr="00D01E22">
        <w:rPr>
          <w:color w:val="000000" w:themeColor="text1"/>
          <w:sz w:val="24"/>
          <w:lang w:val="lv-LV"/>
        </w:rPr>
        <w:t>);</w:t>
      </w:r>
    </w:p>
    <w:p w:rsidR="003029DF" w:rsidRPr="00D01E22" w:rsidRDefault="00D01E22" w:rsidP="00D01E22">
      <w:pPr>
        <w:pStyle w:val="FootnoteText"/>
        <w:ind w:left="567" w:hanging="567"/>
        <w:rPr>
          <w:color w:val="000000" w:themeColor="text1"/>
          <w:sz w:val="24"/>
          <w:vertAlign w:val="superscript"/>
          <w:lang w:val="lv-LV"/>
        </w:rPr>
      </w:pPr>
      <w:r w:rsidRPr="00D01E22">
        <w:rPr>
          <w:color w:val="000000" w:themeColor="text1"/>
          <w:sz w:val="24"/>
          <w:lang w:val="lv-LV"/>
        </w:rPr>
        <w:t xml:space="preserve"> </w:t>
      </w:r>
      <w:r w:rsidRPr="00D01E22">
        <w:rPr>
          <w:color w:val="000000" w:themeColor="text1"/>
          <w:sz w:val="24"/>
          <w:lang w:val="lv-LV"/>
        </w:rPr>
        <w:tab/>
      </w:r>
      <w:r w:rsidR="003029DF" w:rsidRPr="00D01E22">
        <w:rPr>
          <w:color w:val="000000" w:themeColor="text1"/>
          <w:sz w:val="24"/>
          <w:lang w:val="lv-LV"/>
        </w:rPr>
        <w:t>–</w:t>
      </w:r>
      <w:r w:rsidR="003029DF" w:rsidRPr="00D01E22">
        <w:rPr>
          <w:color w:val="000000" w:themeColor="text1"/>
          <w:sz w:val="24"/>
          <w:lang w:val="lv-LV"/>
        </w:rPr>
        <w:tab/>
        <w:t xml:space="preserve">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history="1">
        <w:r w:rsidR="003029DF" w:rsidRPr="00D01E22">
          <w:rPr>
            <w:rStyle w:val="Hyperlink"/>
            <w:sz w:val="24"/>
            <w:lang w:val="lv-LV"/>
          </w:rPr>
          <w:t>http://data.europa.eu/eli/C/2025/1802/oj</w:t>
        </w:r>
      </w:hyperlink>
      <w:r w:rsidR="003029DF" w:rsidRPr="00D01E22">
        <w:rPr>
          <w:color w:val="000000" w:themeColor="text1"/>
          <w:sz w:val="24"/>
          <w:lang w:val="lv-LV"/>
        </w:rPr>
        <w:t>);</w:t>
      </w:r>
    </w:p>
    <w:p w:rsidR="003029DF" w:rsidRPr="00D01E22" w:rsidRDefault="00D01E22" w:rsidP="00D01E22">
      <w:pPr>
        <w:pStyle w:val="FootnoteText"/>
        <w:ind w:left="567" w:hanging="567"/>
        <w:rPr>
          <w:color w:val="000000" w:themeColor="text1"/>
          <w:sz w:val="24"/>
          <w:vertAlign w:val="superscript"/>
          <w:lang w:val="lv-LV"/>
        </w:rPr>
      </w:pPr>
      <w:r w:rsidRPr="00D01E22">
        <w:rPr>
          <w:color w:val="000000" w:themeColor="text1"/>
          <w:sz w:val="24"/>
          <w:lang w:val="lv-LV"/>
        </w:rPr>
        <w:t xml:space="preserve"> </w:t>
      </w:r>
      <w:r w:rsidRPr="00D01E22">
        <w:rPr>
          <w:color w:val="000000" w:themeColor="text1"/>
          <w:sz w:val="24"/>
          <w:lang w:val="lv-LV"/>
        </w:rPr>
        <w:tab/>
      </w:r>
      <w:r w:rsidR="003029DF" w:rsidRPr="00D01E22">
        <w:rPr>
          <w:color w:val="000000" w:themeColor="text1"/>
          <w:sz w:val="24"/>
          <w:lang w:val="lv-LV"/>
        </w:rPr>
        <w:t>–</w:t>
      </w:r>
      <w:r w:rsidR="003029DF" w:rsidRPr="00D01E22">
        <w:rPr>
          <w:color w:val="000000" w:themeColor="text1"/>
          <w:sz w:val="24"/>
          <w:lang w:val="lv-LV"/>
        </w:rPr>
        <w:tab/>
        <w:t xml:space="preserve">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history="1">
        <w:r w:rsidR="003029DF" w:rsidRPr="00D01E22">
          <w:rPr>
            <w:rStyle w:val="Hyperlink"/>
            <w:sz w:val="24"/>
            <w:lang w:val="lv-LV"/>
          </w:rPr>
          <w:t>http://data.europa.eu/eli/C/2025/1803/oj</w:t>
        </w:r>
      </w:hyperlink>
      <w:r w:rsidR="003029DF" w:rsidRPr="00D01E22">
        <w:rPr>
          <w:color w:val="000000" w:themeColor="text1"/>
          <w:sz w:val="24"/>
          <w:lang w:val="lv-LV"/>
        </w:rPr>
        <w:t>);</w:t>
      </w:r>
    </w:p>
    <w:p w:rsidR="003029DF" w:rsidRPr="00D01E22" w:rsidRDefault="00D01E22" w:rsidP="00D01E22">
      <w:pPr>
        <w:pStyle w:val="FootnoteText"/>
        <w:ind w:left="567" w:hanging="567"/>
        <w:rPr>
          <w:color w:val="000000" w:themeColor="text1"/>
          <w:sz w:val="24"/>
          <w:vertAlign w:val="superscript"/>
          <w:lang w:val="lv-LV"/>
        </w:rPr>
      </w:pPr>
      <w:r w:rsidRPr="00D01E22">
        <w:rPr>
          <w:color w:val="000000" w:themeColor="text1"/>
          <w:sz w:val="24"/>
          <w:lang w:val="lv-LV"/>
        </w:rPr>
        <w:t xml:space="preserve"> </w:t>
      </w:r>
      <w:r w:rsidRPr="00D01E22">
        <w:rPr>
          <w:color w:val="000000" w:themeColor="text1"/>
          <w:sz w:val="24"/>
          <w:lang w:val="lv-LV"/>
        </w:rPr>
        <w:tab/>
      </w:r>
      <w:r w:rsidR="003029DF" w:rsidRPr="00D01E22">
        <w:rPr>
          <w:color w:val="000000" w:themeColor="text1"/>
          <w:sz w:val="24"/>
          <w:lang w:val="lv-LV"/>
        </w:rPr>
        <w:t>–</w:t>
      </w:r>
      <w:r w:rsidR="003029DF" w:rsidRPr="00D01E22">
        <w:rPr>
          <w:color w:val="000000" w:themeColor="text1"/>
          <w:sz w:val="24"/>
          <w:lang w:val="lv-LV"/>
        </w:rPr>
        <w:tab/>
        <w:t xml:space="preserve">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history="1">
        <w:r w:rsidR="003029DF" w:rsidRPr="00D01E22">
          <w:rPr>
            <w:rStyle w:val="Hyperlink"/>
            <w:sz w:val="24"/>
            <w:lang w:val="lv-LV"/>
          </w:rPr>
          <w:t>http://data.europa.eu/eli/C/2025/1804/oj</w:t>
        </w:r>
      </w:hyperlink>
      <w:r w:rsidR="003029DF" w:rsidRPr="00D01E22">
        <w:rPr>
          <w:color w:val="000000" w:themeColor="text1"/>
          <w:sz w:val="24"/>
          <w:lang w:val="lv-LV"/>
        </w:rPr>
        <w:t>);</w:t>
      </w:r>
    </w:p>
    <w:p w:rsidR="003029DF" w:rsidRPr="00D01E22" w:rsidRDefault="00D01E22" w:rsidP="00D01E22">
      <w:pPr>
        <w:pStyle w:val="FootnoteText"/>
        <w:ind w:left="567" w:hanging="567"/>
        <w:rPr>
          <w:sz w:val="24"/>
          <w:vertAlign w:val="superscript"/>
          <w:lang w:val="lv-LV"/>
        </w:rPr>
      </w:pPr>
      <w:r w:rsidRPr="00D01E22">
        <w:rPr>
          <w:color w:val="000000" w:themeColor="text1"/>
          <w:sz w:val="24"/>
          <w:lang w:val="lv-LV"/>
        </w:rPr>
        <w:t xml:space="preserve"> </w:t>
      </w:r>
      <w:r w:rsidRPr="00D01E22">
        <w:rPr>
          <w:color w:val="000000" w:themeColor="text1"/>
          <w:sz w:val="24"/>
          <w:lang w:val="lv-LV"/>
        </w:rPr>
        <w:tab/>
      </w:r>
      <w:r w:rsidR="003029DF" w:rsidRPr="00D01E22">
        <w:rPr>
          <w:color w:val="000000" w:themeColor="text1"/>
          <w:sz w:val="24"/>
          <w:lang w:val="lv-LV"/>
        </w:rPr>
        <w:t>–</w:t>
      </w:r>
      <w:r w:rsidR="003029DF" w:rsidRPr="00D01E22">
        <w:rPr>
          <w:color w:val="000000" w:themeColor="text1"/>
          <w:sz w:val="24"/>
          <w:lang w:val="lv-LV"/>
        </w:rPr>
        <w:tab/>
      </w:r>
      <w:r w:rsidR="003029DF" w:rsidRPr="00D01E22">
        <w:rPr>
          <w:sz w:val="24"/>
          <w:lang w:val="lv-LV"/>
        </w:rPr>
        <w:t>Eiropas Parlamenta 2025. gada 12. februāra rezolūcija par projektu Komisijas īstenošanas lēmumam, ar ko, ievērojot Eiropas Parlamenta un Padomes Regulu (EK) Nr. 1829/2003, atļauj laist tirgū produktus, kas satur ģenētiski modificētu kukurūzu DP910521, no tās sastāv vai ir no tās ražoti (</w:t>
      </w:r>
      <w:r w:rsidR="003029DF" w:rsidRPr="00D01E22">
        <w:rPr>
          <w:color w:val="000000" w:themeColor="text1"/>
          <w:sz w:val="24"/>
          <w:lang w:val="lv-LV"/>
        </w:rPr>
        <w:t>P10_TA(2025)0014</w:t>
      </w:r>
      <w:r w:rsidR="003029DF" w:rsidRPr="00D01E22">
        <w:rPr>
          <w:sz w:val="24"/>
          <w:lang w:val="lv-LV"/>
        </w:rPr>
        <w:t>);</w:t>
      </w:r>
    </w:p>
    <w:p w:rsidR="003029DF" w:rsidRPr="00D01E22" w:rsidRDefault="00D01E22" w:rsidP="00D01E22">
      <w:pPr>
        <w:pStyle w:val="FootnoteText"/>
        <w:ind w:left="567" w:hanging="567"/>
        <w:rPr>
          <w:sz w:val="24"/>
          <w:lang w:val="lv-LV"/>
        </w:rPr>
      </w:pPr>
      <w:r w:rsidRPr="00D01E22">
        <w:rPr>
          <w:color w:val="000000" w:themeColor="text1"/>
          <w:sz w:val="24"/>
          <w:lang w:val="lv-LV"/>
        </w:rPr>
        <w:t xml:space="preserve"> </w:t>
      </w:r>
      <w:r w:rsidRPr="00D01E22">
        <w:rPr>
          <w:color w:val="000000" w:themeColor="text1"/>
          <w:sz w:val="24"/>
          <w:lang w:val="lv-LV"/>
        </w:rPr>
        <w:tab/>
      </w:r>
      <w:r w:rsidR="003029DF" w:rsidRPr="00D01E22">
        <w:rPr>
          <w:color w:val="000000" w:themeColor="text1"/>
          <w:sz w:val="24"/>
          <w:lang w:val="lv-LV"/>
        </w:rPr>
        <w:t>–</w:t>
      </w:r>
      <w:r w:rsidR="003029DF" w:rsidRPr="00D01E22">
        <w:rPr>
          <w:color w:val="000000" w:themeColor="text1"/>
          <w:sz w:val="24"/>
          <w:lang w:val="lv-LV"/>
        </w:rPr>
        <w:tab/>
        <w:t>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(P10_TA(2025)0015).</w:t>
      </w:r>
    </w:p>
  </w:footnote>
  <w:footnote w:id="5">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EFSA Ekspertu grupa ģenētiski modificētu organismu jautājumos, “</w:t>
      </w:r>
      <w:proofErr w:type="spellStart"/>
      <w:r w:rsidRPr="00D01E22">
        <w:rPr>
          <w:i/>
          <w:iCs/>
          <w:sz w:val="24"/>
          <w:lang w:val="lv-LV"/>
        </w:rPr>
        <w:t>Statement</w:t>
      </w:r>
      <w:proofErr w:type="spellEnd"/>
      <w:r w:rsidRPr="00D01E22">
        <w:rPr>
          <w:i/>
          <w:iCs/>
          <w:sz w:val="24"/>
          <w:lang w:val="lv-LV"/>
        </w:rPr>
        <w:t xml:space="preserve"> </w:t>
      </w:r>
      <w:proofErr w:type="spellStart"/>
      <w:r w:rsidRPr="00D01E22">
        <w:rPr>
          <w:i/>
          <w:iCs/>
          <w:sz w:val="24"/>
          <w:lang w:val="lv-LV"/>
        </w:rPr>
        <w:t>complementing</w:t>
      </w:r>
      <w:proofErr w:type="spellEnd"/>
      <w:r w:rsidRPr="00D01E22">
        <w:rPr>
          <w:i/>
          <w:iCs/>
          <w:sz w:val="24"/>
          <w:lang w:val="lv-LV"/>
        </w:rPr>
        <w:t xml:space="preserve"> </w:t>
      </w:r>
      <w:proofErr w:type="spellStart"/>
      <w:r w:rsidRPr="00D01E22">
        <w:rPr>
          <w:i/>
          <w:iCs/>
          <w:sz w:val="24"/>
          <w:lang w:val="lv-LV"/>
        </w:rPr>
        <w:t>the</w:t>
      </w:r>
      <w:proofErr w:type="spellEnd"/>
      <w:r w:rsidRPr="00D01E22">
        <w:rPr>
          <w:i/>
          <w:iCs/>
          <w:sz w:val="24"/>
          <w:lang w:val="lv-LV"/>
        </w:rPr>
        <w:t xml:space="preserve"> EFSA </w:t>
      </w:r>
      <w:proofErr w:type="spellStart"/>
      <w:r w:rsidRPr="00D01E22">
        <w:rPr>
          <w:i/>
          <w:iCs/>
          <w:sz w:val="24"/>
          <w:lang w:val="lv-LV"/>
        </w:rPr>
        <w:t>Scientific</w:t>
      </w:r>
      <w:proofErr w:type="spellEnd"/>
      <w:r w:rsidRPr="00D01E22">
        <w:rPr>
          <w:i/>
          <w:iCs/>
          <w:sz w:val="24"/>
          <w:lang w:val="lv-LV"/>
        </w:rPr>
        <w:t xml:space="preserve"> </w:t>
      </w:r>
      <w:proofErr w:type="spellStart"/>
      <w:r w:rsidRPr="00D01E22">
        <w:rPr>
          <w:i/>
          <w:iCs/>
          <w:sz w:val="24"/>
          <w:lang w:val="lv-LV"/>
        </w:rPr>
        <w:t>Opinion</w:t>
      </w:r>
      <w:proofErr w:type="spellEnd"/>
      <w:r w:rsidRPr="00D01E22">
        <w:rPr>
          <w:i/>
          <w:iCs/>
          <w:sz w:val="24"/>
          <w:lang w:val="lv-LV"/>
        </w:rPr>
        <w:t xml:space="preserve"> </w:t>
      </w:r>
      <w:proofErr w:type="spellStart"/>
      <w:r w:rsidRPr="00D01E22">
        <w:rPr>
          <w:i/>
          <w:iCs/>
          <w:sz w:val="24"/>
          <w:lang w:val="lv-LV"/>
        </w:rPr>
        <w:t>on</w:t>
      </w:r>
      <w:proofErr w:type="spellEnd"/>
      <w:r w:rsidRPr="00D01E22">
        <w:rPr>
          <w:i/>
          <w:iCs/>
          <w:sz w:val="24"/>
          <w:lang w:val="lv-LV"/>
        </w:rPr>
        <w:t xml:space="preserve"> </w:t>
      </w:r>
      <w:proofErr w:type="spellStart"/>
      <w:r w:rsidRPr="00D01E22">
        <w:rPr>
          <w:i/>
          <w:iCs/>
          <w:sz w:val="24"/>
          <w:lang w:val="lv-LV"/>
        </w:rPr>
        <w:t>application</w:t>
      </w:r>
      <w:proofErr w:type="spellEnd"/>
      <w:r w:rsidRPr="00D01E22">
        <w:rPr>
          <w:i/>
          <w:iCs/>
          <w:sz w:val="24"/>
          <w:lang w:val="lv-LV"/>
        </w:rPr>
        <w:t xml:space="preserve"> (EFSA-GMO-NL-2015-126) </w:t>
      </w:r>
      <w:proofErr w:type="spellStart"/>
      <w:r w:rsidRPr="00D01E22">
        <w:rPr>
          <w:i/>
          <w:iCs/>
          <w:sz w:val="24"/>
          <w:lang w:val="lv-LV"/>
        </w:rPr>
        <w:t>for</w:t>
      </w:r>
      <w:proofErr w:type="spellEnd"/>
      <w:r w:rsidRPr="00D01E22">
        <w:rPr>
          <w:i/>
          <w:iCs/>
          <w:sz w:val="24"/>
          <w:lang w:val="lv-LV"/>
        </w:rPr>
        <w:t xml:space="preserve"> </w:t>
      </w:r>
      <w:proofErr w:type="spellStart"/>
      <w:r w:rsidRPr="00D01E22">
        <w:rPr>
          <w:i/>
          <w:iCs/>
          <w:sz w:val="24"/>
          <w:lang w:val="lv-LV"/>
        </w:rPr>
        <w:t>authorisation</w:t>
      </w:r>
      <w:proofErr w:type="spellEnd"/>
      <w:r w:rsidRPr="00D01E22">
        <w:rPr>
          <w:i/>
          <w:iCs/>
          <w:sz w:val="24"/>
          <w:lang w:val="lv-LV"/>
        </w:rPr>
        <w:t xml:space="preserve"> </w:t>
      </w:r>
      <w:proofErr w:type="spellStart"/>
      <w:r w:rsidRPr="00D01E22">
        <w:rPr>
          <w:i/>
          <w:iCs/>
          <w:sz w:val="24"/>
          <w:lang w:val="lv-LV"/>
        </w:rPr>
        <w:t>of</w:t>
      </w:r>
      <w:proofErr w:type="spellEnd"/>
      <w:r w:rsidRPr="00D01E22">
        <w:rPr>
          <w:i/>
          <w:iCs/>
          <w:sz w:val="24"/>
          <w:lang w:val="lv-LV"/>
        </w:rPr>
        <w:t xml:space="preserve"> </w:t>
      </w:r>
      <w:proofErr w:type="spellStart"/>
      <w:r w:rsidRPr="00D01E22">
        <w:rPr>
          <w:i/>
          <w:iCs/>
          <w:sz w:val="24"/>
          <w:lang w:val="lv-LV"/>
        </w:rPr>
        <w:t>food</w:t>
      </w:r>
      <w:proofErr w:type="spellEnd"/>
      <w:r w:rsidRPr="00D01E22">
        <w:rPr>
          <w:i/>
          <w:iCs/>
          <w:sz w:val="24"/>
          <w:lang w:val="lv-LV"/>
        </w:rPr>
        <w:t xml:space="preserve"> </w:t>
      </w:r>
      <w:proofErr w:type="spellStart"/>
      <w:r w:rsidRPr="00D01E22">
        <w:rPr>
          <w:i/>
          <w:iCs/>
          <w:sz w:val="24"/>
          <w:lang w:val="lv-LV"/>
        </w:rPr>
        <w:t>and</w:t>
      </w:r>
      <w:proofErr w:type="spellEnd"/>
      <w:r w:rsidRPr="00D01E22">
        <w:rPr>
          <w:i/>
          <w:iCs/>
          <w:sz w:val="24"/>
          <w:lang w:val="lv-LV"/>
        </w:rPr>
        <w:t xml:space="preserve"> </w:t>
      </w:r>
      <w:proofErr w:type="spellStart"/>
      <w:r w:rsidRPr="00D01E22">
        <w:rPr>
          <w:i/>
          <w:iCs/>
          <w:sz w:val="24"/>
          <w:lang w:val="lv-LV"/>
        </w:rPr>
        <w:t>feed</w:t>
      </w:r>
      <w:proofErr w:type="spellEnd"/>
      <w:r w:rsidRPr="00D01E22">
        <w:rPr>
          <w:i/>
          <w:iCs/>
          <w:sz w:val="24"/>
          <w:lang w:val="lv-LV"/>
        </w:rPr>
        <w:t xml:space="preserve"> </w:t>
      </w:r>
      <w:proofErr w:type="spellStart"/>
      <w:r w:rsidRPr="00D01E22">
        <w:rPr>
          <w:i/>
          <w:iCs/>
          <w:sz w:val="24"/>
          <w:lang w:val="lv-LV"/>
        </w:rPr>
        <w:t>containing</w:t>
      </w:r>
      <w:proofErr w:type="spellEnd"/>
      <w:r w:rsidRPr="00D01E22">
        <w:rPr>
          <w:i/>
          <w:iCs/>
          <w:sz w:val="24"/>
          <w:lang w:val="lv-LV"/>
        </w:rPr>
        <w:t xml:space="preserve">, </w:t>
      </w:r>
      <w:proofErr w:type="spellStart"/>
      <w:r w:rsidRPr="00D01E22">
        <w:rPr>
          <w:i/>
          <w:iCs/>
          <w:sz w:val="24"/>
          <w:lang w:val="lv-LV"/>
        </w:rPr>
        <w:t>consisting</w:t>
      </w:r>
      <w:proofErr w:type="spellEnd"/>
      <w:r w:rsidRPr="00D01E22">
        <w:rPr>
          <w:i/>
          <w:iCs/>
          <w:sz w:val="24"/>
          <w:lang w:val="lv-LV"/>
        </w:rPr>
        <w:t xml:space="preserve"> </w:t>
      </w:r>
      <w:proofErr w:type="spellStart"/>
      <w:r w:rsidRPr="00D01E22">
        <w:rPr>
          <w:i/>
          <w:iCs/>
          <w:sz w:val="24"/>
          <w:lang w:val="lv-LV"/>
        </w:rPr>
        <w:t>of</w:t>
      </w:r>
      <w:proofErr w:type="spellEnd"/>
      <w:r w:rsidRPr="00D01E22">
        <w:rPr>
          <w:i/>
          <w:iCs/>
          <w:sz w:val="24"/>
          <w:lang w:val="lv-LV"/>
        </w:rPr>
        <w:t xml:space="preserve"> </w:t>
      </w:r>
      <w:proofErr w:type="spellStart"/>
      <w:r w:rsidRPr="00D01E22">
        <w:rPr>
          <w:i/>
          <w:iCs/>
          <w:sz w:val="24"/>
          <w:lang w:val="lv-LV"/>
        </w:rPr>
        <w:t>and</w:t>
      </w:r>
      <w:proofErr w:type="spellEnd"/>
      <w:r w:rsidRPr="00D01E22">
        <w:rPr>
          <w:i/>
          <w:iCs/>
          <w:sz w:val="24"/>
          <w:lang w:val="lv-LV"/>
        </w:rPr>
        <w:t xml:space="preserve"> </w:t>
      </w:r>
      <w:proofErr w:type="spellStart"/>
      <w:r w:rsidRPr="00D01E22">
        <w:rPr>
          <w:i/>
          <w:iCs/>
          <w:sz w:val="24"/>
          <w:lang w:val="lv-LV"/>
        </w:rPr>
        <w:t>produced</w:t>
      </w:r>
      <w:proofErr w:type="spellEnd"/>
      <w:r w:rsidRPr="00D01E22">
        <w:rPr>
          <w:i/>
          <w:iCs/>
          <w:sz w:val="24"/>
          <w:lang w:val="lv-LV"/>
        </w:rPr>
        <w:t xml:space="preserve"> </w:t>
      </w:r>
      <w:proofErr w:type="spellStart"/>
      <w:r w:rsidRPr="00D01E22">
        <w:rPr>
          <w:i/>
          <w:iCs/>
          <w:sz w:val="24"/>
          <w:lang w:val="lv-LV"/>
        </w:rPr>
        <w:t>from</w:t>
      </w:r>
      <w:proofErr w:type="spellEnd"/>
      <w:r w:rsidRPr="00D01E22">
        <w:rPr>
          <w:i/>
          <w:iCs/>
          <w:sz w:val="24"/>
          <w:lang w:val="lv-LV"/>
        </w:rPr>
        <w:t xml:space="preserve"> </w:t>
      </w:r>
      <w:proofErr w:type="spellStart"/>
      <w:r w:rsidRPr="00D01E22">
        <w:rPr>
          <w:i/>
          <w:iCs/>
          <w:sz w:val="24"/>
          <w:lang w:val="lv-LV"/>
        </w:rPr>
        <w:t>genetically</w:t>
      </w:r>
      <w:proofErr w:type="spellEnd"/>
      <w:r w:rsidRPr="00D01E22">
        <w:rPr>
          <w:i/>
          <w:iCs/>
          <w:sz w:val="24"/>
          <w:lang w:val="lv-LV"/>
        </w:rPr>
        <w:t xml:space="preserve"> </w:t>
      </w:r>
      <w:proofErr w:type="spellStart"/>
      <w:r w:rsidRPr="00D01E22">
        <w:rPr>
          <w:i/>
          <w:iCs/>
          <w:sz w:val="24"/>
          <w:lang w:val="lv-LV"/>
        </w:rPr>
        <w:t>modified</w:t>
      </w:r>
      <w:proofErr w:type="spellEnd"/>
      <w:r w:rsidRPr="00D01E22">
        <w:rPr>
          <w:i/>
          <w:iCs/>
          <w:sz w:val="24"/>
          <w:lang w:val="lv-LV"/>
        </w:rPr>
        <w:t xml:space="preserve"> </w:t>
      </w:r>
      <w:proofErr w:type="spellStart"/>
      <w:r w:rsidRPr="00D01E22">
        <w:rPr>
          <w:i/>
          <w:iCs/>
          <w:sz w:val="24"/>
          <w:lang w:val="lv-LV"/>
        </w:rPr>
        <w:t>soybean</w:t>
      </w:r>
      <w:proofErr w:type="spellEnd"/>
      <w:r w:rsidRPr="00D01E22">
        <w:rPr>
          <w:i/>
          <w:iCs/>
          <w:sz w:val="24"/>
          <w:lang w:val="lv-LV"/>
        </w:rPr>
        <w:t xml:space="preserve"> MON 87705 × MON 87708 × MON 89788</w:t>
      </w:r>
      <w:r w:rsidRPr="00D01E22">
        <w:rPr>
          <w:sz w:val="24"/>
          <w:lang w:val="lv-LV"/>
        </w:rPr>
        <w:t xml:space="preserve">” (Paziņojums, ar ko papildina EFSA zinātnisko atzinumu par pieteikumu (EFSA-GMO-NL-2015-126) saņemt atļauju tādai pārtikai un barībai, kuras sastāvā ir ģenētiski modificētas sojas pupas MON 87705 × MON 87708 × MON 89788, kas sastāv un ir ražota no tām). </w:t>
      </w:r>
      <w:r w:rsidRPr="00D01E22">
        <w:rPr>
          <w:i/>
          <w:iCs/>
          <w:sz w:val="24"/>
          <w:lang w:val="lv-LV"/>
        </w:rPr>
        <w:t xml:space="preserve">EFSA </w:t>
      </w:r>
      <w:proofErr w:type="spellStart"/>
      <w:r w:rsidRPr="00D01E22">
        <w:rPr>
          <w:i/>
          <w:iCs/>
          <w:sz w:val="24"/>
          <w:lang w:val="lv-LV"/>
        </w:rPr>
        <w:t>Journal</w:t>
      </w:r>
      <w:proofErr w:type="spellEnd"/>
      <w:r w:rsidRPr="00D01E22">
        <w:rPr>
          <w:sz w:val="24"/>
          <w:lang w:val="lv-LV"/>
        </w:rPr>
        <w:t xml:space="preserve"> 2024;22(10):e9061, </w:t>
      </w:r>
      <w:hyperlink r:id="rId12" w:history="1">
        <w:r w:rsidRPr="00D01E22">
          <w:rPr>
            <w:rStyle w:val="Hyperlink"/>
            <w:sz w:val="24"/>
            <w:lang w:val="lv-LV"/>
          </w:rPr>
          <w:t>https://doi.org/10.2903/j.efsa.2024.9061</w:t>
        </w:r>
      </w:hyperlink>
      <w:r w:rsidRPr="00D01E22">
        <w:rPr>
          <w:sz w:val="24"/>
          <w:lang w:val="lv-LV"/>
        </w:rPr>
        <w:t>.</w:t>
      </w:r>
    </w:p>
  </w:footnote>
  <w:footnote w:id="6">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color w:val="000000" w:themeColor="text1"/>
          <w:sz w:val="24"/>
          <w:lang w:val="lv-LV"/>
        </w:rPr>
        <w:t xml:space="preserve"> </w:t>
      </w:r>
      <w:r w:rsidR="00D01E22" w:rsidRPr="00D01E22">
        <w:rPr>
          <w:color w:val="000000" w:themeColor="text1"/>
          <w:sz w:val="24"/>
          <w:lang w:val="lv-LV"/>
        </w:rPr>
        <w:tab/>
      </w:r>
      <w:r w:rsidRPr="00D01E22">
        <w:rPr>
          <w:color w:val="000000" w:themeColor="text1"/>
          <w:sz w:val="24"/>
          <w:lang w:val="lv-LV"/>
        </w:rPr>
        <w:t>Komisijas Īstenošanas regula (ES) Nr. 503/2013 (2013. gada 3. aprīlis) par ģenētiski modificētas pārtikas un barības atļauju pieteikumiem saskaņā ar Eiropas Parlamenta un Padomes Regulu (EK) Nr. 1829/2003 un par Komisijas Regulas (EK) Nr. 641/2004 un Komisijas Regulas (EK) Nr. 1981/2006 grozījumiem (OV L 157, 8.6.2013., 1. </w:t>
      </w:r>
      <w:r w:rsidRPr="00D01E22">
        <w:rPr>
          <w:color w:val="000000" w:themeColor="text1"/>
          <w:sz w:val="24"/>
          <w:lang w:val="lv-LV"/>
        </w:rPr>
        <w:t xml:space="preserve">lpp., ELI: </w:t>
      </w:r>
      <w:hyperlink r:id="rId13" w:tgtFrame="Gives access to this document through its ELI URI." w:history="1">
        <w:r w:rsidRPr="00D01E22">
          <w:rPr>
            <w:rStyle w:val="Hyperlink"/>
            <w:color w:val="0070C0"/>
            <w:sz w:val="24"/>
            <w:lang w:val="lv-LV"/>
          </w:rPr>
          <w:t>http://data.europa.eu/eli/reg_impl/2013/503/oj</w:t>
        </w:r>
      </w:hyperlink>
      <w:r w:rsidRPr="00D01E22">
        <w:rPr>
          <w:rStyle w:val="Hyperlink"/>
          <w:color w:val="000000" w:themeColor="text1"/>
          <w:sz w:val="24"/>
          <w:lang w:val="lv-LV"/>
        </w:rPr>
        <w:t>).</w:t>
      </w:r>
    </w:p>
  </w:footnote>
  <w:footnote w:id="7">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 xml:space="preserve">Skatīt, piemēram, </w:t>
      </w:r>
      <w:proofErr w:type="spellStart"/>
      <w:r w:rsidRPr="00D01E22">
        <w:rPr>
          <w:i/>
          <w:iCs/>
          <w:sz w:val="24"/>
          <w:lang w:val="lv-LV"/>
        </w:rPr>
        <w:t>Bonny</w:t>
      </w:r>
      <w:proofErr w:type="spellEnd"/>
      <w:r w:rsidRPr="00D01E22">
        <w:rPr>
          <w:i/>
          <w:iCs/>
          <w:sz w:val="24"/>
          <w:lang w:val="lv-LV"/>
        </w:rPr>
        <w:t>, S.</w:t>
      </w:r>
      <w:r w:rsidRPr="00D01E22">
        <w:rPr>
          <w:sz w:val="24"/>
          <w:lang w:val="lv-LV"/>
        </w:rPr>
        <w:t>, “</w:t>
      </w:r>
      <w:proofErr w:type="spellStart"/>
      <w:r w:rsidRPr="00D01E22">
        <w:rPr>
          <w:i/>
          <w:iCs/>
          <w:sz w:val="24"/>
          <w:lang w:val="lv-LV"/>
        </w:rPr>
        <w:t>Genetically</w:t>
      </w:r>
      <w:proofErr w:type="spellEnd"/>
      <w:r w:rsidRPr="00D01E22">
        <w:rPr>
          <w:i/>
          <w:iCs/>
          <w:sz w:val="24"/>
          <w:lang w:val="lv-LV"/>
        </w:rPr>
        <w:t xml:space="preserve"> </w:t>
      </w:r>
      <w:proofErr w:type="spellStart"/>
      <w:r w:rsidRPr="00D01E22">
        <w:rPr>
          <w:i/>
          <w:iCs/>
          <w:sz w:val="24"/>
          <w:lang w:val="lv-LV"/>
        </w:rPr>
        <w:t>Modified</w:t>
      </w:r>
      <w:proofErr w:type="spellEnd"/>
      <w:r w:rsidRPr="00D01E22">
        <w:rPr>
          <w:i/>
          <w:iCs/>
          <w:sz w:val="24"/>
          <w:lang w:val="lv-LV"/>
        </w:rPr>
        <w:t xml:space="preserve"> </w:t>
      </w:r>
      <w:proofErr w:type="spellStart"/>
      <w:r w:rsidRPr="00D01E22">
        <w:rPr>
          <w:i/>
          <w:iCs/>
          <w:sz w:val="24"/>
          <w:lang w:val="lv-LV"/>
        </w:rPr>
        <w:t>Herbicide-Tolerant</w:t>
      </w:r>
      <w:proofErr w:type="spellEnd"/>
      <w:r w:rsidRPr="00D01E22">
        <w:rPr>
          <w:i/>
          <w:iCs/>
          <w:sz w:val="24"/>
          <w:lang w:val="lv-LV"/>
        </w:rPr>
        <w:t xml:space="preserve"> </w:t>
      </w:r>
      <w:proofErr w:type="spellStart"/>
      <w:r w:rsidRPr="00D01E22">
        <w:rPr>
          <w:i/>
          <w:iCs/>
          <w:sz w:val="24"/>
          <w:lang w:val="lv-LV"/>
        </w:rPr>
        <w:t>Crops</w:t>
      </w:r>
      <w:proofErr w:type="spellEnd"/>
      <w:r w:rsidRPr="00D01E22">
        <w:rPr>
          <w:i/>
          <w:iCs/>
          <w:sz w:val="24"/>
          <w:lang w:val="lv-LV"/>
        </w:rPr>
        <w:t xml:space="preserve">, </w:t>
      </w:r>
      <w:proofErr w:type="spellStart"/>
      <w:r w:rsidRPr="00D01E22">
        <w:rPr>
          <w:i/>
          <w:iCs/>
          <w:sz w:val="24"/>
          <w:lang w:val="lv-LV"/>
        </w:rPr>
        <w:t>Weeds</w:t>
      </w:r>
      <w:proofErr w:type="spellEnd"/>
      <w:r w:rsidRPr="00D01E22">
        <w:rPr>
          <w:i/>
          <w:iCs/>
          <w:sz w:val="24"/>
          <w:lang w:val="lv-LV"/>
        </w:rPr>
        <w:t xml:space="preserve">, </w:t>
      </w:r>
      <w:proofErr w:type="spellStart"/>
      <w:r w:rsidRPr="00D01E22">
        <w:rPr>
          <w:i/>
          <w:iCs/>
          <w:sz w:val="24"/>
          <w:lang w:val="lv-LV"/>
        </w:rPr>
        <w:t>and</w:t>
      </w:r>
      <w:proofErr w:type="spellEnd"/>
      <w:r w:rsidRPr="00D01E22">
        <w:rPr>
          <w:i/>
          <w:iCs/>
          <w:sz w:val="24"/>
          <w:lang w:val="lv-LV"/>
        </w:rPr>
        <w:t xml:space="preserve"> </w:t>
      </w:r>
      <w:proofErr w:type="spellStart"/>
      <w:r w:rsidRPr="00D01E22">
        <w:rPr>
          <w:i/>
          <w:iCs/>
          <w:sz w:val="24"/>
          <w:lang w:val="lv-LV"/>
        </w:rPr>
        <w:t>Herbicides</w:t>
      </w:r>
      <w:proofErr w:type="spellEnd"/>
      <w:r w:rsidRPr="00D01E22">
        <w:rPr>
          <w:i/>
          <w:iCs/>
          <w:sz w:val="24"/>
          <w:lang w:val="lv-LV"/>
        </w:rPr>
        <w:t>:</w:t>
      </w:r>
      <w:r w:rsidRPr="00D01E22">
        <w:rPr>
          <w:sz w:val="24"/>
          <w:lang w:val="lv-LV"/>
        </w:rPr>
        <w:t xml:space="preserve"> </w:t>
      </w:r>
      <w:proofErr w:type="spellStart"/>
      <w:r w:rsidRPr="00D01E22">
        <w:rPr>
          <w:i/>
          <w:iCs/>
          <w:sz w:val="24"/>
          <w:lang w:val="lv-LV"/>
        </w:rPr>
        <w:t>Overview</w:t>
      </w:r>
      <w:proofErr w:type="spellEnd"/>
      <w:r w:rsidRPr="00D01E22">
        <w:rPr>
          <w:i/>
          <w:iCs/>
          <w:sz w:val="24"/>
          <w:lang w:val="lv-LV"/>
        </w:rPr>
        <w:t xml:space="preserve"> </w:t>
      </w:r>
      <w:proofErr w:type="spellStart"/>
      <w:r w:rsidRPr="00D01E22">
        <w:rPr>
          <w:i/>
          <w:iCs/>
          <w:sz w:val="24"/>
          <w:lang w:val="lv-LV"/>
        </w:rPr>
        <w:t>and</w:t>
      </w:r>
      <w:proofErr w:type="spellEnd"/>
      <w:r w:rsidRPr="00D01E22">
        <w:rPr>
          <w:i/>
          <w:iCs/>
          <w:sz w:val="24"/>
          <w:lang w:val="lv-LV"/>
        </w:rPr>
        <w:t xml:space="preserve"> </w:t>
      </w:r>
      <w:proofErr w:type="spellStart"/>
      <w:r w:rsidRPr="00D01E22">
        <w:rPr>
          <w:i/>
          <w:iCs/>
          <w:sz w:val="24"/>
          <w:lang w:val="lv-LV"/>
        </w:rPr>
        <w:t>Impact</w:t>
      </w:r>
      <w:proofErr w:type="spellEnd"/>
      <w:r w:rsidRPr="00D01E22">
        <w:rPr>
          <w:sz w:val="24"/>
          <w:lang w:val="lv-LV"/>
        </w:rPr>
        <w:t xml:space="preserve">” (Ģenētiski modificētas pret herbicīdiem noturīgas kultūras, nezāles un herbicīdi: pārskats un ietekme), </w:t>
      </w:r>
      <w:proofErr w:type="spellStart"/>
      <w:r w:rsidRPr="00D01E22">
        <w:rPr>
          <w:i/>
          <w:iCs/>
          <w:sz w:val="24"/>
          <w:lang w:val="lv-LV"/>
        </w:rPr>
        <w:t>Environmental</w:t>
      </w:r>
      <w:proofErr w:type="spellEnd"/>
      <w:r w:rsidRPr="00D01E22">
        <w:rPr>
          <w:i/>
          <w:iCs/>
          <w:sz w:val="24"/>
          <w:lang w:val="lv-LV"/>
        </w:rPr>
        <w:t xml:space="preserve"> </w:t>
      </w:r>
      <w:proofErr w:type="spellStart"/>
      <w:r w:rsidRPr="00D01E22">
        <w:rPr>
          <w:i/>
          <w:iCs/>
          <w:sz w:val="24"/>
          <w:lang w:val="lv-LV"/>
        </w:rPr>
        <w:t>Management</w:t>
      </w:r>
      <w:proofErr w:type="spellEnd"/>
      <w:r w:rsidRPr="00D01E22">
        <w:rPr>
          <w:sz w:val="24"/>
          <w:lang w:val="lv-LV"/>
        </w:rPr>
        <w:t>, 2016. gada janvāris; 57(1), 31.–48. </w:t>
      </w:r>
      <w:r w:rsidRPr="00D01E22">
        <w:rPr>
          <w:sz w:val="24"/>
          <w:lang w:val="lv-LV"/>
        </w:rPr>
        <w:t xml:space="preserve">lpp., </w:t>
      </w:r>
      <w:hyperlink r:id="rId14" w:history="1">
        <w:r w:rsidRPr="00D01E22">
          <w:rPr>
            <w:rStyle w:val="Hyperlink"/>
            <w:sz w:val="24"/>
            <w:lang w:val="lv-LV"/>
          </w:rPr>
          <w:t>https://www.ncbi.nlm.nih.gov/pubmed/26296738</w:t>
        </w:r>
      </w:hyperlink>
      <w:r w:rsidRPr="00D01E22">
        <w:rPr>
          <w:rStyle w:val="Hyperlink"/>
          <w:sz w:val="24"/>
          <w:lang w:val="lv-LV"/>
        </w:rPr>
        <w:t>,</w:t>
      </w:r>
      <w:r w:rsidRPr="00D01E22">
        <w:rPr>
          <w:sz w:val="24"/>
          <w:lang w:val="lv-LV"/>
        </w:rPr>
        <w:t xml:space="preserve"> un </w:t>
      </w:r>
      <w:proofErr w:type="spellStart"/>
      <w:r w:rsidRPr="00D01E22">
        <w:rPr>
          <w:i/>
          <w:iCs/>
          <w:sz w:val="24"/>
          <w:lang w:val="lv-LV"/>
        </w:rPr>
        <w:t>Benbrook</w:t>
      </w:r>
      <w:proofErr w:type="spellEnd"/>
      <w:r w:rsidRPr="00D01E22">
        <w:rPr>
          <w:i/>
          <w:iCs/>
          <w:sz w:val="24"/>
          <w:lang w:val="lv-LV"/>
        </w:rPr>
        <w:t>, C.M.</w:t>
      </w:r>
      <w:r w:rsidRPr="00D01E22">
        <w:rPr>
          <w:sz w:val="24"/>
          <w:lang w:val="lv-LV"/>
        </w:rPr>
        <w:t>, “</w:t>
      </w:r>
      <w:proofErr w:type="spellStart"/>
      <w:r w:rsidRPr="00D01E22">
        <w:rPr>
          <w:i/>
          <w:iCs/>
          <w:sz w:val="24"/>
          <w:lang w:val="lv-LV"/>
        </w:rPr>
        <w:t>Impacts</w:t>
      </w:r>
      <w:proofErr w:type="spellEnd"/>
      <w:r w:rsidRPr="00D01E22">
        <w:rPr>
          <w:i/>
          <w:iCs/>
          <w:sz w:val="24"/>
          <w:lang w:val="lv-LV"/>
        </w:rPr>
        <w:t xml:space="preserve"> </w:t>
      </w:r>
      <w:proofErr w:type="spellStart"/>
      <w:r w:rsidRPr="00D01E22">
        <w:rPr>
          <w:i/>
          <w:iCs/>
          <w:sz w:val="24"/>
          <w:lang w:val="lv-LV"/>
        </w:rPr>
        <w:t>of</w:t>
      </w:r>
      <w:proofErr w:type="spellEnd"/>
      <w:r w:rsidRPr="00D01E22">
        <w:rPr>
          <w:i/>
          <w:iCs/>
          <w:sz w:val="24"/>
          <w:lang w:val="lv-LV"/>
        </w:rPr>
        <w:t xml:space="preserve"> </w:t>
      </w:r>
      <w:proofErr w:type="spellStart"/>
      <w:r w:rsidRPr="00D01E22">
        <w:rPr>
          <w:i/>
          <w:iCs/>
          <w:sz w:val="24"/>
          <w:lang w:val="lv-LV"/>
        </w:rPr>
        <w:t>genetically</w:t>
      </w:r>
      <w:proofErr w:type="spellEnd"/>
      <w:r w:rsidRPr="00D01E22">
        <w:rPr>
          <w:i/>
          <w:iCs/>
          <w:sz w:val="24"/>
          <w:lang w:val="lv-LV"/>
        </w:rPr>
        <w:t xml:space="preserve"> </w:t>
      </w:r>
      <w:proofErr w:type="spellStart"/>
      <w:r w:rsidRPr="00D01E22">
        <w:rPr>
          <w:i/>
          <w:iCs/>
          <w:sz w:val="24"/>
          <w:lang w:val="lv-LV"/>
        </w:rPr>
        <w:t>engineered</w:t>
      </w:r>
      <w:proofErr w:type="spellEnd"/>
      <w:r w:rsidRPr="00D01E22">
        <w:rPr>
          <w:i/>
          <w:iCs/>
          <w:sz w:val="24"/>
          <w:lang w:val="lv-LV"/>
        </w:rPr>
        <w:t xml:space="preserve"> </w:t>
      </w:r>
      <w:proofErr w:type="spellStart"/>
      <w:r w:rsidRPr="00D01E22">
        <w:rPr>
          <w:i/>
          <w:iCs/>
          <w:sz w:val="24"/>
          <w:lang w:val="lv-LV"/>
        </w:rPr>
        <w:t>crops</w:t>
      </w:r>
      <w:proofErr w:type="spellEnd"/>
      <w:r w:rsidRPr="00D01E22">
        <w:rPr>
          <w:i/>
          <w:iCs/>
          <w:sz w:val="24"/>
          <w:lang w:val="lv-LV"/>
        </w:rPr>
        <w:t xml:space="preserve"> </w:t>
      </w:r>
      <w:proofErr w:type="spellStart"/>
      <w:r w:rsidRPr="00D01E22">
        <w:rPr>
          <w:i/>
          <w:iCs/>
          <w:sz w:val="24"/>
          <w:lang w:val="lv-LV"/>
        </w:rPr>
        <w:t>on</w:t>
      </w:r>
      <w:proofErr w:type="spellEnd"/>
      <w:r w:rsidRPr="00D01E22">
        <w:rPr>
          <w:i/>
          <w:iCs/>
          <w:sz w:val="24"/>
          <w:lang w:val="lv-LV"/>
        </w:rPr>
        <w:t xml:space="preserve"> </w:t>
      </w:r>
      <w:proofErr w:type="spellStart"/>
      <w:r w:rsidRPr="00D01E22">
        <w:rPr>
          <w:i/>
          <w:iCs/>
          <w:sz w:val="24"/>
          <w:lang w:val="lv-LV"/>
        </w:rPr>
        <w:t>pesticide</w:t>
      </w:r>
      <w:proofErr w:type="spellEnd"/>
      <w:r w:rsidRPr="00D01E22">
        <w:rPr>
          <w:i/>
          <w:iCs/>
          <w:sz w:val="24"/>
          <w:lang w:val="lv-LV"/>
        </w:rPr>
        <w:t xml:space="preserve"> </w:t>
      </w:r>
      <w:proofErr w:type="spellStart"/>
      <w:r w:rsidRPr="00D01E22">
        <w:rPr>
          <w:i/>
          <w:iCs/>
          <w:sz w:val="24"/>
          <w:lang w:val="lv-LV"/>
        </w:rPr>
        <w:t>use</w:t>
      </w:r>
      <w:proofErr w:type="spellEnd"/>
      <w:r w:rsidRPr="00D01E22">
        <w:rPr>
          <w:i/>
          <w:iCs/>
          <w:sz w:val="24"/>
          <w:lang w:val="lv-LV"/>
        </w:rPr>
        <w:t xml:space="preserve"> </w:t>
      </w:r>
      <w:proofErr w:type="spellStart"/>
      <w:r w:rsidRPr="00D01E22">
        <w:rPr>
          <w:i/>
          <w:iCs/>
          <w:sz w:val="24"/>
          <w:lang w:val="lv-LV"/>
        </w:rPr>
        <w:t>in</w:t>
      </w:r>
      <w:proofErr w:type="spellEnd"/>
      <w:r w:rsidRPr="00D01E22">
        <w:rPr>
          <w:i/>
          <w:iCs/>
          <w:sz w:val="24"/>
          <w:lang w:val="lv-LV"/>
        </w:rPr>
        <w:t xml:space="preserve"> </w:t>
      </w:r>
      <w:proofErr w:type="spellStart"/>
      <w:r w:rsidRPr="00D01E22">
        <w:rPr>
          <w:i/>
          <w:iCs/>
          <w:sz w:val="24"/>
          <w:lang w:val="lv-LV"/>
        </w:rPr>
        <w:t>the</w:t>
      </w:r>
      <w:proofErr w:type="spellEnd"/>
      <w:r w:rsidRPr="00D01E22">
        <w:rPr>
          <w:i/>
          <w:iCs/>
          <w:sz w:val="24"/>
          <w:lang w:val="lv-LV"/>
        </w:rPr>
        <w:t xml:space="preserve"> U.S. - </w:t>
      </w:r>
      <w:proofErr w:type="spellStart"/>
      <w:r w:rsidRPr="00D01E22">
        <w:rPr>
          <w:i/>
          <w:iCs/>
          <w:sz w:val="24"/>
          <w:lang w:val="lv-LV"/>
        </w:rPr>
        <w:t>the</w:t>
      </w:r>
      <w:proofErr w:type="spellEnd"/>
      <w:r w:rsidRPr="00D01E22">
        <w:rPr>
          <w:i/>
          <w:iCs/>
          <w:sz w:val="24"/>
          <w:lang w:val="lv-LV"/>
        </w:rPr>
        <w:t xml:space="preserve"> first </w:t>
      </w:r>
      <w:proofErr w:type="spellStart"/>
      <w:r w:rsidRPr="00D01E22">
        <w:rPr>
          <w:i/>
          <w:iCs/>
          <w:sz w:val="24"/>
          <w:lang w:val="lv-LV"/>
        </w:rPr>
        <w:t>sixteen</w:t>
      </w:r>
      <w:proofErr w:type="spellEnd"/>
      <w:r w:rsidRPr="00D01E22">
        <w:rPr>
          <w:i/>
          <w:iCs/>
          <w:sz w:val="24"/>
          <w:lang w:val="lv-LV"/>
        </w:rPr>
        <w:t xml:space="preserve"> </w:t>
      </w:r>
      <w:proofErr w:type="spellStart"/>
      <w:r w:rsidRPr="00D01E22">
        <w:rPr>
          <w:i/>
          <w:iCs/>
          <w:sz w:val="24"/>
          <w:lang w:val="lv-LV"/>
        </w:rPr>
        <w:t>years</w:t>
      </w:r>
      <w:proofErr w:type="spellEnd"/>
      <w:r w:rsidRPr="00D01E22">
        <w:rPr>
          <w:sz w:val="24"/>
          <w:lang w:val="lv-LV"/>
        </w:rPr>
        <w:t xml:space="preserve">” (Ģenētiski modificētu kultūraugu ietekme uz pesticīdu izmantojumu ASV — pirmie sešpadsmit gadi), </w:t>
      </w:r>
      <w:proofErr w:type="spellStart"/>
      <w:r w:rsidRPr="00D01E22">
        <w:rPr>
          <w:i/>
          <w:iCs/>
          <w:sz w:val="24"/>
          <w:lang w:val="lv-LV"/>
        </w:rPr>
        <w:t>Environmental</w:t>
      </w:r>
      <w:proofErr w:type="spellEnd"/>
      <w:r w:rsidRPr="00D01E22">
        <w:rPr>
          <w:i/>
          <w:iCs/>
          <w:sz w:val="24"/>
          <w:lang w:val="lv-LV"/>
        </w:rPr>
        <w:t xml:space="preserve"> </w:t>
      </w:r>
      <w:proofErr w:type="spellStart"/>
      <w:r w:rsidRPr="00D01E22">
        <w:rPr>
          <w:i/>
          <w:iCs/>
          <w:sz w:val="24"/>
          <w:lang w:val="lv-LV"/>
        </w:rPr>
        <w:t>Sciences</w:t>
      </w:r>
      <w:proofErr w:type="spellEnd"/>
      <w:r w:rsidRPr="00D01E22">
        <w:rPr>
          <w:i/>
          <w:iCs/>
          <w:sz w:val="24"/>
          <w:lang w:val="lv-LV"/>
        </w:rPr>
        <w:t xml:space="preserve"> </w:t>
      </w:r>
      <w:proofErr w:type="spellStart"/>
      <w:r w:rsidRPr="00D01E22">
        <w:rPr>
          <w:i/>
          <w:iCs/>
          <w:sz w:val="24"/>
          <w:lang w:val="lv-LV"/>
        </w:rPr>
        <w:t>Europe</w:t>
      </w:r>
      <w:proofErr w:type="spellEnd"/>
      <w:r w:rsidRPr="00D01E22">
        <w:rPr>
          <w:sz w:val="24"/>
          <w:lang w:val="lv-LV"/>
        </w:rPr>
        <w:t xml:space="preserve">, 2012. gada 28. septembris, Sējums 24(1), </w:t>
      </w:r>
      <w:hyperlink r:id="rId15" w:history="1">
        <w:r w:rsidRPr="00D01E22">
          <w:rPr>
            <w:rStyle w:val="Hyperlink"/>
            <w:sz w:val="24"/>
            <w:lang w:val="lv-LV"/>
          </w:rPr>
          <w:t>https://enveurope.springeropen.com/articles/10.1186/2190-4715-24-24</w:t>
        </w:r>
      </w:hyperlink>
      <w:r w:rsidRPr="00D01E22">
        <w:rPr>
          <w:sz w:val="24"/>
          <w:lang w:val="lv-LV"/>
        </w:rPr>
        <w:t xml:space="preserve">.  </w:t>
      </w:r>
    </w:p>
  </w:footnote>
  <w:footnote w:id="8">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i/>
          <w:iCs/>
          <w:sz w:val="24"/>
          <w:lang w:val="lv-LV"/>
        </w:rPr>
        <w:t xml:space="preserve"> </w:t>
      </w:r>
      <w:r w:rsidR="00D01E22" w:rsidRPr="00D01E22">
        <w:rPr>
          <w:i/>
          <w:iCs/>
          <w:sz w:val="24"/>
          <w:lang w:val="lv-LV"/>
        </w:rPr>
        <w:tab/>
      </w:r>
      <w:proofErr w:type="spellStart"/>
      <w:r w:rsidRPr="00D01E22">
        <w:rPr>
          <w:i/>
          <w:iCs/>
          <w:sz w:val="24"/>
          <w:lang w:val="lv-LV"/>
        </w:rPr>
        <w:t>Lerro</w:t>
      </w:r>
      <w:proofErr w:type="spellEnd"/>
      <w:r w:rsidRPr="00D01E22">
        <w:rPr>
          <w:i/>
          <w:iCs/>
          <w:sz w:val="24"/>
          <w:lang w:val="lv-LV"/>
        </w:rPr>
        <w:t xml:space="preserve">, C.C., </w:t>
      </w:r>
      <w:proofErr w:type="spellStart"/>
      <w:r w:rsidRPr="00D01E22">
        <w:rPr>
          <w:i/>
          <w:iCs/>
          <w:sz w:val="24"/>
          <w:lang w:val="lv-LV"/>
        </w:rPr>
        <w:t>Hofmann</w:t>
      </w:r>
      <w:proofErr w:type="spellEnd"/>
      <w:r w:rsidRPr="00D01E22">
        <w:rPr>
          <w:i/>
          <w:iCs/>
          <w:sz w:val="24"/>
          <w:lang w:val="lv-LV"/>
        </w:rPr>
        <w:t xml:space="preserve">, J.N., </w:t>
      </w:r>
      <w:proofErr w:type="spellStart"/>
      <w:r w:rsidRPr="00D01E22">
        <w:rPr>
          <w:i/>
          <w:iCs/>
          <w:sz w:val="24"/>
          <w:lang w:val="lv-LV"/>
        </w:rPr>
        <w:t>Andreotti</w:t>
      </w:r>
      <w:proofErr w:type="spellEnd"/>
      <w:r w:rsidRPr="00D01E22">
        <w:rPr>
          <w:i/>
          <w:iCs/>
          <w:sz w:val="24"/>
          <w:lang w:val="lv-LV"/>
        </w:rPr>
        <w:t xml:space="preserve">, G., </w:t>
      </w:r>
      <w:proofErr w:type="spellStart"/>
      <w:r w:rsidRPr="00D01E22">
        <w:rPr>
          <w:i/>
          <w:iCs/>
          <w:sz w:val="24"/>
          <w:lang w:val="lv-LV"/>
        </w:rPr>
        <w:t>Koutros</w:t>
      </w:r>
      <w:proofErr w:type="spellEnd"/>
      <w:r w:rsidRPr="00D01E22">
        <w:rPr>
          <w:i/>
          <w:iCs/>
          <w:sz w:val="24"/>
          <w:lang w:val="lv-LV"/>
        </w:rPr>
        <w:t xml:space="preserve">, S., Parks, C.G., </w:t>
      </w:r>
      <w:proofErr w:type="spellStart"/>
      <w:r w:rsidRPr="00D01E22">
        <w:rPr>
          <w:i/>
          <w:iCs/>
          <w:sz w:val="24"/>
          <w:lang w:val="lv-LV"/>
        </w:rPr>
        <w:t>Blair</w:t>
      </w:r>
      <w:proofErr w:type="spellEnd"/>
      <w:r w:rsidRPr="00D01E22">
        <w:rPr>
          <w:i/>
          <w:iCs/>
          <w:sz w:val="24"/>
          <w:lang w:val="lv-LV"/>
        </w:rPr>
        <w:t xml:space="preserve">, A., Albert, P.S., </w:t>
      </w:r>
      <w:proofErr w:type="spellStart"/>
      <w:r w:rsidRPr="00D01E22">
        <w:rPr>
          <w:i/>
          <w:iCs/>
          <w:sz w:val="24"/>
          <w:lang w:val="lv-LV"/>
        </w:rPr>
        <w:t>Lubin</w:t>
      </w:r>
      <w:proofErr w:type="spellEnd"/>
      <w:r w:rsidRPr="00D01E22">
        <w:rPr>
          <w:i/>
          <w:iCs/>
          <w:sz w:val="24"/>
          <w:lang w:val="lv-LV"/>
        </w:rPr>
        <w:t xml:space="preserve">, J.H., </w:t>
      </w:r>
      <w:proofErr w:type="spellStart"/>
      <w:r w:rsidRPr="00D01E22">
        <w:rPr>
          <w:i/>
          <w:iCs/>
          <w:sz w:val="24"/>
          <w:lang w:val="lv-LV"/>
        </w:rPr>
        <w:t>Sandler</w:t>
      </w:r>
      <w:proofErr w:type="spellEnd"/>
      <w:r w:rsidRPr="00D01E22">
        <w:rPr>
          <w:i/>
          <w:iCs/>
          <w:sz w:val="24"/>
          <w:lang w:val="lv-LV"/>
        </w:rPr>
        <w:t xml:space="preserve">, D.P., </w:t>
      </w:r>
      <w:proofErr w:type="spellStart"/>
      <w:r w:rsidRPr="00D01E22">
        <w:rPr>
          <w:i/>
          <w:iCs/>
          <w:sz w:val="24"/>
          <w:lang w:val="lv-LV"/>
        </w:rPr>
        <w:t>Beane</w:t>
      </w:r>
      <w:proofErr w:type="spellEnd"/>
      <w:r w:rsidRPr="00D01E22">
        <w:rPr>
          <w:i/>
          <w:iCs/>
          <w:sz w:val="24"/>
          <w:lang w:val="lv-LV"/>
        </w:rPr>
        <w:t xml:space="preserve"> </w:t>
      </w:r>
      <w:proofErr w:type="spellStart"/>
      <w:r w:rsidRPr="00D01E22">
        <w:rPr>
          <w:i/>
          <w:iCs/>
          <w:sz w:val="24"/>
          <w:lang w:val="lv-LV"/>
        </w:rPr>
        <w:t>Freeman</w:t>
      </w:r>
      <w:proofErr w:type="spellEnd"/>
      <w:r w:rsidRPr="00D01E22">
        <w:rPr>
          <w:i/>
          <w:iCs/>
          <w:sz w:val="24"/>
          <w:lang w:val="lv-LV"/>
        </w:rPr>
        <w:t>, L.E.</w:t>
      </w:r>
      <w:r w:rsidRPr="00D01E22">
        <w:rPr>
          <w:sz w:val="24"/>
          <w:lang w:val="lv-LV"/>
        </w:rPr>
        <w:t>, “</w:t>
      </w:r>
      <w:proofErr w:type="spellStart"/>
      <w:r w:rsidRPr="00D01E22">
        <w:rPr>
          <w:i/>
          <w:iCs/>
          <w:sz w:val="24"/>
          <w:lang w:val="lv-LV"/>
        </w:rPr>
        <w:t>Dicamba</w:t>
      </w:r>
      <w:proofErr w:type="spellEnd"/>
      <w:r w:rsidRPr="00D01E22">
        <w:rPr>
          <w:i/>
          <w:iCs/>
          <w:sz w:val="24"/>
          <w:lang w:val="lv-LV"/>
        </w:rPr>
        <w:t xml:space="preserve"> </w:t>
      </w:r>
      <w:proofErr w:type="spellStart"/>
      <w:r w:rsidRPr="00D01E22">
        <w:rPr>
          <w:i/>
          <w:iCs/>
          <w:sz w:val="24"/>
          <w:lang w:val="lv-LV"/>
        </w:rPr>
        <w:t>use</w:t>
      </w:r>
      <w:proofErr w:type="spellEnd"/>
      <w:r w:rsidRPr="00D01E22">
        <w:rPr>
          <w:i/>
          <w:iCs/>
          <w:sz w:val="24"/>
          <w:lang w:val="lv-LV"/>
        </w:rPr>
        <w:t xml:space="preserve"> </w:t>
      </w:r>
      <w:proofErr w:type="spellStart"/>
      <w:r w:rsidRPr="00D01E22">
        <w:rPr>
          <w:i/>
          <w:iCs/>
          <w:sz w:val="24"/>
          <w:lang w:val="lv-LV"/>
        </w:rPr>
        <w:t>and</w:t>
      </w:r>
      <w:proofErr w:type="spellEnd"/>
      <w:r w:rsidRPr="00D01E22">
        <w:rPr>
          <w:i/>
          <w:iCs/>
          <w:sz w:val="24"/>
          <w:lang w:val="lv-LV"/>
        </w:rPr>
        <w:t xml:space="preserve"> </w:t>
      </w:r>
      <w:proofErr w:type="spellStart"/>
      <w:r w:rsidRPr="00D01E22">
        <w:rPr>
          <w:i/>
          <w:iCs/>
          <w:sz w:val="24"/>
          <w:lang w:val="lv-LV"/>
        </w:rPr>
        <w:t>cancer</w:t>
      </w:r>
      <w:proofErr w:type="spellEnd"/>
      <w:r w:rsidRPr="00D01E22">
        <w:rPr>
          <w:i/>
          <w:iCs/>
          <w:sz w:val="24"/>
          <w:lang w:val="lv-LV"/>
        </w:rPr>
        <w:t xml:space="preserve"> incidence </w:t>
      </w:r>
      <w:proofErr w:type="spellStart"/>
      <w:r w:rsidRPr="00D01E22">
        <w:rPr>
          <w:i/>
          <w:iCs/>
          <w:sz w:val="24"/>
          <w:lang w:val="lv-LV"/>
        </w:rPr>
        <w:t>in</w:t>
      </w:r>
      <w:proofErr w:type="spellEnd"/>
      <w:r w:rsidRPr="00D01E22">
        <w:rPr>
          <w:i/>
          <w:iCs/>
          <w:sz w:val="24"/>
          <w:lang w:val="lv-LV"/>
        </w:rPr>
        <w:t xml:space="preserve"> </w:t>
      </w:r>
      <w:proofErr w:type="spellStart"/>
      <w:r w:rsidRPr="00D01E22">
        <w:rPr>
          <w:i/>
          <w:iCs/>
          <w:sz w:val="24"/>
          <w:lang w:val="lv-LV"/>
        </w:rPr>
        <w:t>the</w:t>
      </w:r>
      <w:proofErr w:type="spellEnd"/>
      <w:r w:rsidRPr="00D01E22">
        <w:rPr>
          <w:i/>
          <w:iCs/>
          <w:sz w:val="24"/>
          <w:lang w:val="lv-LV"/>
        </w:rPr>
        <w:t xml:space="preserve"> </w:t>
      </w:r>
      <w:proofErr w:type="spellStart"/>
      <w:r w:rsidRPr="00D01E22">
        <w:rPr>
          <w:i/>
          <w:iCs/>
          <w:sz w:val="24"/>
          <w:lang w:val="lv-LV"/>
        </w:rPr>
        <w:t>agricultural</w:t>
      </w:r>
      <w:proofErr w:type="spellEnd"/>
      <w:r w:rsidRPr="00D01E22">
        <w:rPr>
          <w:i/>
          <w:iCs/>
          <w:sz w:val="24"/>
          <w:lang w:val="lv-LV"/>
        </w:rPr>
        <w:t xml:space="preserve"> </w:t>
      </w:r>
      <w:proofErr w:type="spellStart"/>
      <w:r w:rsidRPr="00D01E22">
        <w:rPr>
          <w:i/>
          <w:iCs/>
          <w:sz w:val="24"/>
          <w:lang w:val="lv-LV"/>
        </w:rPr>
        <w:t>health</w:t>
      </w:r>
      <w:proofErr w:type="spellEnd"/>
      <w:r w:rsidRPr="00D01E22">
        <w:rPr>
          <w:i/>
          <w:iCs/>
          <w:sz w:val="24"/>
          <w:lang w:val="lv-LV"/>
        </w:rPr>
        <w:t xml:space="preserve"> </w:t>
      </w:r>
      <w:proofErr w:type="spellStart"/>
      <w:r w:rsidRPr="00D01E22">
        <w:rPr>
          <w:i/>
          <w:iCs/>
          <w:sz w:val="24"/>
          <w:lang w:val="lv-LV"/>
        </w:rPr>
        <w:t>study</w:t>
      </w:r>
      <w:proofErr w:type="spellEnd"/>
      <w:r w:rsidRPr="00D01E22">
        <w:rPr>
          <w:i/>
          <w:iCs/>
          <w:sz w:val="24"/>
          <w:lang w:val="lv-LV"/>
        </w:rPr>
        <w:t>:</w:t>
      </w:r>
      <w:r w:rsidRPr="00D01E22">
        <w:rPr>
          <w:sz w:val="24"/>
          <w:lang w:val="lv-LV"/>
        </w:rPr>
        <w:t xml:space="preserve"> </w:t>
      </w:r>
      <w:proofErr w:type="spellStart"/>
      <w:r w:rsidRPr="00D01E22">
        <w:rPr>
          <w:i/>
          <w:iCs/>
          <w:sz w:val="24"/>
          <w:lang w:val="lv-LV"/>
        </w:rPr>
        <w:t>an</w:t>
      </w:r>
      <w:proofErr w:type="spellEnd"/>
      <w:r w:rsidRPr="00D01E22">
        <w:rPr>
          <w:i/>
          <w:iCs/>
          <w:sz w:val="24"/>
          <w:lang w:val="lv-LV"/>
        </w:rPr>
        <w:t xml:space="preserve"> </w:t>
      </w:r>
      <w:proofErr w:type="spellStart"/>
      <w:r w:rsidRPr="00D01E22">
        <w:rPr>
          <w:i/>
          <w:iCs/>
          <w:sz w:val="24"/>
          <w:lang w:val="lv-LV"/>
        </w:rPr>
        <w:t>updated</w:t>
      </w:r>
      <w:proofErr w:type="spellEnd"/>
      <w:r w:rsidRPr="00D01E22">
        <w:rPr>
          <w:i/>
          <w:iCs/>
          <w:sz w:val="24"/>
          <w:lang w:val="lv-LV"/>
        </w:rPr>
        <w:t xml:space="preserve"> </w:t>
      </w:r>
      <w:proofErr w:type="spellStart"/>
      <w:r w:rsidRPr="00D01E22">
        <w:rPr>
          <w:i/>
          <w:iCs/>
          <w:sz w:val="24"/>
          <w:lang w:val="lv-LV"/>
        </w:rPr>
        <w:t>analysis</w:t>
      </w:r>
      <w:proofErr w:type="spellEnd"/>
      <w:r w:rsidRPr="00D01E22">
        <w:rPr>
          <w:sz w:val="24"/>
          <w:lang w:val="lv-LV"/>
        </w:rPr>
        <w:t>” (</w:t>
      </w:r>
      <w:proofErr w:type="spellStart"/>
      <w:r w:rsidRPr="00D01E22">
        <w:rPr>
          <w:sz w:val="24"/>
          <w:lang w:val="lv-LV"/>
        </w:rPr>
        <w:t>Dikambas</w:t>
      </w:r>
      <w:proofErr w:type="spellEnd"/>
      <w:r w:rsidRPr="00D01E22">
        <w:rPr>
          <w:sz w:val="24"/>
          <w:lang w:val="lv-LV"/>
        </w:rPr>
        <w:t xml:space="preserve"> lietošanas un saslimstība ar vēzi lauksaimniecības veselības pētījumā: atjaunināta analīze”, </w:t>
      </w:r>
      <w:proofErr w:type="spellStart"/>
      <w:r w:rsidRPr="00D01E22">
        <w:rPr>
          <w:i/>
          <w:iCs/>
          <w:sz w:val="24"/>
          <w:lang w:val="lv-LV"/>
        </w:rPr>
        <w:t>International</w:t>
      </w:r>
      <w:proofErr w:type="spellEnd"/>
      <w:r w:rsidRPr="00D01E22">
        <w:rPr>
          <w:i/>
          <w:iCs/>
          <w:sz w:val="24"/>
          <w:lang w:val="lv-LV"/>
        </w:rPr>
        <w:t xml:space="preserve"> </w:t>
      </w:r>
      <w:proofErr w:type="spellStart"/>
      <w:r w:rsidRPr="00D01E22">
        <w:rPr>
          <w:i/>
          <w:iCs/>
          <w:sz w:val="24"/>
          <w:lang w:val="lv-LV"/>
        </w:rPr>
        <w:t>Journal</w:t>
      </w:r>
      <w:proofErr w:type="spellEnd"/>
      <w:r w:rsidRPr="00D01E22">
        <w:rPr>
          <w:i/>
          <w:iCs/>
          <w:sz w:val="24"/>
          <w:lang w:val="lv-LV"/>
        </w:rPr>
        <w:t xml:space="preserve"> </w:t>
      </w:r>
      <w:proofErr w:type="spellStart"/>
      <w:r w:rsidRPr="00D01E22">
        <w:rPr>
          <w:i/>
          <w:iCs/>
          <w:sz w:val="24"/>
          <w:lang w:val="lv-LV"/>
        </w:rPr>
        <w:t>of</w:t>
      </w:r>
      <w:proofErr w:type="spellEnd"/>
      <w:r w:rsidRPr="00D01E22">
        <w:rPr>
          <w:i/>
          <w:iCs/>
          <w:sz w:val="24"/>
          <w:lang w:val="lv-LV"/>
        </w:rPr>
        <w:t xml:space="preserve"> </w:t>
      </w:r>
      <w:proofErr w:type="spellStart"/>
      <w:r w:rsidRPr="00D01E22">
        <w:rPr>
          <w:i/>
          <w:iCs/>
          <w:sz w:val="24"/>
          <w:lang w:val="lv-LV"/>
        </w:rPr>
        <w:t>Epidemiology</w:t>
      </w:r>
      <w:proofErr w:type="spellEnd"/>
      <w:r w:rsidRPr="00D01E22">
        <w:rPr>
          <w:sz w:val="24"/>
          <w:lang w:val="lv-LV"/>
        </w:rPr>
        <w:t>, 2020. gada augusts; 49(4), 1326.–1337. </w:t>
      </w:r>
      <w:r w:rsidRPr="00D01E22">
        <w:rPr>
          <w:sz w:val="24"/>
          <w:lang w:val="lv-LV"/>
        </w:rPr>
        <w:t xml:space="preserve">lpp., </w:t>
      </w:r>
      <w:hyperlink r:id="rId16" w:history="1">
        <w:r w:rsidRPr="00D01E22">
          <w:rPr>
            <w:rStyle w:val="Hyperlink"/>
            <w:sz w:val="24"/>
            <w:lang w:val="lv-LV"/>
          </w:rPr>
          <w:t>https://academic.oup.com/ije/advance-article-abstract/doi/10.1093/ije/dyaa066/5827818?redirectedFrom=fulltext</w:t>
        </w:r>
      </w:hyperlink>
      <w:r w:rsidRPr="00D01E22">
        <w:rPr>
          <w:rStyle w:val="Hyperlink"/>
          <w:sz w:val="24"/>
          <w:lang w:val="lv-LV"/>
        </w:rPr>
        <w:t>.</w:t>
      </w:r>
    </w:p>
  </w:footnote>
  <w:footnote w:id="9">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sz w:val="24"/>
          <w:lang w:val="lv-LV"/>
        </w:rPr>
        <w:t xml:space="preserve"> </w:t>
      </w:r>
      <w:r w:rsidR="00D01E22" w:rsidRPr="00D01E22">
        <w:rPr>
          <w:sz w:val="24"/>
          <w:lang w:val="lv-LV"/>
        </w:rPr>
        <w:tab/>
      </w:r>
      <w:hyperlink r:id="rId17" w:history="1">
        <w:r w:rsidRPr="00D01E22">
          <w:rPr>
            <w:rStyle w:val="Hyperlink"/>
            <w:sz w:val="24"/>
            <w:lang w:val="lv-LV"/>
          </w:rPr>
          <w:t>https://hh-ra.org/projects/measuring-pesticide-use/interactive-herbicide-use-tables/</w:t>
        </w:r>
      </w:hyperlink>
      <w:r w:rsidRPr="00D01E22">
        <w:rPr>
          <w:rStyle w:val="Hyperlink"/>
          <w:sz w:val="24"/>
          <w:lang w:val="lv-LV"/>
        </w:rPr>
        <w:t>.</w:t>
      </w:r>
    </w:p>
  </w:footnote>
  <w:footnote w:id="10">
    <w:p w:rsidR="003029DF" w:rsidRPr="00D01E22" w:rsidRDefault="003029DF" w:rsidP="00D01E22">
      <w:pPr>
        <w:pStyle w:val="FootnoteText"/>
        <w:ind w:left="567" w:hanging="567"/>
        <w:rPr>
          <w:sz w:val="24"/>
          <w:vertAlign w:val="superscript"/>
          <w:lang w:val="lv-LV"/>
        </w:rPr>
      </w:pPr>
      <w:r w:rsidRPr="00D01E22">
        <w:rPr>
          <w:rStyle w:val="FootnoteReference"/>
          <w:rFonts w:eastAsiaTheme="majorEastAsia"/>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 xml:space="preserve">Sk., piemēram: </w:t>
      </w:r>
      <w:hyperlink r:id="rId18" w:history="1">
        <w:r w:rsidRPr="00D01E22">
          <w:rPr>
            <w:rStyle w:val="Hyperlink"/>
            <w:sz w:val="24"/>
            <w:lang w:val="lv-LV"/>
          </w:rPr>
          <w:t>https://www.sciencedirect.com/science/article/pii/S1383574218300887</w:t>
        </w:r>
      </w:hyperlink>
      <w:r w:rsidRPr="00D01E22">
        <w:rPr>
          <w:rStyle w:val="Hyperlink"/>
          <w:sz w:val="24"/>
          <w:lang w:val="lv-LV"/>
        </w:rPr>
        <w:t>,</w:t>
      </w:r>
      <w:r w:rsidRPr="00D01E22">
        <w:rPr>
          <w:sz w:val="24"/>
          <w:lang w:val="lv-LV"/>
        </w:rPr>
        <w:t xml:space="preserve"> </w:t>
      </w:r>
    </w:p>
    <w:p w:rsidR="003029DF" w:rsidRPr="00D01E22" w:rsidRDefault="00D01E22" w:rsidP="00D01E22">
      <w:pPr>
        <w:pStyle w:val="FootnoteText"/>
        <w:ind w:left="567" w:hanging="567"/>
        <w:rPr>
          <w:sz w:val="24"/>
          <w:vertAlign w:val="superscript"/>
          <w:lang w:val="lv-LV"/>
        </w:rPr>
      </w:pPr>
      <w:r w:rsidRPr="00D01E22">
        <w:rPr>
          <w:sz w:val="24"/>
          <w:lang w:val="lv-LV"/>
        </w:rPr>
        <w:t xml:space="preserve"> </w:t>
      </w:r>
      <w:r w:rsidRPr="00D01E22">
        <w:rPr>
          <w:sz w:val="24"/>
          <w:lang w:val="lv-LV"/>
        </w:rPr>
        <w:tab/>
      </w:r>
      <w:hyperlink r:id="rId19" w:history="1">
        <w:r w:rsidR="003029DF" w:rsidRPr="00D01E22">
          <w:rPr>
            <w:rStyle w:val="Hyperlink"/>
            <w:sz w:val="24"/>
            <w:lang w:val="lv-LV"/>
          </w:rPr>
          <w:t>https://academic.oup.com/ije/advance-article/doi/10.1093/ije/dyz017/5382278</w:t>
        </w:r>
      </w:hyperlink>
      <w:r w:rsidR="003029DF" w:rsidRPr="00D01E22">
        <w:rPr>
          <w:rStyle w:val="Hyperlink"/>
          <w:sz w:val="24"/>
          <w:lang w:val="lv-LV"/>
        </w:rPr>
        <w:t>,</w:t>
      </w:r>
      <w:r w:rsidR="003029DF" w:rsidRPr="00D01E22">
        <w:rPr>
          <w:sz w:val="24"/>
          <w:lang w:val="lv-LV"/>
        </w:rPr>
        <w:t xml:space="preserve"> </w:t>
      </w:r>
    </w:p>
    <w:p w:rsidR="003029DF" w:rsidRPr="00D01E22" w:rsidRDefault="00D01E22" w:rsidP="00D01E22">
      <w:pPr>
        <w:pStyle w:val="FootnoteText"/>
        <w:ind w:left="567" w:hanging="567"/>
        <w:rPr>
          <w:sz w:val="24"/>
          <w:vertAlign w:val="superscript"/>
          <w:lang w:val="lv-LV"/>
        </w:rPr>
      </w:pPr>
      <w:r w:rsidRPr="00D01E22">
        <w:rPr>
          <w:sz w:val="24"/>
          <w:lang w:val="lv-LV"/>
        </w:rPr>
        <w:t xml:space="preserve"> </w:t>
      </w:r>
      <w:r w:rsidRPr="00D01E22">
        <w:rPr>
          <w:sz w:val="24"/>
          <w:lang w:val="lv-LV"/>
        </w:rPr>
        <w:tab/>
      </w:r>
      <w:hyperlink r:id="rId20" w:history="1">
        <w:r w:rsidR="003029DF" w:rsidRPr="00D01E22">
          <w:rPr>
            <w:rStyle w:val="Hyperlink"/>
            <w:sz w:val="24"/>
            <w:lang w:val="lv-LV"/>
          </w:rPr>
          <w:t>https://journals.plos.org/plosone/article?id=10.1371/journal.pone.0219610</w:t>
        </w:r>
      </w:hyperlink>
      <w:r w:rsidR="003029DF" w:rsidRPr="00D01E22">
        <w:rPr>
          <w:sz w:val="24"/>
          <w:lang w:val="lv-LV"/>
        </w:rPr>
        <w:t xml:space="preserve"> un</w:t>
      </w:r>
    </w:p>
    <w:p w:rsidR="003029DF" w:rsidRPr="00D01E22" w:rsidRDefault="00D01E22" w:rsidP="00D01E22">
      <w:pPr>
        <w:pStyle w:val="FootnoteText"/>
        <w:ind w:left="567" w:hanging="567"/>
        <w:rPr>
          <w:sz w:val="24"/>
          <w:lang w:val="lv-LV"/>
        </w:rPr>
      </w:pPr>
      <w:r w:rsidRPr="00D01E22">
        <w:rPr>
          <w:sz w:val="24"/>
          <w:lang w:val="lv-LV"/>
        </w:rPr>
        <w:t xml:space="preserve"> </w:t>
      </w:r>
      <w:r w:rsidRPr="00D01E22">
        <w:rPr>
          <w:sz w:val="24"/>
          <w:lang w:val="lv-LV"/>
        </w:rPr>
        <w:tab/>
      </w:r>
      <w:hyperlink r:id="rId21" w:history="1">
        <w:r w:rsidR="003029DF" w:rsidRPr="00D01E22">
          <w:rPr>
            <w:rStyle w:val="Hyperlink"/>
            <w:sz w:val="24"/>
            <w:lang w:val="lv-LV"/>
          </w:rPr>
          <w:t>https://www.ncbi.nlm.nih.gov/pmc/articles/PMC6612199/</w:t>
        </w:r>
      </w:hyperlink>
      <w:r w:rsidR="003029DF" w:rsidRPr="00D01E22">
        <w:rPr>
          <w:sz w:val="24"/>
          <w:lang w:val="lv-LV"/>
        </w:rPr>
        <w:t>.</w:t>
      </w:r>
    </w:p>
  </w:footnote>
  <w:footnote w:id="11">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sz w:val="24"/>
          <w:lang w:val="lv-LV"/>
        </w:rPr>
        <w:t xml:space="preserve"> </w:t>
      </w:r>
      <w:r w:rsidR="00D01E22" w:rsidRPr="00D01E22">
        <w:rPr>
          <w:sz w:val="24"/>
          <w:lang w:val="lv-LV"/>
        </w:rPr>
        <w:tab/>
      </w:r>
      <w:hyperlink r:id="rId22" w:history="1">
        <w:r w:rsidRPr="00D01E22">
          <w:rPr>
            <w:rStyle w:val="Hyperlink"/>
            <w:sz w:val="24"/>
            <w:lang w:val="lv-LV"/>
          </w:rPr>
          <w:t>https://www.ncbi.nlm.nih.gov/pubmed/24491722</w:t>
        </w:r>
      </w:hyperlink>
      <w:r w:rsidRPr="00D01E22">
        <w:rPr>
          <w:rStyle w:val="Hyperlink"/>
          <w:sz w:val="24"/>
          <w:lang w:val="lv-LV"/>
        </w:rPr>
        <w:t>.</w:t>
      </w:r>
      <w:r w:rsidRPr="00D01E22">
        <w:rPr>
          <w:sz w:val="24"/>
          <w:lang w:val="lv-LV"/>
        </w:rPr>
        <w:t xml:space="preserve"> </w:t>
      </w:r>
    </w:p>
  </w:footnote>
  <w:footnote w:id="12">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sz w:val="24"/>
          <w:lang w:val="lv-LV"/>
        </w:rPr>
        <w:t xml:space="preserve"> </w:t>
      </w:r>
      <w:r w:rsidR="00D01E22" w:rsidRPr="00D01E22">
        <w:rPr>
          <w:sz w:val="24"/>
          <w:lang w:val="lv-LV"/>
        </w:rPr>
        <w:tab/>
      </w:r>
      <w:hyperlink r:id="rId23" w:history="1">
        <w:r w:rsidRPr="00D01E22">
          <w:rPr>
            <w:rStyle w:val="Hyperlink"/>
            <w:sz w:val="24"/>
            <w:lang w:val="lv-LV"/>
          </w:rPr>
          <w:t>https://www.testbiotech.org/en/resource/high-levels-residues-spraying-glyphosate-found-soybeans-argentina/</w:t>
        </w:r>
      </w:hyperlink>
      <w:r w:rsidRPr="00D01E22">
        <w:rPr>
          <w:sz w:val="24"/>
          <w:lang w:val="lv-LV"/>
        </w:rPr>
        <w:t>.</w:t>
      </w:r>
    </w:p>
  </w:footnote>
  <w:footnote w:id="13">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 xml:space="preserve">Tas patiešām attiecas uz </w:t>
      </w:r>
      <w:proofErr w:type="spellStart"/>
      <w:r w:rsidRPr="00D01E22">
        <w:rPr>
          <w:sz w:val="24"/>
          <w:lang w:val="lv-LV"/>
        </w:rPr>
        <w:t>glifosātu</w:t>
      </w:r>
      <w:proofErr w:type="spellEnd"/>
      <w:r w:rsidRPr="00D01E22">
        <w:rPr>
          <w:sz w:val="24"/>
          <w:lang w:val="lv-LV"/>
        </w:rPr>
        <w:t xml:space="preserve">, kā norādīts </w:t>
      </w:r>
      <w:r w:rsidRPr="00D01E22">
        <w:rPr>
          <w:i/>
          <w:iCs/>
          <w:sz w:val="24"/>
          <w:lang w:val="lv-LV"/>
        </w:rPr>
        <w:t>EFSA</w:t>
      </w:r>
      <w:r w:rsidRPr="00D01E22">
        <w:rPr>
          <w:sz w:val="24"/>
          <w:lang w:val="lv-LV"/>
        </w:rPr>
        <w:t xml:space="preserve"> publikācijā “</w:t>
      </w:r>
      <w:proofErr w:type="spellStart"/>
      <w:r w:rsidRPr="00D01E22">
        <w:rPr>
          <w:i/>
          <w:iCs/>
          <w:sz w:val="24"/>
          <w:lang w:val="lv-LV"/>
        </w:rPr>
        <w:t>Review</w:t>
      </w:r>
      <w:proofErr w:type="spellEnd"/>
      <w:r w:rsidRPr="00D01E22">
        <w:rPr>
          <w:i/>
          <w:iCs/>
          <w:sz w:val="24"/>
          <w:lang w:val="lv-LV"/>
        </w:rPr>
        <w:t xml:space="preserve"> </w:t>
      </w:r>
      <w:proofErr w:type="spellStart"/>
      <w:r w:rsidRPr="00D01E22">
        <w:rPr>
          <w:i/>
          <w:iCs/>
          <w:sz w:val="24"/>
          <w:lang w:val="lv-LV"/>
        </w:rPr>
        <w:t>of</w:t>
      </w:r>
      <w:proofErr w:type="spellEnd"/>
      <w:r w:rsidRPr="00D01E22">
        <w:rPr>
          <w:i/>
          <w:iCs/>
          <w:sz w:val="24"/>
          <w:lang w:val="lv-LV"/>
        </w:rPr>
        <w:t xml:space="preserve"> </w:t>
      </w:r>
      <w:proofErr w:type="spellStart"/>
      <w:r w:rsidRPr="00D01E22">
        <w:rPr>
          <w:i/>
          <w:iCs/>
          <w:sz w:val="24"/>
          <w:lang w:val="lv-LV"/>
        </w:rPr>
        <w:t>the</w:t>
      </w:r>
      <w:proofErr w:type="spellEnd"/>
      <w:r w:rsidRPr="00D01E22">
        <w:rPr>
          <w:i/>
          <w:iCs/>
          <w:sz w:val="24"/>
          <w:lang w:val="lv-LV"/>
        </w:rPr>
        <w:t xml:space="preserve"> </w:t>
      </w:r>
      <w:proofErr w:type="spellStart"/>
      <w:r w:rsidRPr="00D01E22">
        <w:rPr>
          <w:i/>
          <w:iCs/>
          <w:sz w:val="24"/>
          <w:lang w:val="lv-LV"/>
        </w:rPr>
        <w:t>existing</w:t>
      </w:r>
      <w:proofErr w:type="spellEnd"/>
      <w:r w:rsidRPr="00D01E22">
        <w:rPr>
          <w:i/>
          <w:iCs/>
          <w:sz w:val="24"/>
          <w:lang w:val="lv-LV"/>
        </w:rPr>
        <w:t xml:space="preserve"> </w:t>
      </w:r>
      <w:proofErr w:type="spellStart"/>
      <w:r w:rsidRPr="00D01E22">
        <w:rPr>
          <w:i/>
          <w:iCs/>
          <w:sz w:val="24"/>
          <w:lang w:val="lv-LV"/>
        </w:rPr>
        <w:t>maximum</w:t>
      </w:r>
      <w:proofErr w:type="spellEnd"/>
      <w:r w:rsidRPr="00D01E22">
        <w:rPr>
          <w:i/>
          <w:iCs/>
          <w:sz w:val="24"/>
          <w:lang w:val="lv-LV"/>
        </w:rPr>
        <w:t xml:space="preserve"> </w:t>
      </w:r>
      <w:proofErr w:type="spellStart"/>
      <w:r w:rsidRPr="00D01E22">
        <w:rPr>
          <w:i/>
          <w:iCs/>
          <w:sz w:val="24"/>
          <w:lang w:val="lv-LV"/>
        </w:rPr>
        <w:t>residue</w:t>
      </w:r>
      <w:proofErr w:type="spellEnd"/>
      <w:r w:rsidRPr="00D01E22">
        <w:rPr>
          <w:i/>
          <w:iCs/>
          <w:sz w:val="24"/>
          <w:lang w:val="lv-LV"/>
        </w:rPr>
        <w:t xml:space="preserve"> </w:t>
      </w:r>
      <w:proofErr w:type="spellStart"/>
      <w:r w:rsidRPr="00D01E22">
        <w:rPr>
          <w:i/>
          <w:iCs/>
          <w:sz w:val="24"/>
          <w:lang w:val="lv-LV"/>
        </w:rPr>
        <w:t>levels</w:t>
      </w:r>
      <w:proofErr w:type="spellEnd"/>
      <w:r w:rsidRPr="00D01E22">
        <w:rPr>
          <w:i/>
          <w:iCs/>
          <w:sz w:val="24"/>
          <w:lang w:val="lv-LV"/>
        </w:rPr>
        <w:t xml:space="preserve"> </w:t>
      </w:r>
      <w:proofErr w:type="spellStart"/>
      <w:r w:rsidRPr="00D01E22">
        <w:rPr>
          <w:i/>
          <w:iCs/>
          <w:sz w:val="24"/>
          <w:lang w:val="lv-LV"/>
        </w:rPr>
        <w:t>for</w:t>
      </w:r>
      <w:proofErr w:type="spellEnd"/>
      <w:r w:rsidRPr="00D01E22">
        <w:rPr>
          <w:i/>
          <w:iCs/>
          <w:sz w:val="24"/>
          <w:lang w:val="lv-LV"/>
        </w:rPr>
        <w:t xml:space="preserve"> </w:t>
      </w:r>
      <w:proofErr w:type="spellStart"/>
      <w:r w:rsidRPr="00D01E22">
        <w:rPr>
          <w:i/>
          <w:iCs/>
          <w:sz w:val="24"/>
          <w:lang w:val="lv-LV"/>
        </w:rPr>
        <w:t>glyphosate</w:t>
      </w:r>
      <w:proofErr w:type="spellEnd"/>
      <w:r w:rsidRPr="00D01E22">
        <w:rPr>
          <w:i/>
          <w:iCs/>
          <w:sz w:val="24"/>
          <w:lang w:val="lv-LV"/>
        </w:rPr>
        <w:t xml:space="preserve"> </w:t>
      </w:r>
      <w:proofErr w:type="spellStart"/>
      <w:r w:rsidRPr="00D01E22">
        <w:rPr>
          <w:i/>
          <w:iCs/>
          <w:sz w:val="24"/>
          <w:lang w:val="lv-LV"/>
        </w:rPr>
        <w:t>according</w:t>
      </w:r>
      <w:proofErr w:type="spellEnd"/>
      <w:r w:rsidRPr="00D01E22">
        <w:rPr>
          <w:i/>
          <w:iCs/>
          <w:sz w:val="24"/>
          <w:lang w:val="lv-LV"/>
        </w:rPr>
        <w:t xml:space="preserve"> to </w:t>
      </w:r>
      <w:proofErr w:type="spellStart"/>
      <w:r w:rsidRPr="00D01E22">
        <w:rPr>
          <w:i/>
          <w:iCs/>
          <w:sz w:val="24"/>
          <w:lang w:val="lv-LV"/>
        </w:rPr>
        <w:t>Article</w:t>
      </w:r>
      <w:proofErr w:type="spellEnd"/>
      <w:r w:rsidRPr="00D01E22">
        <w:rPr>
          <w:i/>
          <w:iCs/>
          <w:sz w:val="24"/>
          <w:lang w:val="lv-LV"/>
        </w:rPr>
        <w:t xml:space="preserve"> 12 </w:t>
      </w:r>
      <w:proofErr w:type="spellStart"/>
      <w:r w:rsidRPr="00D01E22">
        <w:rPr>
          <w:i/>
          <w:iCs/>
          <w:sz w:val="24"/>
          <w:lang w:val="lv-LV"/>
        </w:rPr>
        <w:t>of</w:t>
      </w:r>
      <w:proofErr w:type="spellEnd"/>
      <w:r w:rsidRPr="00D01E22">
        <w:rPr>
          <w:i/>
          <w:iCs/>
          <w:sz w:val="24"/>
          <w:lang w:val="lv-LV"/>
        </w:rPr>
        <w:t xml:space="preserve"> </w:t>
      </w:r>
      <w:proofErr w:type="spellStart"/>
      <w:r w:rsidRPr="00D01E22">
        <w:rPr>
          <w:i/>
          <w:iCs/>
          <w:sz w:val="24"/>
          <w:lang w:val="lv-LV"/>
        </w:rPr>
        <w:t>Regulation</w:t>
      </w:r>
      <w:proofErr w:type="spellEnd"/>
      <w:r w:rsidRPr="00D01E22">
        <w:rPr>
          <w:i/>
          <w:iCs/>
          <w:sz w:val="24"/>
          <w:lang w:val="lv-LV"/>
        </w:rPr>
        <w:t xml:space="preserve"> (EC) No 396/2005</w:t>
      </w:r>
      <w:r w:rsidRPr="00D01E22">
        <w:rPr>
          <w:sz w:val="24"/>
          <w:lang w:val="lv-LV"/>
        </w:rPr>
        <w:t xml:space="preserve">” (Pārskats par pašreizējo </w:t>
      </w:r>
      <w:proofErr w:type="spellStart"/>
      <w:r w:rsidRPr="00D01E22">
        <w:rPr>
          <w:sz w:val="24"/>
          <w:lang w:val="lv-LV"/>
        </w:rPr>
        <w:t>glifosāta</w:t>
      </w:r>
      <w:proofErr w:type="spellEnd"/>
      <w:r w:rsidRPr="00D01E22">
        <w:rPr>
          <w:sz w:val="24"/>
          <w:lang w:val="lv-LV"/>
        </w:rPr>
        <w:t xml:space="preserve"> maksimālo atlieku līmeni saskaņā ar Regulas (EK) Nr. 396/2005 12. pantu), </w:t>
      </w:r>
      <w:r w:rsidRPr="00D01E22">
        <w:rPr>
          <w:i/>
          <w:iCs/>
          <w:sz w:val="24"/>
          <w:lang w:val="lv-LV"/>
        </w:rPr>
        <w:t xml:space="preserve">EFSA </w:t>
      </w:r>
      <w:proofErr w:type="spellStart"/>
      <w:r w:rsidRPr="00D01E22">
        <w:rPr>
          <w:i/>
          <w:iCs/>
          <w:sz w:val="24"/>
          <w:lang w:val="lv-LV"/>
        </w:rPr>
        <w:t>Journal</w:t>
      </w:r>
      <w:proofErr w:type="spellEnd"/>
      <w:r w:rsidRPr="00D01E22">
        <w:rPr>
          <w:sz w:val="24"/>
          <w:lang w:val="lv-LV"/>
        </w:rPr>
        <w:t>, 2018. gads, 16(5):e05263, 12. </w:t>
      </w:r>
      <w:r w:rsidRPr="00D01E22">
        <w:rPr>
          <w:sz w:val="24"/>
          <w:lang w:val="lv-LV"/>
        </w:rPr>
        <w:t>lpp.,</w:t>
      </w:r>
      <w:r w:rsidRPr="00D01E22">
        <w:rPr>
          <w:rStyle w:val="Hyperlink"/>
          <w:sz w:val="24"/>
          <w:lang w:val="lv-LV"/>
        </w:rPr>
        <w:t xml:space="preserve"> </w:t>
      </w:r>
      <w:hyperlink r:id="rId24" w:history="1">
        <w:r w:rsidRPr="00D01E22">
          <w:rPr>
            <w:rStyle w:val="Hyperlink"/>
            <w:sz w:val="24"/>
            <w:lang w:val="lv-LV"/>
          </w:rPr>
          <w:t>https://efsa.onlinelibrary.wiley.com/doi/abs/10.2903/j.efsa.2018.5263</w:t>
        </w:r>
      </w:hyperlink>
      <w:r w:rsidRPr="00D01E22">
        <w:rPr>
          <w:rStyle w:val="Hyperlink"/>
          <w:sz w:val="24"/>
          <w:lang w:val="lv-LV"/>
        </w:rPr>
        <w:t>.</w:t>
      </w:r>
    </w:p>
  </w:footnote>
  <w:footnote w:id="14">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w:t>
      </w:r>
      <w:proofErr w:type="spellStart"/>
      <w:r w:rsidRPr="00D01E22">
        <w:rPr>
          <w:i/>
          <w:iCs/>
          <w:sz w:val="24"/>
          <w:lang w:val="lv-LV"/>
        </w:rPr>
        <w:t>Strategic</w:t>
      </w:r>
      <w:proofErr w:type="spellEnd"/>
      <w:r w:rsidRPr="00D01E22">
        <w:rPr>
          <w:i/>
          <w:iCs/>
          <w:sz w:val="24"/>
          <w:lang w:val="lv-LV"/>
        </w:rPr>
        <w:t xml:space="preserve"> </w:t>
      </w:r>
      <w:proofErr w:type="spellStart"/>
      <w:r w:rsidRPr="00D01E22">
        <w:rPr>
          <w:i/>
          <w:iCs/>
          <w:sz w:val="24"/>
          <w:lang w:val="lv-LV"/>
        </w:rPr>
        <w:t>Dialogue</w:t>
      </w:r>
      <w:proofErr w:type="spellEnd"/>
      <w:r w:rsidRPr="00D01E22">
        <w:rPr>
          <w:i/>
          <w:iCs/>
          <w:sz w:val="24"/>
          <w:lang w:val="lv-LV"/>
        </w:rPr>
        <w:t xml:space="preserve"> </w:t>
      </w:r>
      <w:proofErr w:type="spellStart"/>
      <w:r w:rsidRPr="00D01E22">
        <w:rPr>
          <w:i/>
          <w:iCs/>
          <w:sz w:val="24"/>
          <w:lang w:val="lv-LV"/>
        </w:rPr>
        <w:t>on</w:t>
      </w:r>
      <w:proofErr w:type="spellEnd"/>
      <w:r w:rsidRPr="00D01E22">
        <w:rPr>
          <w:i/>
          <w:iCs/>
          <w:sz w:val="24"/>
          <w:lang w:val="lv-LV"/>
        </w:rPr>
        <w:t xml:space="preserve"> </w:t>
      </w:r>
      <w:proofErr w:type="spellStart"/>
      <w:r w:rsidRPr="00D01E22">
        <w:rPr>
          <w:i/>
          <w:iCs/>
          <w:sz w:val="24"/>
          <w:lang w:val="lv-LV"/>
        </w:rPr>
        <w:t>the</w:t>
      </w:r>
      <w:proofErr w:type="spellEnd"/>
      <w:r w:rsidRPr="00D01E22">
        <w:rPr>
          <w:i/>
          <w:iCs/>
          <w:sz w:val="24"/>
          <w:lang w:val="lv-LV"/>
        </w:rPr>
        <w:t xml:space="preserve"> </w:t>
      </w:r>
      <w:proofErr w:type="spellStart"/>
      <w:r w:rsidRPr="00D01E22">
        <w:rPr>
          <w:i/>
          <w:iCs/>
          <w:sz w:val="24"/>
          <w:lang w:val="lv-LV"/>
        </w:rPr>
        <w:t>Future</w:t>
      </w:r>
      <w:proofErr w:type="spellEnd"/>
      <w:r w:rsidRPr="00D01E22">
        <w:rPr>
          <w:i/>
          <w:iCs/>
          <w:sz w:val="24"/>
          <w:lang w:val="lv-LV"/>
        </w:rPr>
        <w:t xml:space="preserve"> </w:t>
      </w:r>
      <w:proofErr w:type="spellStart"/>
      <w:r w:rsidRPr="00D01E22">
        <w:rPr>
          <w:i/>
          <w:iCs/>
          <w:sz w:val="24"/>
          <w:lang w:val="lv-LV"/>
        </w:rPr>
        <w:t>of</w:t>
      </w:r>
      <w:proofErr w:type="spellEnd"/>
      <w:r w:rsidRPr="00D01E22">
        <w:rPr>
          <w:i/>
          <w:iCs/>
          <w:sz w:val="24"/>
          <w:lang w:val="lv-LV"/>
        </w:rPr>
        <w:t xml:space="preserve"> EU </w:t>
      </w:r>
      <w:proofErr w:type="spellStart"/>
      <w:r w:rsidRPr="00D01E22">
        <w:rPr>
          <w:i/>
          <w:iCs/>
          <w:sz w:val="24"/>
          <w:lang w:val="lv-LV"/>
        </w:rPr>
        <w:t>Agriculture</w:t>
      </w:r>
      <w:proofErr w:type="spellEnd"/>
      <w:r w:rsidRPr="00D01E22">
        <w:rPr>
          <w:i/>
          <w:iCs/>
          <w:sz w:val="24"/>
          <w:lang w:val="lv-LV"/>
        </w:rPr>
        <w:t xml:space="preserve"> - A </w:t>
      </w:r>
      <w:proofErr w:type="spellStart"/>
      <w:r w:rsidRPr="00D01E22">
        <w:rPr>
          <w:i/>
          <w:iCs/>
          <w:sz w:val="24"/>
          <w:lang w:val="lv-LV"/>
        </w:rPr>
        <w:t>shared</w:t>
      </w:r>
      <w:proofErr w:type="spellEnd"/>
      <w:r w:rsidRPr="00D01E22">
        <w:rPr>
          <w:i/>
          <w:iCs/>
          <w:sz w:val="24"/>
          <w:lang w:val="lv-LV"/>
        </w:rPr>
        <w:t xml:space="preserve"> </w:t>
      </w:r>
      <w:proofErr w:type="spellStart"/>
      <w:r w:rsidRPr="00D01E22">
        <w:rPr>
          <w:i/>
          <w:iCs/>
          <w:sz w:val="24"/>
          <w:lang w:val="lv-LV"/>
        </w:rPr>
        <w:t>prospect</w:t>
      </w:r>
      <w:proofErr w:type="spellEnd"/>
      <w:r w:rsidRPr="00D01E22">
        <w:rPr>
          <w:i/>
          <w:iCs/>
          <w:sz w:val="24"/>
          <w:lang w:val="lv-LV"/>
        </w:rPr>
        <w:t xml:space="preserve"> </w:t>
      </w:r>
      <w:proofErr w:type="spellStart"/>
      <w:r w:rsidRPr="00D01E22">
        <w:rPr>
          <w:i/>
          <w:iCs/>
          <w:sz w:val="24"/>
          <w:lang w:val="lv-LV"/>
        </w:rPr>
        <w:t>for</w:t>
      </w:r>
      <w:proofErr w:type="spellEnd"/>
      <w:r w:rsidRPr="00D01E22">
        <w:rPr>
          <w:i/>
          <w:iCs/>
          <w:sz w:val="24"/>
          <w:lang w:val="lv-LV"/>
        </w:rPr>
        <w:t xml:space="preserve"> </w:t>
      </w:r>
      <w:proofErr w:type="spellStart"/>
      <w:r w:rsidRPr="00D01E22">
        <w:rPr>
          <w:i/>
          <w:iCs/>
          <w:sz w:val="24"/>
          <w:lang w:val="lv-LV"/>
        </w:rPr>
        <w:t>farming</w:t>
      </w:r>
      <w:proofErr w:type="spellEnd"/>
      <w:r w:rsidRPr="00D01E22">
        <w:rPr>
          <w:i/>
          <w:iCs/>
          <w:sz w:val="24"/>
          <w:lang w:val="lv-LV"/>
        </w:rPr>
        <w:t xml:space="preserve"> </w:t>
      </w:r>
      <w:proofErr w:type="spellStart"/>
      <w:r w:rsidRPr="00D01E22">
        <w:rPr>
          <w:i/>
          <w:iCs/>
          <w:sz w:val="24"/>
          <w:lang w:val="lv-LV"/>
        </w:rPr>
        <w:t>and</w:t>
      </w:r>
      <w:proofErr w:type="spellEnd"/>
      <w:r w:rsidRPr="00D01E22">
        <w:rPr>
          <w:i/>
          <w:iCs/>
          <w:sz w:val="24"/>
          <w:lang w:val="lv-LV"/>
        </w:rPr>
        <w:t xml:space="preserve"> </w:t>
      </w:r>
      <w:proofErr w:type="spellStart"/>
      <w:r w:rsidRPr="00D01E22">
        <w:rPr>
          <w:i/>
          <w:iCs/>
          <w:sz w:val="24"/>
          <w:lang w:val="lv-LV"/>
        </w:rPr>
        <w:t>food</w:t>
      </w:r>
      <w:proofErr w:type="spellEnd"/>
      <w:r w:rsidRPr="00D01E22">
        <w:rPr>
          <w:i/>
          <w:iCs/>
          <w:sz w:val="24"/>
          <w:lang w:val="lv-LV"/>
        </w:rPr>
        <w:t xml:space="preserve"> </w:t>
      </w:r>
      <w:proofErr w:type="spellStart"/>
      <w:r w:rsidRPr="00D01E22">
        <w:rPr>
          <w:i/>
          <w:iCs/>
          <w:sz w:val="24"/>
          <w:lang w:val="lv-LV"/>
        </w:rPr>
        <w:t>in</w:t>
      </w:r>
      <w:proofErr w:type="spellEnd"/>
      <w:r w:rsidRPr="00D01E22">
        <w:rPr>
          <w:i/>
          <w:iCs/>
          <w:sz w:val="24"/>
          <w:lang w:val="lv-LV"/>
        </w:rPr>
        <w:t xml:space="preserve"> </w:t>
      </w:r>
      <w:proofErr w:type="spellStart"/>
      <w:r w:rsidRPr="00D01E22">
        <w:rPr>
          <w:i/>
          <w:iCs/>
          <w:sz w:val="24"/>
          <w:lang w:val="lv-LV"/>
        </w:rPr>
        <w:t>Europe</w:t>
      </w:r>
      <w:proofErr w:type="spellEnd"/>
      <w:r w:rsidRPr="00D01E22">
        <w:rPr>
          <w:sz w:val="24"/>
          <w:lang w:val="lv-LV"/>
        </w:rPr>
        <w:t>” (Stratēģisks dialogs par ES lauksaimniecības nākotni — kopīgs redzējums attiecībā uz lauksaimniecību un pārtiku Eiropā), 2024. </w:t>
      </w:r>
      <w:r w:rsidRPr="00D01E22">
        <w:rPr>
          <w:sz w:val="24"/>
          <w:lang w:val="lv-LV"/>
        </w:rPr>
        <w:t xml:space="preserve">gads, </w:t>
      </w:r>
      <w:hyperlink r:id="rId25" w:history="1">
        <w:r w:rsidRPr="00D01E22">
          <w:rPr>
            <w:rStyle w:val="Hyperlink"/>
            <w:sz w:val="24"/>
            <w:lang w:val="lv-LV"/>
          </w:rPr>
          <w:t>https://agriculture.ec.europa.eu/document/download/171329ff-0f50-4fa5-946f-aea11032172e_en?filename=strategic-dialogue-report-2024_en.pdf</w:t>
        </w:r>
      </w:hyperlink>
      <w:r w:rsidRPr="00D01E22">
        <w:rPr>
          <w:rStyle w:val="Hyperlink"/>
          <w:sz w:val="24"/>
          <w:lang w:val="lv-LV"/>
        </w:rPr>
        <w:t>.</w:t>
      </w:r>
    </w:p>
  </w:footnote>
  <w:footnote w:id="15">
    <w:p w:rsidR="003029DF" w:rsidRPr="00D01E22" w:rsidRDefault="003029DF" w:rsidP="00D01E22">
      <w:pPr>
        <w:pStyle w:val="NoSpacing"/>
        <w:ind w:left="567" w:hanging="567"/>
        <w:jc w:val="left"/>
        <w:rPr>
          <w:szCs w:val="20"/>
        </w:rPr>
      </w:pPr>
      <w:r w:rsidRPr="00D01E22">
        <w:rPr>
          <w:rStyle w:val="FootnoteReference"/>
          <w:szCs w:val="20"/>
        </w:rPr>
        <w:footnoteRef/>
      </w:r>
      <w:r w:rsidR="00D01E22" w:rsidRPr="00D01E22">
        <w:t xml:space="preserve"> </w:t>
      </w:r>
      <w:r w:rsidR="00D01E22" w:rsidRPr="00D01E22">
        <w:tab/>
      </w:r>
      <w:r w:rsidRPr="00D01E22">
        <w:t xml:space="preserve">A/HRC/34/48: Īpašā referenta jautājumos par tiesībām uz pārtiku ziņojums </w:t>
      </w:r>
      <w:hyperlink r:id="rId26" w:history="1">
        <w:r w:rsidRPr="00D01E22">
          <w:rPr>
            <w:rStyle w:val="Hyperlink"/>
          </w:rPr>
          <w:t>https://www.ohchr.org/en/documents/thematic-reports/ahrc3448-report-special-rapporteur-right-food</w:t>
        </w:r>
      </w:hyperlink>
      <w:r w:rsidRPr="00D01E22">
        <w:t>.</w:t>
      </w:r>
    </w:p>
  </w:footnote>
  <w:footnote w:id="16">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hyperlink r:id="rId27" w:history="1">
        <w:r w:rsidRPr="00D01E22">
          <w:rPr>
            <w:rStyle w:val="Hyperlink"/>
            <w:sz w:val="24"/>
            <w:lang w:val="lv-LV"/>
          </w:rPr>
          <w:t>https://indicators.report/targets/3-9/</w:t>
        </w:r>
      </w:hyperlink>
      <w:r w:rsidRPr="00D01E22">
        <w:rPr>
          <w:rStyle w:val="Hyperlink"/>
          <w:sz w:val="24"/>
          <w:lang w:val="lv-LV"/>
        </w:rPr>
        <w:t>.</w:t>
      </w:r>
    </w:p>
  </w:footnote>
  <w:footnote w:id="17">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 xml:space="preserve">Sk.: </w:t>
      </w:r>
      <w:hyperlink r:id="rId28" w:history="1">
        <w:r w:rsidRPr="00D01E22">
          <w:rPr>
            <w:rStyle w:val="Hyperlink"/>
            <w:sz w:val="24"/>
            <w:lang w:val="lv-LV"/>
          </w:rPr>
          <w:t>https://ec.europa.eu/commission/presscorner/detail/en/ip_22_7834</w:t>
        </w:r>
      </w:hyperlink>
      <w:r w:rsidRPr="00D01E22">
        <w:rPr>
          <w:sz w:val="24"/>
          <w:lang w:val="lv-LV"/>
        </w:rPr>
        <w:t>.</w:t>
      </w:r>
    </w:p>
  </w:footnote>
  <w:footnote w:id="18">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color w:val="000000" w:themeColor="text1"/>
          <w:sz w:val="24"/>
          <w:lang w:val="lv-LV"/>
        </w:rPr>
        <w:t xml:space="preserve"> </w:t>
      </w:r>
      <w:r w:rsidR="00D01E22" w:rsidRPr="00D01E22">
        <w:rPr>
          <w:color w:val="000000" w:themeColor="text1"/>
          <w:sz w:val="24"/>
          <w:lang w:val="lv-LV"/>
        </w:rPr>
        <w:tab/>
      </w:r>
      <w:r w:rsidRPr="00D01E22">
        <w:rPr>
          <w:color w:val="000000" w:themeColor="text1"/>
          <w:sz w:val="24"/>
          <w:lang w:val="lv-LV"/>
        </w:rPr>
        <w:t xml:space="preserve">2022. gada decembrī Apvienoto Nāciju Organizācijas Konvencijas par bioloģisko daudzveidību Pušu konferences 15. sesijā tika panākta vienošanās par globālo </w:t>
      </w:r>
      <w:proofErr w:type="spellStart"/>
      <w:r w:rsidRPr="00D01E22">
        <w:rPr>
          <w:color w:val="000000" w:themeColor="text1"/>
          <w:sz w:val="24"/>
          <w:lang w:val="lv-LV"/>
        </w:rPr>
        <w:t>biodaudzveidības</w:t>
      </w:r>
      <w:proofErr w:type="spellEnd"/>
      <w:r w:rsidRPr="00D01E22">
        <w:rPr>
          <w:color w:val="000000" w:themeColor="text1"/>
          <w:sz w:val="24"/>
          <w:lang w:val="lv-LV"/>
        </w:rPr>
        <w:t xml:space="preserve"> satvaru, kas ietver globālu mērķi līdz 2030. </w:t>
      </w:r>
      <w:r w:rsidRPr="00D01E22">
        <w:rPr>
          <w:color w:val="000000" w:themeColor="text1"/>
          <w:sz w:val="24"/>
          <w:lang w:val="lv-LV"/>
        </w:rPr>
        <w:t>gadam vismaz par 50</w:t>
      </w:r>
      <w:r w:rsidRPr="00D01E22">
        <w:rPr>
          <w:sz w:val="24"/>
          <w:lang w:val="lv-LV"/>
        </w:rPr>
        <w:t> </w:t>
      </w:r>
      <w:r w:rsidRPr="00D01E22">
        <w:rPr>
          <w:color w:val="000000" w:themeColor="text1"/>
          <w:sz w:val="24"/>
          <w:lang w:val="lv-LV"/>
        </w:rPr>
        <w:t xml:space="preserve">% samazināt pesticīdu radīto apdraudējumu (sk.: </w:t>
      </w:r>
      <w:hyperlink r:id="rId29" w:history="1">
        <w:r w:rsidRPr="00D01E22">
          <w:rPr>
            <w:rStyle w:val="Hyperlink"/>
            <w:sz w:val="24"/>
            <w:lang w:val="lv-LV"/>
          </w:rPr>
          <w:t>https://ec.europa.eu/commission/presscorner/detail/lv/ip_22_7834</w:t>
        </w:r>
      </w:hyperlink>
      <w:r w:rsidRPr="00D01E22">
        <w:rPr>
          <w:sz w:val="24"/>
          <w:lang w:val="lv-LV"/>
        </w:rPr>
        <w:t xml:space="preserve">). </w:t>
      </w:r>
    </w:p>
  </w:footnote>
  <w:footnote w:id="19">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color w:val="000000"/>
          <w:sz w:val="24"/>
          <w:lang w:val="lv-LV"/>
        </w:rPr>
        <w:t xml:space="preserve"> </w:t>
      </w:r>
      <w:r w:rsidR="00D01E22" w:rsidRPr="00D01E22">
        <w:rPr>
          <w:color w:val="000000"/>
          <w:sz w:val="24"/>
          <w:lang w:val="lv-LV"/>
        </w:rPr>
        <w:tab/>
      </w:r>
      <w:r w:rsidRPr="00D01E22">
        <w:rPr>
          <w:color w:val="000000"/>
          <w:sz w:val="24"/>
          <w:lang w:val="lv-LV"/>
        </w:rPr>
        <w:t>Komisijas 2019. gada 23. </w:t>
      </w:r>
      <w:r w:rsidRPr="00D01E22">
        <w:rPr>
          <w:color w:val="000000"/>
          <w:sz w:val="24"/>
          <w:lang w:val="lv-LV"/>
        </w:rPr>
        <w:t xml:space="preserve">jūlija paziņojums “Pastiprināt ES rīcību pasaules mežu aizsardzībai un atjaunošanai”, </w:t>
      </w:r>
      <w:hyperlink r:id="rId30" w:history="1">
        <w:r w:rsidRPr="00D01E22">
          <w:rPr>
            <w:rStyle w:val="Hyperlink"/>
            <w:sz w:val="24"/>
            <w:lang w:val="lv-LV"/>
          </w:rPr>
          <w:t>COM(2019)0352</w:t>
        </w:r>
      </w:hyperlink>
      <w:r w:rsidRPr="00D01E22">
        <w:rPr>
          <w:color w:val="000000"/>
          <w:sz w:val="24"/>
          <w:lang w:val="lv-LV"/>
        </w:rPr>
        <w:t>, 1. lpp.</w:t>
      </w:r>
    </w:p>
  </w:footnote>
  <w:footnote w:id="20">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Turpat, 2. lpp.</w:t>
      </w:r>
    </w:p>
  </w:footnote>
  <w:footnote w:id="21">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color w:val="000000"/>
          <w:sz w:val="24"/>
          <w:lang w:val="lv-LV"/>
        </w:rPr>
        <w:t xml:space="preserve"> </w:t>
      </w:r>
      <w:r w:rsidR="00D01E22" w:rsidRPr="00D01E22">
        <w:rPr>
          <w:color w:val="000000"/>
          <w:sz w:val="24"/>
          <w:lang w:val="lv-LV"/>
        </w:rPr>
        <w:tab/>
      </w:r>
      <w:r w:rsidRPr="00D01E22">
        <w:rPr>
          <w:color w:val="000000"/>
          <w:sz w:val="24"/>
          <w:lang w:val="lv-LV"/>
        </w:rPr>
        <w:t>Sk. 15. mērķa 2. </w:t>
      </w:r>
      <w:proofErr w:type="spellStart"/>
      <w:r w:rsidRPr="00D01E22">
        <w:rPr>
          <w:color w:val="000000"/>
          <w:sz w:val="24"/>
          <w:lang w:val="lv-LV"/>
        </w:rPr>
        <w:t>apakšmērķi</w:t>
      </w:r>
      <w:proofErr w:type="spellEnd"/>
      <w:r w:rsidRPr="00D01E22">
        <w:rPr>
          <w:color w:val="000000"/>
          <w:sz w:val="24"/>
          <w:lang w:val="lv-LV"/>
        </w:rPr>
        <w:t xml:space="preserve">: </w:t>
      </w:r>
      <w:hyperlink r:id="rId31" w:history="1">
        <w:r w:rsidRPr="00D01E22">
          <w:rPr>
            <w:rStyle w:val="Hyperlink"/>
            <w:sz w:val="24"/>
            <w:lang w:val="lv-LV"/>
          </w:rPr>
          <w:t>https://www.un.org/sustainabledevelopment/biodiversity/</w:t>
        </w:r>
      </w:hyperlink>
      <w:r w:rsidRPr="00D01E22">
        <w:rPr>
          <w:rStyle w:val="Hyperlink"/>
          <w:sz w:val="24"/>
          <w:lang w:val="lv-LV"/>
        </w:rPr>
        <w:t>.</w:t>
      </w:r>
      <w:r w:rsidRPr="00D01E22">
        <w:rPr>
          <w:color w:val="000000"/>
          <w:sz w:val="24"/>
          <w:lang w:val="lv-LV"/>
        </w:rPr>
        <w:t xml:space="preserve"> </w:t>
      </w:r>
    </w:p>
  </w:footnote>
  <w:footnote w:id="22">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color w:val="000000"/>
          <w:sz w:val="24"/>
          <w:lang w:val="lv-LV"/>
        </w:rPr>
        <w:t xml:space="preserve"> </w:t>
      </w:r>
      <w:r w:rsidR="00D01E22" w:rsidRPr="00D01E22">
        <w:rPr>
          <w:color w:val="000000"/>
          <w:sz w:val="24"/>
          <w:lang w:val="lv-LV"/>
        </w:rPr>
        <w:tab/>
      </w:r>
      <w:r w:rsidRPr="00D01E22">
        <w:rPr>
          <w:color w:val="000000"/>
          <w:sz w:val="24"/>
          <w:lang w:val="lv-LV"/>
        </w:rPr>
        <w:t>Komisijas 2019. gada 23. </w:t>
      </w:r>
      <w:r w:rsidRPr="00D01E22">
        <w:rPr>
          <w:color w:val="000000"/>
          <w:sz w:val="24"/>
          <w:lang w:val="lv-LV"/>
        </w:rPr>
        <w:t xml:space="preserve">jūlija paziņojums “Pastiprināt ES rīcību ar mērķi aizsargāt un atjaunot pasaules mežus”, </w:t>
      </w:r>
      <w:hyperlink r:id="rId32" w:history="1">
        <w:r w:rsidRPr="00D01E22">
          <w:rPr>
            <w:rStyle w:val="Hyperlink"/>
            <w:sz w:val="24"/>
            <w:lang w:val="lv-LV"/>
          </w:rPr>
          <w:t>COM(2019)0352</w:t>
        </w:r>
      </w:hyperlink>
      <w:r w:rsidRPr="00D01E22">
        <w:rPr>
          <w:color w:val="000000"/>
          <w:sz w:val="24"/>
          <w:lang w:val="lv-LV"/>
        </w:rPr>
        <w:t>, 2. lpp.</w:t>
      </w:r>
    </w:p>
  </w:footnote>
  <w:footnote w:id="23">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ES paziņojums “Pastiprināt ES rīcību ar mērķi aizsargāt un atjaunot pasaules mežus”</w:t>
      </w:r>
      <w:r w:rsidRPr="00D01E22">
        <w:rPr>
          <w:sz w:val="24"/>
          <w:bdr w:val="none" w:sz="0" w:space="0" w:color="auto" w:frame="1"/>
          <w:shd w:val="clear" w:color="auto" w:fill="FFFFFF"/>
          <w:lang w:val="lv-LV"/>
        </w:rPr>
        <w:t>,</w:t>
      </w:r>
      <w:r w:rsidRPr="00D01E22">
        <w:rPr>
          <w:sz w:val="24"/>
          <w:lang w:val="lv-LV"/>
        </w:rPr>
        <w:t xml:space="preserve"> </w:t>
      </w:r>
      <w:hyperlink r:id="rId33" w:history="1">
        <w:r w:rsidRPr="00D01E22">
          <w:rPr>
            <w:rStyle w:val="Hyperlink"/>
            <w:sz w:val="24"/>
            <w:lang w:val="lv-LV"/>
          </w:rPr>
          <w:t>https://eur-lex.europa.eu/legal-content/LV/TXT/HTML/?uri=CELEX:52019DC0352&amp;from=EN</w:t>
        </w:r>
      </w:hyperlink>
      <w:r w:rsidRPr="00D01E22">
        <w:rPr>
          <w:rStyle w:val="Hyperlink"/>
          <w:sz w:val="24"/>
          <w:lang w:val="lv-LV"/>
        </w:rPr>
        <w:t>.</w:t>
      </w:r>
    </w:p>
  </w:footnote>
  <w:footnote w:id="24">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 xml:space="preserve">Komisijas paziņojums Eiropas Parlamentam, Padomei, Eiropas Ekonomikas un sociālo lietu komitejai un Reģionu komitejai “ES </w:t>
      </w:r>
      <w:proofErr w:type="spellStart"/>
      <w:r w:rsidRPr="00D01E22">
        <w:rPr>
          <w:sz w:val="24"/>
          <w:lang w:val="lv-LV"/>
        </w:rPr>
        <w:t>Biodaudzveidības</w:t>
      </w:r>
      <w:proofErr w:type="spellEnd"/>
      <w:r w:rsidRPr="00D01E22">
        <w:rPr>
          <w:sz w:val="24"/>
          <w:lang w:val="lv-LV"/>
        </w:rPr>
        <w:t xml:space="preserve"> stratēģija 2030. gadam. </w:t>
      </w:r>
      <w:r w:rsidRPr="00D01E22">
        <w:rPr>
          <w:sz w:val="24"/>
          <w:lang w:val="lv-LV"/>
        </w:rPr>
        <w:t xml:space="preserve">Atgriezīsim savā dzīvē dabu”, </w:t>
      </w:r>
      <w:hyperlink r:id="rId34" w:history="1">
        <w:r w:rsidRPr="00D01E22">
          <w:rPr>
            <w:rStyle w:val="Hyperlink"/>
            <w:sz w:val="24"/>
            <w:lang w:val="lv-LV"/>
          </w:rPr>
          <w:t>COM(2020)0380</w:t>
        </w:r>
      </w:hyperlink>
      <w:r w:rsidRPr="00D01E22">
        <w:rPr>
          <w:rStyle w:val="Hyperlink"/>
          <w:sz w:val="24"/>
          <w:lang w:val="lv-LV"/>
        </w:rPr>
        <w:t>.</w:t>
      </w:r>
    </w:p>
  </w:footnote>
  <w:footnote w:id="25">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sz w:val="24"/>
          <w:lang w:val="lv-LV"/>
        </w:rPr>
        <w:t xml:space="preserve"> </w:t>
      </w:r>
      <w:r w:rsidR="00D01E22" w:rsidRPr="00D01E22">
        <w:rPr>
          <w:sz w:val="24"/>
          <w:lang w:val="lv-LV"/>
        </w:rPr>
        <w:tab/>
      </w:r>
      <w:proofErr w:type="spellStart"/>
      <w:r w:rsidRPr="00D01E22">
        <w:rPr>
          <w:sz w:val="24"/>
          <w:lang w:val="lv-LV"/>
        </w:rPr>
        <w:t>Agrobioloģisko</w:t>
      </w:r>
      <w:proofErr w:type="spellEnd"/>
      <w:r w:rsidRPr="00D01E22">
        <w:rPr>
          <w:sz w:val="24"/>
          <w:lang w:val="lv-LV"/>
        </w:rPr>
        <w:t xml:space="preserve"> lietojumu iegādes starptautiskais dienests, “</w:t>
      </w:r>
      <w:proofErr w:type="spellStart"/>
      <w:r w:rsidRPr="00D01E22">
        <w:rPr>
          <w:i/>
          <w:iCs/>
          <w:sz w:val="24"/>
          <w:lang w:val="lv-LV"/>
        </w:rPr>
        <w:t>Global</w:t>
      </w:r>
      <w:proofErr w:type="spellEnd"/>
      <w:r w:rsidRPr="00D01E22">
        <w:rPr>
          <w:i/>
          <w:iCs/>
          <w:sz w:val="24"/>
          <w:lang w:val="lv-LV"/>
        </w:rPr>
        <w:t xml:space="preserve"> status </w:t>
      </w:r>
      <w:proofErr w:type="spellStart"/>
      <w:r w:rsidRPr="00D01E22">
        <w:rPr>
          <w:i/>
          <w:iCs/>
          <w:sz w:val="24"/>
          <w:lang w:val="lv-LV"/>
        </w:rPr>
        <w:t>of</w:t>
      </w:r>
      <w:proofErr w:type="spellEnd"/>
      <w:r w:rsidRPr="00D01E22">
        <w:rPr>
          <w:i/>
          <w:iCs/>
          <w:sz w:val="24"/>
          <w:lang w:val="lv-LV"/>
        </w:rPr>
        <w:t xml:space="preserve"> </w:t>
      </w:r>
      <w:proofErr w:type="spellStart"/>
      <w:r w:rsidRPr="00D01E22">
        <w:rPr>
          <w:i/>
          <w:iCs/>
          <w:sz w:val="24"/>
          <w:lang w:val="lv-LV"/>
        </w:rPr>
        <w:t>commercialized</w:t>
      </w:r>
      <w:proofErr w:type="spellEnd"/>
      <w:r w:rsidRPr="00D01E22">
        <w:rPr>
          <w:i/>
          <w:iCs/>
          <w:sz w:val="24"/>
          <w:lang w:val="lv-LV"/>
        </w:rPr>
        <w:t xml:space="preserve"> </w:t>
      </w:r>
      <w:proofErr w:type="spellStart"/>
      <w:r w:rsidRPr="00D01E22">
        <w:rPr>
          <w:i/>
          <w:iCs/>
          <w:sz w:val="24"/>
          <w:lang w:val="lv-LV"/>
        </w:rPr>
        <w:t>biotech</w:t>
      </w:r>
      <w:proofErr w:type="spellEnd"/>
      <w:r w:rsidRPr="00D01E22">
        <w:rPr>
          <w:i/>
          <w:iCs/>
          <w:sz w:val="24"/>
          <w:lang w:val="lv-LV"/>
        </w:rPr>
        <w:t xml:space="preserve">/GM </w:t>
      </w:r>
      <w:proofErr w:type="spellStart"/>
      <w:r w:rsidRPr="00D01E22">
        <w:rPr>
          <w:i/>
          <w:iCs/>
          <w:sz w:val="24"/>
          <w:lang w:val="lv-LV"/>
        </w:rPr>
        <w:t>crops</w:t>
      </w:r>
      <w:proofErr w:type="spellEnd"/>
      <w:r w:rsidRPr="00D01E22">
        <w:rPr>
          <w:i/>
          <w:iCs/>
          <w:sz w:val="24"/>
          <w:lang w:val="lv-LV"/>
        </w:rPr>
        <w:t xml:space="preserve"> </w:t>
      </w:r>
      <w:proofErr w:type="spellStart"/>
      <w:r w:rsidRPr="00D01E22">
        <w:rPr>
          <w:i/>
          <w:iCs/>
          <w:sz w:val="24"/>
          <w:lang w:val="lv-LV"/>
        </w:rPr>
        <w:t>in</w:t>
      </w:r>
      <w:proofErr w:type="spellEnd"/>
      <w:r w:rsidRPr="00D01E22">
        <w:rPr>
          <w:i/>
          <w:iCs/>
          <w:sz w:val="24"/>
          <w:lang w:val="lv-LV"/>
        </w:rPr>
        <w:t xml:space="preserve"> 2017:</w:t>
      </w:r>
      <w:r w:rsidRPr="00D01E22">
        <w:rPr>
          <w:sz w:val="24"/>
          <w:lang w:val="lv-LV"/>
        </w:rPr>
        <w:t xml:space="preserve"> “Komercializēto biotehnoloģiju/ĢM kultūraugu globālais statuss 2017. gadā: biotehnoloģiju kultūraugu izplatība pieaug, palielinoties ekonomiskajiem ieguvumiem 22 gadu laikā”, </w:t>
      </w:r>
      <w:r w:rsidRPr="00D01E22">
        <w:rPr>
          <w:i/>
          <w:iCs/>
          <w:sz w:val="24"/>
          <w:lang w:val="lv-LV"/>
        </w:rPr>
        <w:t xml:space="preserve">ISAAA </w:t>
      </w:r>
      <w:proofErr w:type="spellStart"/>
      <w:r w:rsidRPr="00D01E22">
        <w:rPr>
          <w:i/>
          <w:iCs/>
          <w:sz w:val="24"/>
          <w:lang w:val="lv-LV"/>
        </w:rPr>
        <w:t>Brief</w:t>
      </w:r>
      <w:proofErr w:type="spellEnd"/>
      <w:r w:rsidRPr="00D01E22">
        <w:rPr>
          <w:sz w:val="24"/>
          <w:lang w:val="lv-LV"/>
        </w:rPr>
        <w:t xml:space="preserve"> Nr. 53 (2017. gads), 16. un 21. </w:t>
      </w:r>
      <w:r w:rsidRPr="00D01E22">
        <w:rPr>
          <w:sz w:val="24"/>
          <w:lang w:val="lv-LV"/>
        </w:rPr>
        <w:t xml:space="preserve">lpp., </w:t>
      </w:r>
      <w:hyperlink r:id="rId35" w:history="1">
        <w:r w:rsidRPr="00D01E22">
          <w:rPr>
            <w:rStyle w:val="Hyperlink"/>
            <w:sz w:val="24"/>
            <w:lang w:val="lv-LV"/>
          </w:rPr>
          <w:t>http://www.isaaa.org/resources/publications/briefs/53/download/isaaa-brief-53-2017.pdf</w:t>
        </w:r>
      </w:hyperlink>
      <w:r w:rsidRPr="00D01E22">
        <w:rPr>
          <w:rStyle w:val="Hyperlink"/>
          <w:sz w:val="24"/>
          <w:lang w:val="lv-LV"/>
        </w:rPr>
        <w:t>.</w:t>
      </w:r>
      <w:r w:rsidRPr="00D01E22">
        <w:rPr>
          <w:sz w:val="24"/>
          <w:lang w:val="lv-LV"/>
        </w:rPr>
        <w:t xml:space="preserve"> </w:t>
      </w:r>
    </w:p>
  </w:footnote>
  <w:footnote w:id="26">
    <w:p w:rsidR="003029DF" w:rsidRPr="00D01E22" w:rsidRDefault="003029DF" w:rsidP="00D01E22">
      <w:pPr>
        <w:pStyle w:val="FootnoteText"/>
        <w:ind w:left="567" w:hanging="567"/>
        <w:rPr>
          <w:sz w:val="24"/>
          <w:lang w:val="lv-LV"/>
        </w:rPr>
      </w:pPr>
      <w:r w:rsidRPr="00D01E22">
        <w:rPr>
          <w:rStyle w:val="FootnoteReference"/>
          <w:rFonts w:eastAsiaTheme="majorEastAsia"/>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Eiropas Komisijas tehniskais ziņojums 2013 - 063 “</w:t>
      </w:r>
      <w:proofErr w:type="spellStart"/>
      <w:r w:rsidRPr="00D01E22">
        <w:rPr>
          <w:i/>
          <w:iCs/>
          <w:sz w:val="24"/>
          <w:lang w:val="lv-LV"/>
        </w:rPr>
        <w:t>The</w:t>
      </w:r>
      <w:proofErr w:type="spellEnd"/>
      <w:r w:rsidRPr="00D01E22">
        <w:rPr>
          <w:i/>
          <w:iCs/>
          <w:sz w:val="24"/>
          <w:lang w:val="lv-LV"/>
        </w:rPr>
        <w:t xml:space="preserve"> </w:t>
      </w:r>
      <w:proofErr w:type="spellStart"/>
      <w:r w:rsidRPr="00D01E22">
        <w:rPr>
          <w:i/>
          <w:iCs/>
          <w:sz w:val="24"/>
          <w:lang w:val="lv-LV"/>
        </w:rPr>
        <w:t>impact</w:t>
      </w:r>
      <w:proofErr w:type="spellEnd"/>
      <w:r w:rsidRPr="00D01E22">
        <w:rPr>
          <w:i/>
          <w:iCs/>
          <w:sz w:val="24"/>
          <w:lang w:val="lv-LV"/>
        </w:rPr>
        <w:t xml:space="preserve"> </w:t>
      </w:r>
      <w:proofErr w:type="spellStart"/>
      <w:r w:rsidRPr="00D01E22">
        <w:rPr>
          <w:i/>
          <w:iCs/>
          <w:sz w:val="24"/>
          <w:lang w:val="lv-LV"/>
        </w:rPr>
        <w:t>of</w:t>
      </w:r>
      <w:proofErr w:type="spellEnd"/>
      <w:r w:rsidRPr="00D01E22">
        <w:rPr>
          <w:i/>
          <w:iCs/>
          <w:sz w:val="24"/>
          <w:lang w:val="lv-LV"/>
        </w:rPr>
        <w:t xml:space="preserve"> EU </w:t>
      </w:r>
      <w:proofErr w:type="spellStart"/>
      <w:r w:rsidRPr="00D01E22">
        <w:rPr>
          <w:i/>
          <w:iCs/>
          <w:sz w:val="24"/>
          <w:lang w:val="lv-LV"/>
        </w:rPr>
        <w:t>consumption</w:t>
      </w:r>
      <w:proofErr w:type="spellEnd"/>
      <w:r w:rsidRPr="00D01E22">
        <w:rPr>
          <w:i/>
          <w:iCs/>
          <w:sz w:val="24"/>
          <w:lang w:val="lv-LV"/>
        </w:rPr>
        <w:t xml:space="preserve"> </w:t>
      </w:r>
      <w:proofErr w:type="spellStart"/>
      <w:r w:rsidRPr="00D01E22">
        <w:rPr>
          <w:i/>
          <w:iCs/>
          <w:sz w:val="24"/>
          <w:lang w:val="lv-LV"/>
        </w:rPr>
        <w:t>on</w:t>
      </w:r>
      <w:proofErr w:type="spellEnd"/>
      <w:r w:rsidRPr="00D01E22">
        <w:rPr>
          <w:i/>
          <w:iCs/>
          <w:sz w:val="24"/>
          <w:lang w:val="lv-LV"/>
        </w:rPr>
        <w:t xml:space="preserve"> </w:t>
      </w:r>
      <w:proofErr w:type="spellStart"/>
      <w:r w:rsidRPr="00D01E22">
        <w:rPr>
          <w:i/>
          <w:iCs/>
          <w:sz w:val="24"/>
          <w:lang w:val="lv-LV"/>
        </w:rPr>
        <w:t>deforestation</w:t>
      </w:r>
      <w:proofErr w:type="spellEnd"/>
      <w:r w:rsidRPr="00D01E22">
        <w:rPr>
          <w:i/>
          <w:iCs/>
          <w:sz w:val="24"/>
          <w:lang w:val="lv-LV"/>
        </w:rPr>
        <w:t>:</w:t>
      </w:r>
      <w:r w:rsidRPr="00D01E22">
        <w:rPr>
          <w:sz w:val="24"/>
          <w:lang w:val="lv-LV"/>
        </w:rPr>
        <w:t xml:space="preserve"> </w:t>
      </w:r>
      <w:proofErr w:type="spellStart"/>
      <w:r w:rsidRPr="00D01E22">
        <w:rPr>
          <w:i/>
          <w:iCs/>
          <w:sz w:val="24"/>
          <w:lang w:val="lv-LV"/>
        </w:rPr>
        <w:t>Comprehensive</w:t>
      </w:r>
      <w:proofErr w:type="spellEnd"/>
      <w:r w:rsidRPr="00D01E22">
        <w:rPr>
          <w:i/>
          <w:iCs/>
          <w:sz w:val="24"/>
          <w:lang w:val="lv-LV"/>
        </w:rPr>
        <w:t xml:space="preserve"> </w:t>
      </w:r>
      <w:proofErr w:type="spellStart"/>
      <w:r w:rsidRPr="00D01E22">
        <w:rPr>
          <w:i/>
          <w:iCs/>
          <w:sz w:val="24"/>
          <w:lang w:val="lv-LV"/>
        </w:rPr>
        <w:t>analysis</w:t>
      </w:r>
      <w:proofErr w:type="spellEnd"/>
      <w:r w:rsidRPr="00D01E22">
        <w:rPr>
          <w:i/>
          <w:iCs/>
          <w:sz w:val="24"/>
          <w:lang w:val="lv-LV"/>
        </w:rPr>
        <w:t xml:space="preserve"> </w:t>
      </w:r>
      <w:proofErr w:type="spellStart"/>
      <w:r w:rsidRPr="00D01E22">
        <w:rPr>
          <w:i/>
          <w:iCs/>
          <w:sz w:val="24"/>
          <w:lang w:val="lv-LV"/>
        </w:rPr>
        <w:t>of</w:t>
      </w:r>
      <w:proofErr w:type="spellEnd"/>
      <w:r w:rsidRPr="00D01E22">
        <w:rPr>
          <w:i/>
          <w:iCs/>
          <w:sz w:val="24"/>
          <w:lang w:val="lv-LV"/>
        </w:rPr>
        <w:t xml:space="preserve"> </w:t>
      </w:r>
      <w:proofErr w:type="spellStart"/>
      <w:r w:rsidRPr="00D01E22">
        <w:rPr>
          <w:i/>
          <w:iCs/>
          <w:sz w:val="24"/>
          <w:lang w:val="lv-LV"/>
        </w:rPr>
        <w:t>the</w:t>
      </w:r>
      <w:proofErr w:type="spellEnd"/>
      <w:r w:rsidRPr="00D01E22">
        <w:rPr>
          <w:i/>
          <w:iCs/>
          <w:sz w:val="24"/>
          <w:lang w:val="lv-LV"/>
        </w:rPr>
        <w:t xml:space="preserve"> </w:t>
      </w:r>
      <w:proofErr w:type="spellStart"/>
      <w:r w:rsidRPr="00D01E22">
        <w:rPr>
          <w:i/>
          <w:iCs/>
          <w:sz w:val="24"/>
          <w:lang w:val="lv-LV"/>
        </w:rPr>
        <w:t>impact</w:t>
      </w:r>
      <w:proofErr w:type="spellEnd"/>
      <w:r w:rsidRPr="00D01E22">
        <w:rPr>
          <w:i/>
          <w:iCs/>
          <w:sz w:val="24"/>
          <w:lang w:val="lv-LV"/>
        </w:rPr>
        <w:t xml:space="preserve"> </w:t>
      </w:r>
      <w:proofErr w:type="spellStart"/>
      <w:r w:rsidRPr="00D01E22">
        <w:rPr>
          <w:i/>
          <w:iCs/>
          <w:sz w:val="24"/>
          <w:lang w:val="lv-LV"/>
        </w:rPr>
        <w:t>of</w:t>
      </w:r>
      <w:proofErr w:type="spellEnd"/>
      <w:r w:rsidRPr="00D01E22">
        <w:rPr>
          <w:i/>
          <w:iCs/>
          <w:sz w:val="24"/>
          <w:lang w:val="lv-LV"/>
        </w:rPr>
        <w:t xml:space="preserve"> EU </w:t>
      </w:r>
      <w:proofErr w:type="spellStart"/>
      <w:r w:rsidRPr="00D01E22">
        <w:rPr>
          <w:i/>
          <w:iCs/>
          <w:sz w:val="24"/>
          <w:lang w:val="lv-LV"/>
        </w:rPr>
        <w:t>consumption</w:t>
      </w:r>
      <w:proofErr w:type="spellEnd"/>
      <w:r w:rsidRPr="00D01E22">
        <w:rPr>
          <w:i/>
          <w:iCs/>
          <w:sz w:val="24"/>
          <w:lang w:val="lv-LV"/>
        </w:rPr>
        <w:t xml:space="preserve"> </w:t>
      </w:r>
      <w:proofErr w:type="spellStart"/>
      <w:r w:rsidRPr="00D01E22">
        <w:rPr>
          <w:i/>
          <w:iCs/>
          <w:sz w:val="24"/>
          <w:lang w:val="lv-LV"/>
        </w:rPr>
        <w:t>on</w:t>
      </w:r>
      <w:proofErr w:type="spellEnd"/>
      <w:r w:rsidRPr="00D01E22">
        <w:rPr>
          <w:i/>
          <w:iCs/>
          <w:sz w:val="24"/>
          <w:lang w:val="lv-LV"/>
        </w:rPr>
        <w:t xml:space="preserve"> </w:t>
      </w:r>
      <w:proofErr w:type="spellStart"/>
      <w:r w:rsidRPr="00D01E22">
        <w:rPr>
          <w:i/>
          <w:iCs/>
          <w:sz w:val="24"/>
          <w:lang w:val="lv-LV"/>
        </w:rPr>
        <w:t>deforestation</w:t>
      </w:r>
      <w:proofErr w:type="spellEnd"/>
      <w:r w:rsidRPr="00D01E22">
        <w:rPr>
          <w:sz w:val="24"/>
          <w:lang w:val="lv-LV"/>
        </w:rPr>
        <w:t xml:space="preserve">” (ES patēriņa ietekme uz mežu izciršanu: visaptveroša analīze par ES patēriņa ietekmi uz mežu izciršanu”, </w:t>
      </w:r>
      <w:hyperlink r:id="rId36" w:history="1">
        <w:r w:rsidRPr="00D01E22">
          <w:rPr>
            <w:rStyle w:val="Hyperlink"/>
            <w:sz w:val="24"/>
            <w:lang w:val="lv-LV"/>
          </w:rPr>
          <w:t>https://op.europa.eu/en/publication-detail/-/publication/c1d3ef3e-d07e-4229-91e5-41001b47dba8/language-en</w:t>
        </w:r>
      </w:hyperlink>
      <w:r w:rsidRPr="00D01E22">
        <w:rPr>
          <w:sz w:val="24"/>
          <w:lang w:val="lv-LV"/>
        </w:rPr>
        <w:t>, 23. un 24. lpp.: laikā no 1990. līdz 2008. gadam Savienība importēja kultūraugus un lauksaimniecības dzīvnieku izcelsmes produktus daudzumā, kas izraisīja atmežošanu 90 000 km</w:t>
      </w:r>
      <w:r w:rsidRPr="00D01E22">
        <w:rPr>
          <w:rStyle w:val="sup1"/>
          <w:color w:val="000000"/>
          <w:sz w:val="24"/>
          <w:lang w:val="lv-LV"/>
        </w:rPr>
        <w:t>2</w:t>
      </w:r>
      <w:r w:rsidRPr="00D01E22">
        <w:rPr>
          <w:sz w:val="24"/>
          <w:lang w:val="lv-LV"/>
        </w:rPr>
        <w:t xml:space="preserve"> platībā. Kultūraugu produktu radītā atmežošana sasniedza 74 000 km</w:t>
      </w:r>
      <w:r w:rsidRPr="00D01E22">
        <w:rPr>
          <w:rStyle w:val="sup1"/>
          <w:color w:val="000000"/>
          <w:sz w:val="24"/>
          <w:lang w:val="lv-LV"/>
        </w:rPr>
        <w:t>2</w:t>
      </w:r>
      <w:r w:rsidRPr="00D01E22">
        <w:rPr>
          <w:sz w:val="24"/>
          <w:lang w:val="lv-LV"/>
        </w:rPr>
        <w:t xml:space="preserve"> (82 % no minētā), kur lielākā daļa (52 000 km</w:t>
      </w:r>
      <w:r w:rsidRPr="00D01E22">
        <w:rPr>
          <w:rStyle w:val="sup1"/>
          <w:color w:val="000000"/>
          <w:sz w:val="24"/>
          <w:lang w:val="lv-LV"/>
        </w:rPr>
        <w:t>2</w:t>
      </w:r>
      <w:r w:rsidRPr="00D01E22">
        <w:rPr>
          <w:sz w:val="24"/>
          <w:lang w:val="lv-LV"/>
        </w:rPr>
        <w:t>) bija eļļas kultūraugu radītā atmežošana. Sojas pupas un sojas rauši veido 82 % no kopējā atmežošanas apjoma (42 600 km</w:t>
      </w:r>
      <w:r w:rsidRPr="00D01E22">
        <w:rPr>
          <w:rStyle w:val="sup1"/>
          <w:color w:val="000000"/>
          <w:sz w:val="24"/>
          <w:lang w:val="lv-LV"/>
        </w:rPr>
        <w:t>2</w:t>
      </w:r>
      <w:r w:rsidRPr="00D01E22">
        <w:rPr>
          <w:sz w:val="24"/>
          <w:lang w:val="lv-LV"/>
        </w:rPr>
        <w:t>), kas atbilst 47 % no Savienības kopējā importa, kurš izraisījis atmežošanu.</w:t>
      </w:r>
    </w:p>
  </w:footnote>
  <w:footnote w:id="27">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hyperlink r:id="rId37" w:history="1">
        <w:r w:rsidRPr="00D01E22">
          <w:rPr>
            <w:rStyle w:val="Hyperlink"/>
            <w:sz w:val="24"/>
            <w:lang w:val="lv-LV"/>
          </w:rPr>
          <w:t>https://commission.europa.eu/document/2c64e540-c07a-4376-a1da-368d289f4afe_en</w:t>
        </w:r>
      </w:hyperlink>
      <w:r w:rsidRPr="00D01E22">
        <w:rPr>
          <w:sz w:val="24"/>
          <w:lang w:val="lv-LV"/>
        </w:rPr>
        <w:t>.</w:t>
      </w:r>
    </w:p>
  </w:footnote>
  <w:footnote w:id="28">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Saskaņā ar Regulas (ES) Nr. 182/2011 6. panta 3. punktu Komisija “var pieņemt”, nevis “pieņem” projektu, ja Pārsūdzības komitejā ar dalībvalstu kvalificētu balsu vairākumu nav sniegts pozitīvs atzinums.</w:t>
      </w:r>
    </w:p>
  </w:footnote>
  <w:footnote w:id="29">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w:t>
      </w:r>
      <w:r w:rsidRPr="00D01E22">
        <w:rPr>
          <w:sz w:val="24"/>
          <w:lang w:val="lv-LV"/>
        </w:rPr>
        <w:t>lpp., ELI:</w:t>
      </w:r>
      <w:r w:rsidRPr="00D01E22">
        <w:rPr>
          <w:color w:val="000000" w:themeColor="text1"/>
          <w:sz w:val="24"/>
          <w:lang w:val="lv-LV"/>
        </w:rPr>
        <w:t> </w:t>
      </w:r>
      <w:hyperlink r:id="rId38" w:tgtFrame="Gives access to this document through its ELI URI." w:history="1">
        <w:r w:rsidRPr="00D01E22">
          <w:rPr>
            <w:rStyle w:val="Hyperlink"/>
            <w:color w:val="0070C0"/>
            <w:sz w:val="24"/>
            <w:lang w:val="lv-LV"/>
          </w:rPr>
          <w:t>http://data.europa.eu/eli/reg/2002/178/oj</w:t>
        </w:r>
      </w:hyperlink>
      <w:r w:rsidRPr="00D01E22">
        <w:rPr>
          <w:sz w:val="24"/>
          <w:lang w:val="lv-LV"/>
        </w:rPr>
        <w:t>).</w:t>
      </w:r>
    </w:p>
  </w:footnote>
  <w:footnote w:id="30">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Apvienoto Nāciju Organizācijas Konvencijas par bioloģisko daudzveidību COP15 laikā 2022. gada decembrī vienojās par globālu bioloģiskās daudzveidības satvaru, kas ietver globālu mērķi līdz 2030. </w:t>
      </w:r>
      <w:r w:rsidRPr="00D01E22">
        <w:rPr>
          <w:sz w:val="24"/>
          <w:lang w:val="lv-LV"/>
        </w:rPr>
        <w:t xml:space="preserve">gadam vismaz par 50 % samazināt pesticīdu radīto risku (sk.: </w:t>
      </w:r>
      <w:hyperlink r:id="rId39" w:history="1">
        <w:r w:rsidRPr="00D01E22">
          <w:rPr>
            <w:rStyle w:val="Hyperlink"/>
            <w:sz w:val="24"/>
            <w:lang w:val="lv-LV"/>
          </w:rPr>
          <w:t>https://ec.europa.eu/commission/presscorner/detail/lv/ip_22_7834</w:t>
        </w:r>
      </w:hyperlink>
      <w:r w:rsidRPr="00D01E22">
        <w:rPr>
          <w:sz w:val="24"/>
          <w:lang w:val="lv-LV"/>
        </w:rPr>
        <w:t>).</w:t>
      </w:r>
    </w:p>
  </w:footnote>
  <w:footnote w:id="31">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hyperlink r:id="rId40" w:history="1">
        <w:r w:rsidRPr="00D01E22">
          <w:rPr>
            <w:rStyle w:val="Hyperlink"/>
            <w:sz w:val="24"/>
            <w:lang w:val="lv-LV"/>
          </w:rPr>
          <w:t>https://tillymetz.lu/wp-content/uploads/2020/09/Co-signed-letter-MEP-Metz.pdf</w:t>
        </w:r>
      </w:hyperlink>
      <w:r w:rsidRPr="00D01E22">
        <w:rPr>
          <w:rStyle w:val="Hyperlink"/>
          <w:sz w:val="24"/>
          <w:lang w:val="lv-LV"/>
        </w:rPr>
        <w:t>.</w:t>
      </w:r>
    </w:p>
  </w:footnote>
  <w:footnote w:id="32">
    <w:p w:rsidR="003029DF" w:rsidRPr="00D01E22" w:rsidRDefault="003029DF" w:rsidP="00D01E22">
      <w:pPr>
        <w:pStyle w:val="FootnoteText"/>
        <w:ind w:left="567" w:hanging="567"/>
        <w:rPr>
          <w:sz w:val="24"/>
          <w:lang w:val="lv-LV"/>
        </w:rPr>
      </w:pPr>
      <w:r w:rsidRPr="00D01E22">
        <w:rPr>
          <w:rStyle w:val="FootnoteReference"/>
          <w:sz w:val="24"/>
          <w:lang w:val="lv-LV"/>
        </w:rPr>
        <w:footnoteRef/>
      </w:r>
      <w:r w:rsidR="00D01E22" w:rsidRPr="00D01E22">
        <w:rPr>
          <w:sz w:val="24"/>
          <w:lang w:val="lv-LV"/>
        </w:rPr>
        <w:t xml:space="preserve"> </w:t>
      </w:r>
      <w:r w:rsidR="00D01E22" w:rsidRPr="00D01E22">
        <w:rPr>
          <w:sz w:val="24"/>
          <w:lang w:val="lv-LV"/>
        </w:rPr>
        <w:tab/>
      </w:r>
      <w:r w:rsidRPr="00D01E22">
        <w:rPr>
          <w:sz w:val="24"/>
          <w:lang w:val="lv-LV"/>
        </w:rPr>
        <w:t>Eiropas Parlamenta 2020. gada 15. janvāra rezolūcija par Eiropas zaļo kursu (OV C 270, 7.7.2021., 2. lpp.), 102.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E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E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E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LV"/>
    <w:docVar w:name="dvnumam" w:val="0"/>
    <w:docVar w:name="dvpe" w:val="772.013"/>
    <w:docVar w:name="dvtitre" w:val="Eiropas Parlamenta 2025. gada XX. XXX  rezolūcija par projektu Komisijas īstenošanas lēmumam, ar ko atbilstoši Eiropas Parlamenta un Padomes Regulai (EK) Nr. 1829/2003 atļauj laist tirgū produktus, kas satur ģenētiski modificētas sojas pupas MON 87705 × MON 87708 × MON 89788, sastāv vai ir ražoti no tām(D105678/01 – 2025/2647(RSP))"/>
  </w:docVars>
  <w:rsids>
    <w:rsidRoot w:val="0088277D"/>
    <w:rsid w:val="00002272"/>
    <w:rsid w:val="00064002"/>
    <w:rsid w:val="000677B9"/>
    <w:rsid w:val="000831BA"/>
    <w:rsid w:val="000A42CC"/>
    <w:rsid w:val="000E7DD9"/>
    <w:rsid w:val="0010095E"/>
    <w:rsid w:val="00125B37"/>
    <w:rsid w:val="00187494"/>
    <w:rsid w:val="001F32AE"/>
    <w:rsid w:val="002507EB"/>
    <w:rsid w:val="002767FF"/>
    <w:rsid w:val="002B18FE"/>
    <w:rsid w:val="002B5493"/>
    <w:rsid w:val="002C67C7"/>
    <w:rsid w:val="002D6172"/>
    <w:rsid w:val="003029D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77D"/>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DD5"/>
    <w:rsid w:val="00B558F0"/>
    <w:rsid w:val="00BD48FE"/>
    <w:rsid w:val="00BD7BD8"/>
    <w:rsid w:val="00BE6ADC"/>
    <w:rsid w:val="00C05BFE"/>
    <w:rsid w:val="00C23CD4"/>
    <w:rsid w:val="00C61C0C"/>
    <w:rsid w:val="00C941CB"/>
    <w:rsid w:val="00CC2357"/>
    <w:rsid w:val="00CF071A"/>
    <w:rsid w:val="00D01E2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88B56"/>
  <w15:chartTrackingRefBased/>
  <w15:docId w15:val="{221238B2-E63A-478F-A575-C4498E2B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29DF"/>
    <w:pPr>
      <w:spacing w:before="480" w:after="240"/>
    </w:pPr>
  </w:style>
  <w:style w:type="paragraph" w:customStyle="1" w:styleId="NormalBold12a">
    <w:name w:val="NormalBold12a"/>
    <w:basedOn w:val="Normal"/>
    <w:rsid w:val="003029DF"/>
    <w:pPr>
      <w:spacing w:after="240"/>
    </w:pPr>
    <w:rPr>
      <w:b/>
    </w:rPr>
  </w:style>
  <w:style w:type="paragraph" w:customStyle="1" w:styleId="NormalHanging12a">
    <w:name w:val="NormalHanging12a"/>
    <w:basedOn w:val="Normal"/>
    <w:qFormat/>
    <w:rsid w:val="003029DF"/>
    <w:pPr>
      <w:spacing w:after="240"/>
      <w:ind w:left="567" w:hanging="567"/>
    </w:pPr>
  </w:style>
  <w:style w:type="paragraph" w:customStyle="1" w:styleId="NormalBold">
    <w:name w:val="NormalBold"/>
    <w:basedOn w:val="Normal"/>
    <w:rsid w:val="003029DF"/>
    <w:rPr>
      <w:b/>
    </w:rPr>
  </w:style>
  <w:style w:type="character" w:styleId="Hyperlink">
    <w:name w:val="Hyperlink"/>
    <w:basedOn w:val="DefaultParagraphFont"/>
    <w:uiPriority w:val="99"/>
    <w:rsid w:val="003029DF"/>
    <w:rPr>
      <w:color w:val="0563C1" w:themeColor="hyperlink"/>
      <w:u w:val="single"/>
    </w:rPr>
  </w:style>
  <w:style w:type="paragraph" w:styleId="NoSpacing">
    <w:name w:val="No Spacing"/>
    <w:basedOn w:val="Normal"/>
    <w:uiPriority w:val="1"/>
    <w:qFormat/>
    <w:rsid w:val="003029DF"/>
    <w:pPr>
      <w:widowControl/>
      <w:jc w:val="both"/>
    </w:pPr>
    <w:rPr>
      <w:rFonts w:eastAsiaTheme="minorHAnsi"/>
      <w:szCs w:val="32"/>
      <w:lang w:eastAsia="en-US"/>
    </w:rPr>
  </w:style>
  <w:style w:type="character" w:customStyle="1" w:styleId="sup1">
    <w:name w:val="sup1"/>
    <w:basedOn w:val="DefaultParagraphFont"/>
    <w:rsid w:val="003029DF"/>
    <w:rPr>
      <w:sz w:val="19"/>
      <w:szCs w:val="19"/>
      <w:vertAlign w:val="superscript"/>
    </w:rPr>
  </w:style>
  <w:style w:type="paragraph" w:styleId="BalloonText">
    <w:name w:val="Balloon Text"/>
    <w:basedOn w:val="Normal"/>
    <w:link w:val="BalloonTextChar"/>
    <w:rsid w:val="002D6172"/>
    <w:rPr>
      <w:rFonts w:ascii="Segoe UI" w:hAnsi="Segoe UI" w:cs="Segoe UI"/>
      <w:sz w:val="18"/>
      <w:szCs w:val="18"/>
    </w:rPr>
  </w:style>
  <w:style w:type="character" w:customStyle="1" w:styleId="BalloonTextChar">
    <w:name w:val="Balloon Text Char"/>
    <w:basedOn w:val="DefaultParagraphFont"/>
    <w:link w:val="BalloonText"/>
    <w:rsid w:val="002D617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en/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LV/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LV/TXT/HTML/?uri=CELEX:52019DC0352&amp;from=EN"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en/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LV/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en/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LV/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65575-3739-469A-B639-63EBC38AB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2196</Words>
  <Characters>13670</Characters>
  <Application>Microsoft Office Word</Application>
  <DocSecurity>0</DocSecurity>
  <Lines>216</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2025-06-12T15:09:00Z</dcterms:created>
  <dcterms:modified xsi:type="dcterms:W3CDTF">2025-06-12T15:09:00Z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B10-0244/2025</vt:lpwstr>
  </property>
  <property fmtid="{D5CDD505-2E9C-101B-9397-08002B2CF9AE}" pid="4" name="&lt;Type&gt;">
    <vt:lpwstr>RR</vt:lpwstr>
  </property>
</Properties>
</file>