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69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69D1" w:rsidRDefault="00F71A61" w:rsidP="0010095E">
            <w:pPr>
              <w:pStyle w:val="EPName"/>
            </w:pPr>
            <w:r w:rsidRPr="00B369D1">
              <w:t>Parlament Ewropew</w:t>
            </w:r>
          </w:p>
          <w:p w:rsidR="00751A4A" w:rsidRPr="00B369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69D1">
              <w:t>2024</w:t>
            </w:r>
            <w:r w:rsidR="00817416" w:rsidRPr="00B369D1">
              <w:t>-202</w:t>
            </w:r>
            <w:r w:rsidRPr="00B369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369D1" w:rsidRDefault="00187494" w:rsidP="0010095E">
            <w:pPr>
              <w:pStyle w:val="EPLogo"/>
            </w:pPr>
            <w:r w:rsidRPr="00B369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69D1" w:rsidRDefault="00D058B8" w:rsidP="004C5D52">
      <w:pPr>
        <w:pStyle w:val="LineTop"/>
      </w:pPr>
    </w:p>
    <w:p w:rsidR="00680577" w:rsidRPr="00B369D1" w:rsidRDefault="00F71A61" w:rsidP="00680577">
      <w:pPr>
        <w:pStyle w:val="EPBodyTA1"/>
      </w:pPr>
      <w:r w:rsidRPr="00B369D1">
        <w:t>TESTI ADOTTATI</w:t>
      </w:r>
    </w:p>
    <w:p w:rsidR="00D058B8" w:rsidRPr="00B369D1" w:rsidRDefault="00D058B8" w:rsidP="00D058B8">
      <w:pPr>
        <w:pStyle w:val="LineBottom"/>
      </w:pPr>
    </w:p>
    <w:p w:rsidR="00F71A61" w:rsidRPr="00B369D1" w:rsidRDefault="00F71A61" w:rsidP="00F71A61">
      <w:pPr>
        <w:pStyle w:val="ATHeading1"/>
      </w:pPr>
      <w:bookmarkStart w:id="0" w:name="TANumber"/>
      <w:r w:rsidRPr="00B369D1">
        <w:t>P10_TA(2025)0</w:t>
      </w:r>
      <w:bookmarkEnd w:id="0"/>
      <w:r w:rsidR="004001C1">
        <w:t>106</w:t>
      </w:r>
    </w:p>
    <w:p w:rsidR="00F71A61" w:rsidRPr="00B369D1" w:rsidRDefault="005B7169" w:rsidP="005B7169">
      <w:pPr>
        <w:pStyle w:val="ATHeading2"/>
      </w:pPr>
      <w:r>
        <w:t>Oġġezzjoni skont l-Artikolu 115(2) u (3) tar-Regoli ta’ Proċedura: fażola tas-sojja ġenetikament modifikata MON 87705×MON 87708×MON 89788</w:t>
      </w:r>
    </w:p>
    <w:p w:rsidR="00F71A61" w:rsidRPr="00B369D1" w:rsidRDefault="00F71A61" w:rsidP="00F71A61">
      <w:pPr>
        <w:rPr>
          <w:i/>
          <w:vanish/>
        </w:rPr>
      </w:pPr>
      <w:r w:rsidRPr="00B369D1">
        <w:rPr>
          <w:i/>
        </w:rPr>
        <w:fldChar w:fldCharType="begin"/>
      </w:r>
      <w:r w:rsidRPr="00B369D1">
        <w:rPr>
          <w:i/>
        </w:rPr>
        <w:instrText xml:space="preserve"> TC"(</w:instrText>
      </w:r>
      <w:bookmarkStart w:id="1" w:name="DocNumber"/>
      <w:r w:rsidRPr="00B369D1">
        <w:rPr>
          <w:i/>
        </w:rPr>
        <w:instrText>B10-0244/2025</w:instrText>
      </w:r>
      <w:bookmarkEnd w:id="1"/>
      <w:r w:rsidRPr="00B369D1">
        <w:rPr>
          <w:i/>
        </w:rPr>
        <w:instrText xml:space="preserve">)"\l3 \n&gt; \* MERGEFORMAT </w:instrText>
      </w:r>
      <w:r w:rsidRPr="00B369D1">
        <w:rPr>
          <w:i/>
        </w:rPr>
        <w:fldChar w:fldCharType="end"/>
      </w:r>
    </w:p>
    <w:p w:rsidR="00F71A61" w:rsidRPr="00B369D1" w:rsidRDefault="00F71A61" w:rsidP="00F71A61">
      <w:pPr>
        <w:rPr>
          <w:vanish/>
        </w:rPr>
      </w:pPr>
      <w:bookmarkStart w:id="2" w:name="PE"/>
      <w:r w:rsidRPr="00B369D1">
        <w:rPr>
          <w:vanish/>
        </w:rPr>
        <w:t>PE772.013</w:t>
      </w:r>
      <w:bookmarkEnd w:id="2"/>
    </w:p>
    <w:p w:rsidR="00F71A61" w:rsidRPr="00B369D1" w:rsidRDefault="00F71A61" w:rsidP="00F71A61">
      <w:pPr>
        <w:pStyle w:val="ATHeading3"/>
      </w:pPr>
      <w:bookmarkStart w:id="3" w:name="Sujet"/>
      <w:r w:rsidRPr="00B369D1">
        <w:t>Riżoluzzjoni tal-Parlament Ewropew tat-8 ta' Mejju 2025 dwar l-abbozz ta’ deċiżjoni ta’ implimentazzjoni tal-Kum</w:t>
      </w:r>
      <w:bookmarkStart w:id="4" w:name="_GoBack"/>
      <w:bookmarkEnd w:id="4"/>
      <w:r w:rsidRPr="00B369D1">
        <w:t>missjoni li tawtorizza t-tqegħid fis-suq ta’ prodotti li fihom il-fażola tas-sojja ġenetikament modifikata MON 87705 × MON 87708 × MON 89788, li jikkonsistu minnha jew li huma prodotti minnha, skont ir-Regolament (KE) Nru 1829/2003 tal-Parlament Ewropew u tal-Kunsill</w:t>
      </w:r>
      <w:bookmarkEnd w:id="3"/>
      <w:r w:rsidRPr="00B369D1">
        <w:t xml:space="preserve"> </w:t>
      </w:r>
      <w:bookmarkStart w:id="5" w:name="References"/>
      <w:r w:rsidRPr="00B369D1">
        <w:t>(D105678/0</w:t>
      </w:r>
      <w:r w:rsidR="005B7169">
        <w:t>3</w:t>
      </w:r>
      <w:r w:rsidRPr="00B369D1">
        <w:t xml:space="preserve"> – 2025/2647(RSP))</w:t>
      </w:r>
      <w:bookmarkEnd w:id="5"/>
    </w:p>
    <w:p w:rsidR="00EE56E9" w:rsidRPr="00B369D1" w:rsidRDefault="00EE56E9" w:rsidP="00EE56E9">
      <w:pPr>
        <w:pStyle w:val="EPComma"/>
      </w:pPr>
      <w:bookmarkStart w:id="6" w:name="TextBodyBegin"/>
      <w:bookmarkEnd w:id="6"/>
      <w:r w:rsidRPr="00B369D1">
        <w:rPr>
          <w:i/>
          <w:iCs/>
        </w:rPr>
        <w:t>Il-Parlament Ewropew,</w:t>
      </w:r>
    </w:p>
    <w:p w:rsidR="00EE56E9" w:rsidRPr="00B369D1" w:rsidRDefault="00EE56E9" w:rsidP="00EE56E9">
      <w:pPr>
        <w:pStyle w:val="NormalHanging12a"/>
      </w:pPr>
      <w:r w:rsidRPr="00B369D1">
        <w:t>–</w:t>
      </w:r>
      <w:r w:rsidRPr="00B369D1">
        <w:tab/>
        <w:t>wara li kkunsidra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(D105678/03),</w:t>
      </w:r>
    </w:p>
    <w:p w:rsidR="00EE56E9" w:rsidRPr="00B369D1" w:rsidRDefault="00EE56E9" w:rsidP="00EE56E9">
      <w:pPr>
        <w:pStyle w:val="NormalHanging12a"/>
      </w:pPr>
      <w:r w:rsidRPr="00B369D1">
        <w:t>–</w:t>
      </w:r>
      <w:r w:rsidRPr="00B369D1">
        <w:tab/>
        <w:t>wara li kkunsidra r-Regolament (KE) Nru 1829/2003 tal-Parlament Ewropew u tal-Kunsill tat-22 ta’ Settembru 2003 dwar ikel u għalf modifikat ġenetikament</w:t>
      </w:r>
      <w:r w:rsidRPr="00B369D1">
        <w:rPr>
          <w:rStyle w:val="FootnoteReference"/>
        </w:rPr>
        <w:footnoteReference w:id="1"/>
      </w:r>
      <w:r w:rsidRPr="00B369D1">
        <w:t>, u b’mod partikolari l-Artikolu 7(3) u l-Artikolu 19(3) tiegħu,</w:t>
      </w:r>
    </w:p>
    <w:p w:rsidR="00EE56E9" w:rsidRPr="00B369D1" w:rsidRDefault="00EE56E9" w:rsidP="00EE56E9">
      <w:pPr>
        <w:pStyle w:val="NormalHanging12a"/>
        <w:rPr>
          <w:szCs w:val="24"/>
        </w:rPr>
      </w:pPr>
      <w:r w:rsidRPr="00B369D1">
        <w:t>–</w:t>
      </w:r>
      <w:r w:rsidRPr="00B369D1">
        <w:tab/>
        <w:t>wara li kkunsidra l-vota</w:t>
      </w:r>
      <w:r w:rsidRPr="00B369D1">
        <w:rPr>
          <w:shd w:val="clear" w:color="auto" w:fill="FFFFFF"/>
        </w:rPr>
        <w:t>zzjoni tal-Kumitat Permanenti dwar il-Pjanti, l-Annimali, l-Ikel u l-Għalf imsemmi fl-Artikolu 35 tar-Regolament (KE) Nru 1829/2003, tat-28 ta’ Frar 2025, fejn ma ngħatat ebda opinjoni</w:t>
      </w:r>
      <w:r w:rsidRPr="00B369D1">
        <w:t>,</w:t>
      </w:r>
    </w:p>
    <w:p w:rsidR="00EE56E9" w:rsidRPr="00B369D1" w:rsidRDefault="00EE56E9" w:rsidP="00EE56E9">
      <w:pPr>
        <w:pStyle w:val="NormalHanging12a"/>
      </w:pPr>
      <w:r w:rsidRPr="00B369D1">
        <w:t>–</w:t>
      </w:r>
      <w:r w:rsidRPr="00B369D1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B369D1">
        <w:rPr>
          <w:rStyle w:val="FootnoteReference"/>
        </w:rPr>
        <w:footnoteReference w:id="2"/>
      </w:r>
      <w:r w:rsidRPr="00B369D1">
        <w:t>,</w:t>
      </w:r>
    </w:p>
    <w:p w:rsidR="00EE56E9" w:rsidRPr="00B369D1" w:rsidRDefault="00EE56E9" w:rsidP="00EE56E9">
      <w:pPr>
        <w:pStyle w:val="NormalHanging12a"/>
      </w:pPr>
      <w:r w:rsidRPr="00B369D1">
        <w:t>–</w:t>
      </w:r>
      <w:r w:rsidRPr="00B369D1">
        <w:tab/>
        <w:t xml:space="preserve">wara li kkunsidra l-opinjoni adottata mill-Awtorità Ewropea dwar is-Sigurtà fl-Ikel </w:t>
      </w:r>
      <w:r w:rsidRPr="00B369D1">
        <w:lastRenderedPageBreak/>
        <w:t>(EFSA) fit-2 ta’ April 2020, u ppubblikata fit-18 ta’ Mejju 2020</w:t>
      </w:r>
      <w:r w:rsidRPr="00B369D1">
        <w:rPr>
          <w:rStyle w:val="FootnoteReference"/>
        </w:rPr>
        <w:footnoteReference w:id="3"/>
      </w:r>
      <w:r w:rsidRPr="00B369D1">
        <w:t>,</w:t>
      </w:r>
    </w:p>
    <w:p w:rsidR="00EE56E9" w:rsidRPr="00B369D1" w:rsidRDefault="00EE56E9" w:rsidP="00EE56E9">
      <w:pPr>
        <w:pStyle w:val="NormalHanging12a"/>
        <w:rPr>
          <w:szCs w:val="24"/>
        </w:rPr>
      </w:pPr>
      <w:r w:rsidRPr="00B369D1">
        <w:rPr>
          <w:rFonts w:ascii="Symbol" w:hAnsi="Symbol"/>
        </w:rPr>
        <w:t></w:t>
      </w:r>
      <w:r w:rsidRPr="00B369D1">
        <w:rPr>
          <w:rFonts w:ascii="Symbol" w:hAnsi="Symbol"/>
        </w:rPr>
        <w:tab/>
      </w:r>
      <w:r w:rsidRPr="00B369D1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B369D1">
        <w:rPr>
          <w:rStyle w:val="FootnoteReference"/>
          <w:szCs w:val="24"/>
          <w:shd w:val="clear" w:color="auto" w:fill="FFFFFF"/>
        </w:rPr>
        <w:footnoteReference w:id="4"/>
      </w:r>
      <w:r w:rsidRPr="00B369D1">
        <w:rPr>
          <w:shd w:val="clear" w:color="auto" w:fill="FFFFFF"/>
        </w:rPr>
        <w:t>,</w:t>
      </w:r>
    </w:p>
    <w:p w:rsidR="00EE56E9" w:rsidRPr="00B369D1" w:rsidRDefault="00EE56E9" w:rsidP="00EE56E9">
      <w:pPr>
        <w:pStyle w:val="NormalHanging12a"/>
      </w:pPr>
      <w:r w:rsidRPr="00B369D1">
        <w:lastRenderedPageBreak/>
        <w:t>–</w:t>
      </w:r>
      <w:r w:rsidRPr="00B369D1">
        <w:tab/>
        <w:t>wara li kkunsidra l-Artikolu 115(2) u (3) tar-Regoli ta’ Proċedura tiegħu,</w:t>
      </w:r>
    </w:p>
    <w:p w:rsidR="00EE56E9" w:rsidRPr="00B369D1" w:rsidRDefault="00EE56E9" w:rsidP="00EE56E9">
      <w:pPr>
        <w:pStyle w:val="NormalHanging12a"/>
      </w:pPr>
      <w:r w:rsidRPr="00B369D1">
        <w:t>–</w:t>
      </w:r>
      <w:r w:rsidRPr="00B369D1">
        <w:tab/>
        <w:t>wara li kkunsidra l-mozzjoni għal riżoluzzjoni tal-Kumitat għall-Ambjent, il-Klima u s-Sikurezza tal-Ikel,</w:t>
      </w:r>
    </w:p>
    <w:p w:rsidR="00EE56E9" w:rsidRPr="00B369D1" w:rsidRDefault="00EE56E9" w:rsidP="00EE56E9">
      <w:pPr>
        <w:pStyle w:val="NormalHanging12a"/>
      </w:pPr>
      <w:r w:rsidRPr="00B369D1">
        <w:t>A.</w:t>
      </w:r>
      <w:r w:rsidRPr="00B369D1">
        <w:tab/>
        <w:t xml:space="preserve">billi, fil-11 ta’ Settembru 2015, Monsanto Europe S.A./N.V., f’isem Monsanto Company, ibbażata fl-Istati Uniti, ressqet applikazzjoni quddiem l-awtorità kompetenti nazzjonali tan-Netherlands (“l-applikazzjoni”), f’konformità mal-Artikolu 5 u mal-Artikolu 17 tar-Regolament (KE) Nru 1829/2003, għat-tqegħid fis-suq ta’ ikel, ingredjenti tal-ikel u għalf li fihom, li jikkonsistu jew li huma prodotti mill-fażola tas-sojja modifikata ġenetikament </w:t>
      </w:r>
      <w:bookmarkStart w:id="7" w:name="_Hlk183685905"/>
      <w:r w:rsidRPr="00B369D1">
        <w:t>MON 87705 × MON 87708 × MON 89788</w:t>
      </w:r>
      <w:bookmarkEnd w:id="7"/>
      <w:r w:rsidRPr="00B369D1">
        <w:t xml:space="preserve"> (“fażola tas-sojja ĠM”). L-applikazzjoni kopriet ukoll it-tqegħid fis-suq ta’ prodotti li fihom jew li jikkonsistu minn fażola tas-sojja ĠM għal użi oħrajn għajr l-ikel u l-għalf, bl-eċċezzjoni tal-kultivazzjoni;</w:t>
      </w:r>
    </w:p>
    <w:p w:rsidR="00EE56E9" w:rsidRPr="00B369D1" w:rsidRDefault="00EE56E9" w:rsidP="00EE56E9">
      <w:pPr>
        <w:pStyle w:val="NormalHanging12a"/>
      </w:pPr>
      <w:r w:rsidRPr="00B369D1">
        <w:t xml:space="preserve">B. </w:t>
      </w:r>
      <w:r w:rsidRPr="00B369D1">
        <w:tab/>
        <w:t>billi, fit-2 ta’ April 2020, l-EFSA adottat opinjoni favorevoli dwar il-fażola tas-sojja ĠM, li ġiet ippubblikata fit-18 ta’ Mejju 2020; billi, l-EFSA qieset il-mistoqsijiet u l-kwistjonijiet speċifiċi kollha mqajma mill-Istati Membri fil-kuntest tal-konsultazzjoni mal-awtoritajiet kompetenti nazzjonali kif stipulat fl-Artikolu 6(4) u l-Artikolu 18(4) tar-Regolament (KE) Nru 1829/2003;</w:t>
      </w:r>
    </w:p>
    <w:p w:rsidR="00EE56E9" w:rsidRPr="00B369D1" w:rsidRDefault="00EE56E9" w:rsidP="00EE56E9">
      <w:pPr>
        <w:pStyle w:val="NormalHanging12a"/>
      </w:pPr>
      <w:r w:rsidRPr="00B369D1">
        <w:t>C.</w:t>
      </w:r>
      <w:r w:rsidRPr="00B369D1">
        <w:tab/>
        <w:t xml:space="preserve">billi l-EFSA, madankollu, ma setgħetx tiffinalizza l-valutazzjoni tar-riskju u tikkonkludi dwar is-sikurezza tal-fażola tas-sojja ĠM minħabba n-nuqqas ta’ studju ta’ 90 jum dwar </w:t>
      </w:r>
      <w:r w:rsidRPr="00B369D1">
        <w:lastRenderedPageBreak/>
        <w:t>il-fażola tas-sojja ĠM u n-nuqqas ta’ pjan ta’ monitoraġġ ta’ wara t-tqegħid fis-suq</w:t>
      </w:r>
      <w:r w:rsidRPr="00B369D1">
        <w:rPr>
          <w:i/>
        </w:rPr>
        <w:t xml:space="preserve"> </w:t>
      </w:r>
      <w:r w:rsidRPr="00B369D1">
        <w:t>li jqis il-profil tal-aċidu xaħmi mibdul tal-fażola tas-sojja ĠM;</w:t>
      </w:r>
    </w:p>
    <w:p w:rsidR="00EE56E9" w:rsidRPr="00B369D1" w:rsidRDefault="00EE56E9" w:rsidP="00EE56E9">
      <w:pPr>
        <w:pStyle w:val="NormalHanging12a"/>
      </w:pPr>
      <w:r w:rsidRPr="00B369D1">
        <w:t xml:space="preserve">D. </w:t>
      </w:r>
      <w:r w:rsidRPr="00B369D1">
        <w:tab/>
        <w:t>billi fit-3 ta’ Ottubru 2024, l-EFSA adottat dikjarazzjoni, li ġiet ippubblikata fit-28 ta’ Ottubru 2024, li tikkomplementa l-opinjoni xjentifika tagħha tat-2 ta’ April 2020, ibbażata fuq id-data addizzjonali pprovduta mill-applikant</w:t>
      </w:r>
      <w:r w:rsidRPr="00B369D1">
        <w:rPr>
          <w:rStyle w:val="FootnoteReference"/>
        </w:rPr>
        <w:footnoteReference w:id="5"/>
      </w:r>
      <w:r w:rsidRPr="00B369D1">
        <w:t>, l-EFSA kkonkludiet li l-fażola tas-sojja ĠM, kif deskritta fl-applikazzjoni, hija sikura daqs il-kontroparti konvenzjonali tagħha u l-varjetajiet ta’ fażola tas-sojja mhux ġenetikament modifikati ttestjati fir-rigward tal-effetti potenzjali tagħha fuq is-saħħa tal-bniedem u tal-annimali u l-ambjent. L-EFSA kkonkludiet ukoll li l-konsum tal-</w:t>
      </w:r>
      <w:bookmarkStart w:id="8" w:name="_Hlk183443299"/>
      <w:r w:rsidRPr="00B369D1">
        <w:t>fażola tas-sojja</w:t>
      </w:r>
      <w:bookmarkEnd w:id="8"/>
      <w:r w:rsidRPr="00B369D1">
        <w:t xml:space="preserve"> ĠM ma jirrappreżentax tħassib nutrittiv;</w:t>
      </w:r>
    </w:p>
    <w:p w:rsidR="00EE56E9" w:rsidRPr="00B369D1" w:rsidRDefault="00EE56E9" w:rsidP="00EE56E9">
      <w:pPr>
        <w:pStyle w:val="NormalHanging12a"/>
        <w:rPr>
          <w:color w:val="000000"/>
        </w:rPr>
      </w:pPr>
      <w:r w:rsidRPr="00B369D1">
        <w:t>E.</w:t>
      </w:r>
      <w:r w:rsidRPr="00B369D1">
        <w:tab/>
        <w:t xml:space="preserve">billi </w:t>
      </w:r>
      <w:r w:rsidRPr="00B369D1">
        <w:rPr>
          <w:color w:val="000000"/>
        </w:rPr>
        <w:t>l-fażola tas-sojja ĠM ġiet modifikata biex tkun tolleranti għall-erbiċidi bbażati fuq il-glifosat u d-dikamba u biex tbiddel il-profil tal-aċidu xaħmi tagħha</w:t>
      </w:r>
      <w:r w:rsidRPr="00B369D1">
        <w:t>;</w:t>
      </w:r>
    </w:p>
    <w:p w:rsidR="00EE56E9" w:rsidRPr="00B369D1" w:rsidRDefault="00EE56E9" w:rsidP="00EE56E9">
      <w:pPr>
        <w:pStyle w:val="NormalHanging12a"/>
        <w:ind w:left="284" w:hanging="284"/>
        <w:rPr>
          <w:b/>
          <w:i/>
        </w:rPr>
      </w:pPr>
      <w:r w:rsidRPr="00B369D1">
        <w:rPr>
          <w:b/>
          <w:i/>
        </w:rPr>
        <w:t>Nuqqas ta’ valutazzjoni tal-erbiċida komplementari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F.</w:t>
      </w:r>
      <w:r w:rsidRPr="00B369D1">
        <w:tab/>
        <w:t>billi r-Regolament ta’ Implimentazzjoni tal-Kummissjoni (UE) Nru 503/2013</w:t>
      </w:r>
      <w:r w:rsidRPr="00B369D1">
        <w:rPr>
          <w:rStyle w:val="FootnoteReference"/>
        </w:rPr>
        <w:footnoteReference w:id="6"/>
      </w:r>
      <w:r w:rsidRPr="00B369D1">
        <w:t xml:space="preserve"> jeżiġi valutazzjoni dwar jekk il-prattiki agrikoli mistennija jaffettwawx l-eżitu tal-punti tat-tmiem studjati; billi, skont dak ir-Regolament ta’ Implimentazzjoni, dan huwa speċjalment rilevanti għal pjanti tolleranti għall-erbiċidi;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G.</w:t>
      </w:r>
      <w:r w:rsidRPr="00B369D1">
        <w:tab/>
        <w:t>billi l-maġġoranza l-kbira tal-għelejjel ĠM ġew ġenetikament modifikati sabiex ikunu tolleranti għal erbiċida “komplementari” wieħed jew aktar li jistgħu jintużaw matul il-perjodu kollu tal-kultivazzjoni tal-għalla ĠM, mingħajr ma l-għalla tinqatel, kif ikun il-każ għal għalla mhux tolleranti għall-erbiċidi; billi hemm għadd ta’ studji li juru li l-għelejjel ĠM tolleranti għall-erbiċidi jwasslu għal użu akbar ta’ erbiċidi komplementari, fil-biċċa l-kbira minħabba li jfeġġ ħaxix ħażin tolleranti għall-erbiċidi</w:t>
      </w:r>
      <w:r w:rsidRPr="00B369D1">
        <w:rPr>
          <w:rStyle w:val="FootnoteReference"/>
        </w:rPr>
        <w:footnoteReference w:id="7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H.</w:t>
      </w:r>
      <w:r w:rsidRPr="00B369D1">
        <w:tab/>
        <w:t>billi l-għelejjel ĠM li huma tolleranti għall-erbiċidi jżommu lill-bdiewa f’sistema ta’ ġestjoni tal-ħaxix ħażin li hija fil-biċċa l-kbira jew kompletament dipendenti fuq l-</w:t>
      </w:r>
      <w:r w:rsidRPr="00B369D1">
        <w:lastRenderedPageBreak/>
        <w:t>erbiċidi; billi dipendenza akbar fuq erbiċidi komplementari fuq azjendi agrikoli li jħawlu l-għelejjel ĠM se tħaffef il-feġġa u t-tixrid ta’ ħaxix ħażin reżistenti għal dawk l-erbiċidi, u b’hekk tiskatta l-ħtieġa ta’ aktar użu ta’ erbiċidi, ċirku vizzjuż magħruf bħala “l-ispirall tal-erbiċidi”;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I.</w:t>
      </w:r>
      <w:r w:rsidRPr="00B369D1">
        <w:tab/>
        <w:t>billi l-impatti negattivi li jirriżultaw mid-dipendenza eċċessiva fuq l-erbiċidi se jwasslu għal deterjorament tas-saħħa tal-ħamrija, il-kwalità tal-ilma, u l-bijodiversità ta’ fuq u ta’ taħt l-art, u se jwasslu wkoll għal żieda fl-esponiment tal-bniedem u tal-annimali, potenzjalment ukoll permezz ta’ żieda fir-residwi tal-erbiċidi fl-ikel u fl-għalf;</w:t>
      </w:r>
    </w:p>
    <w:p w:rsidR="00EE56E9" w:rsidRPr="00B369D1" w:rsidRDefault="00EE56E9" w:rsidP="00EE56E9">
      <w:pPr>
        <w:pStyle w:val="NormalHanging12a"/>
        <w:ind w:left="720" w:hanging="720"/>
        <w:rPr>
          <w:szCs w:val="24"/>
        </w:rPr>
      </w:pPr>
      <w:r w:rsidRPr="00B369D1">
        <w:t xml:space="preserve">J. </w:t>
      </w:r>
      <w:r w:rsidRPr="00B369D1">
        <w:tab/>
        <w:t xml:space="preserve">billi d-dikamba hija volatili ħafna, li jfisser li ladarba tiġi applikata, hija suxxettibbli li tiċċaqlaq fl-arja u mbagħad tinfirex bir-riħ sakemm tinżel fl-art, filwaqt li tesponi lin-nies u lill-pjanti, id-dwieli, is-siġar u l-arbuxelli mhux fil-mira għal ħsara potenzjali u serja, speċjalment meta l-esponiment iseħħ fuq diversi snin; 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K.</w:t>
      </w:r>
      <w:r w:rsidRPr="00B369D1">
        <w:tab/>
      </w:r>
      <w:r w:rsidRPr="00B369D1">
        <w:rPr>
          <w:shd w:val="clear" w:color="auto" w:fill="FFFFFF"/>
        </w:rPr>
        <w:t>billi studju tal-2020 minn xjentisti tal-gvern tal-Istati Uniti, ippubblikat fil-ġurnal rivedut bejn il-pari International Journal of Epidemiology,</w:t>
      </w:r>
      <w:r w:rsidRPr="00B369D1">
        <w:t xml:space="preserve"> sab li l-użu qawwi tad-dikamba żied ir-riskju li jiġu żviluppati kanċers fil-fwied u fil-kanal biljari intraepatiku fost l-applikaturi; 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L.</w:t>
      </w:r>
      <w:r w:rsidRPr="00B369D1">
        <w:tab/>
        <w:t>billi l-istudju tal-2020 jiddikjara li l-approvazzjoni ta’ għelejjel reżistenti għad-dikamba ĠM hija mistennija li twassal għal żieda fl-użu agrikolu tad-dikamba fis-snin li ġejjin</w:t>
      </w:r>
      <w:r w:rsidRPr="00B369D1">
        <w:rPr>
          <w:vertAlign w:val="superscript"/>
        </w:rPr>
        <w:footnoteReference w:id="8"/>
      </w:r>
      <w:r w:rsidRPr="00B369D1">
        <w:t xml:space="preserve"> u s-Sistema ta’ Data dwar l-Użu tal-Pestiċidi tal-Heartland Health Research Alliance tikkonferma li dan huwa l-każ, bid-dikamba tintuża sa 10 darbiet fil-Midwest tal-Istati Uniti meta mqabbla ma’ għaxar snin ilu</w:t>
      </w:r>
      <w:r w:rsidRPr="00B369D1">
        <w:rPr>
          <w:vertAlign w:val="superscript"/>
        </w:rPr>
        <w:footnoteReference w:id="9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M.</w:t>
      </w:r>
      <w:r w:rsidRPr="00B369D1">
        <w:tab/>
        <w:t>billi għad hemm dubji dwar il-karċinoġeniċità tal-glifosat; billi l-EFSA kkonkludiet, f’Novembru 2015, li huwa improbabbli li l-glifosat huwa karċinoġeniku u l-Aġenzija Ewropea għas-Sustanzi Kimiċi kkonkludiet f’Marzu 2017 li l-ebda klassifikazzjoni ma kienet iġġustifikata; billi, għall-kuntrarju, fl-2015, l-Aġenzija Internazzjonali għar-Riċerka dwar il-Kanċer, l-aġenzija speċjalizzata fil-kanċer tal-Organizzazzjoni Dinjija tas-Saħħa, ikklassifikat il-glifosat bħala sustanza probabbilment karċinoġenika għall-bnedmin; billi għadd ta’ studji xjentifiċi riċenti rieżaminati bejn il-pari jikkonfermaw il-potenzjal karċinoġeniku tal-glifosat</w:t>
      </w:r>
      <w:r w:rsidRPr="00B369D1">
        <w:rPr>
          <w:szCs w:val="24"/>
          <w:vertAlign w:val="superscript"/>
        </w:rPr>
        <w:footnoteReference w:id="10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N.</w:t>
      </w:r>
      <w:r w:rsidRPr="00B369D1">
        <w:tab/>
        <w:t xml:space="preserve">billi studju ta’ evalwazzjoni bejn il-pari sab li l-glifosat jakkumula fil-fażola tas-sojja ĠM, b’impatt negattiv korrispondenti fuq il-kompożizzjoni nutrittiva meta mqabbla </w:t>
      </w:r>
      <w:r w:rsidRPr="00B369D1">
        <w:lastRenderedPageBreak/>
        <w:t>ma’ fażola tas-sojja mhux ġenetikament modifikata</w:t>
      </w:r>
      <w:r w:rsidRPr="00B369D1">
        <w:rPr>
          <w:vertAlign w:val="superscript"/>
        </w:rPr>
        <w:footnoteReference w:id="11"/>
      </w:r>
      <w:r w:rsidRPr="00B369D1">
        <w:t>; billi proġett pilota mwettaq fl-Arġentina sab livelli sorprendenti għoljin ta’ residwi tal-glifosat fuq fażola tas-sojja ĠM</w:t>
      </w:r>
      <w:r w:rsidRPr="00B369D1">
        <w:rPr>
          <w:vertAlign w:val="superscript"/>
        </w:rPr>
        <w:footnoteReference w:id="12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O.</w:t>
      </w:r>
      <w:r w:rsidRPr="00B369D1">
        <w:tab/>
        <w:t>billi fil-pjanti ĠM, tista’ tkun il-ġenetika mmodifikata nnifisha li tiddetermina l-mod kif l-erbiċidi komplementari jiddekomponu skont il-pjanta, kif ukoll il-kompożizzjoni u għalhekk it-tossiċità tal-prodotti ta’ dekompożizzjoni (“metaboliti”)</w:t>
      </w:r>
      <w:r w:rsidRPr="00B369D1">
        <w:rPr>
          <w:szCs w:val="24"/>
          <w:vertAlign w:val="superscript"/>
        </w:rPr>
        <w:footnoteReference w:id="13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P.</w:t>
      </w:r>
      <w:r w:rsidRPr="00B369D1">
        <w:tab/>
        <w:t>billi l-valutazzjoni tar-residwi ta’ erbiċidi u l-metaboliti misjuba fi pjanti ĠM hija kkunsidrata li ma taqax taħt il-kompetenza tal-Bord tal-EFSA dwar OĠM u għalhekk ma titwettaqx bħala parti mill-proċess ta’ awtorizzazzjoni għall-OĠM;</w:t>
      </w:r>
    </w:p>
    <w:p w:rsidR="00EE56E9" w:rsidRPr="00B369D1" w:rsidRDefault="00EE56E9" w:rsidP="00EE56E9">
      <w:pPr>
        <w:pStyle w:val="NormalHanging12a"/>
        <w:ind w:left="284" w:hanging="284"/>
        <w:rPr>
          <w:b/>
          <w:i/>
        </w:rPr>
      </w:pPr>
      <w:r w:rsidRPr="00B369D1">
        <w:rPr>
          <w:b/>
          <w:i/>
        </w:rPr>
        <w:t>L-iżgurar ta’ kundizzjonijiet ekwi globali u r-rispett tal-obbligi internazzjonali tal-Unjoni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Q.</w:t>
      </w:r>
      <w:r w:rsidRPr="00B369D1">
        <w:tab/>
        <w:t>billi l-kultivazzjoni tal-fażola tas-sojja ĠM mhijiex permessa fl-Unjoni;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R.</w:t>
      </w:r>
      <w:r w:rsidRPr="00B369D1">
        <w:tab/>
        <w:t>billi l-konklużjonijiet tad-Djalogu Strateġiku dwar il-Futur tal-Agrikoltura</w:t>
      </w:r>
      <w:r w:rsidRPr="00B369D1">
        <w:rPr>
          <w:rStyle w:val="FootnoteReference"/>
        </w:rPr>
        <w:footnoteReference w:id="14"/>
      </w:r>
      <w:r w:rsidRPr="00B369D1">
        <w:t xml:space="preserve"> fl-UE jistiednu lill-Kummissjoni tivvaluta mill-ġdid l-approċċ tagħha stess għall-aċċess għas-suq għall-importazzjonijiet u l-esportazzjonijiet agroalimentari, minħabba l-isfida tal-istandards diverġenti tal-Unjoni u tas-sħab kummerċjali tagħha; billi r-relazzjonijiet kummerċjali aktar ġusti li huma konsistenti mal-miri għal ikel tajjeb għas-saħħa u ambjent li jibża’ għas-saħħa, globalment, kienu waħda mit-talbiet ewlenin tal-bdiewa matul id-dimostrazzjonijiet tal-2023 u tal-2024;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S.</w:t>
      </w:r>
      <w:r w:rsidRPr="00B369D1">
        <w:tab/>
        <w:t>billi rapport tal-2017 mir-Rapporteur Speċjali tan-Nazzjonijiet Uniti (NU) dwar id-dritt għall-ikel sab li, b’mod partikolari fil-pajjiżi li qed jiżviluppaw, il-pestiċidi perikolużi għandhom impatti katastrofiċi fuq is-saħħa</w:t>
      </w:r>
      <w:r w:rsidRPr="00B369D1">
        <w:rPr>
          <w:rStyle w:val="FootnoteReference"/>
        </w:rPr>
        <w:footnoteReference w:id="15"/>
      </w:r>
      <w:r w:rsidRPr="00B369D1">
        <w:t>; billi l-Mira 3.9 tal-Għan ta’ Żvilupp Sostenibbli (“SDG tan-NU”) tan-NU għandha l-għan li sal-2030 tnaqqas b’mod sostanzjali l-għadd ta’ mwiet u mard ikkawżat minn sustanzi kimiċi perikolużi u mit-tniġġis u mill-kontaminazzjoni tal-arja, tal-ilma u tal-ħamrija</w:t>
      </w:r>
      <w:r w:rsidRPr="00B369D1">
        <w:rPr>
          <w:rStyle w:val="FootnoteReference"/>
        </w:rPr>
        <w:footnoteReference w:id="16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T.</w:t>
      </w:r>
      <w:r w:rsidRPr="00B369D1">
        <w:tab/>
        <w:t>billi l-Qafas Globali tal-Bijodiversità ta’ Kunming-Montreal (“Qafas ta’ Kunming-Montreal”), miftiehem fil-COP15 tal-Konvenzjoni tan-Nazzjonijiet Uniti dwar id-</w:t>
      </w:r>
      <w:r w:rsidRPr="00B369D1">
        <w:lastRenderedPageBreak/>
        <w:t>Diversità Bijoloġika (KDB tan-NU) ta’ Diċembru 2022, jinkludi mira globali biex sal-2030 ir-riskju tal-pestiċidi jitnaqqas b’mill-inqas 50 %</w:t>
      </w:r>
      <w:r w:rsidRPr="00B369D1">
        <w:rPr>
          <w:rStyle w:val="FootnoteReference"/>
        </w:rPr>
        <w:footnoteReference w:id="17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U.</w:t>
      </w:r>
      <w:r w:rsidRPr="00B369D1">
        <w:tab/>
        <w:t>billi r-Regolament (KE) Nru 1829/2003 jiddikjara li l-ikel jew l-għalf ĠM ma jridx ikollu effetti negattivi fuq is-saħħa tal-bniedem, is-saħħa tal-annimali jew l-ambjent, u jeżiġi li l-Kummissjoni tqis kwalunkwe dispożizzjoni rilevanti fid-dritt tal-Unjoni u fatturi leġittimi oħra rilevanti għall-kwistjoni taħt kunsiderazzjoni meta tkun qed tabbozza d-deċiżjoni tagħha; billi tali fatturi leġittimi għandhom jinkludu l-obbligi tal-Unjoni skont l-SDGs tan-NU u l-KDB tan-NU;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V.</w:t>
      </w:r>
      <w:r w:rsidRPr="00B369D1">
        <w:tab/>
        <w:t>billi l-awtorizzazzjoni tal-Unjoni tal-fażola tas-sojja ĠM ma tkunx konsistenti mal-impenji internazzjonali dwar it-tnaqqis tal-pestiċidi</w:t>
      </w:r>
      <w:r w:rsidRPr="00B369D1">
        <w:rPr>
          <w:vertAlign w:val="superscript"/>
        </w:rPr>
        <w:footnoteReference w:id="18"/>
      </w:r>
      <w:r w:rsidRPr="00B369D1">
        <w:t>, minħabba ż-żieda fl-esponiment tal-bniedem u dak ambjentali għall-erbiċidi f’pajjiżi li jkabbru għelejjel ĠM tolleranti għall-erbiċidi, flimkien mar-riżultati fil-qasam tas-saħħa potenzjalment serji assoċjati;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W.</w:t>
      </w:r>
      <w:r w:rsidRPr="00B369D1">
        <w:tab/>
        <w:t>billi d-deforestazzjoni hija kawża ewlenija tat-tnaqqis tal-bijodiversità; billi l-emissjonijiet mill-użu tal-art u mit-tibdil fl-użu tal-art, l-aktar minħabba d-deforestazzjoni, huma t-tieni l-akbar kawża tat-tibdil fil-klima wara l-ħruq tal-fjuwils fossili</w:t>
      </w:r>
      <w:r w:rsidRPr="00B369D1">
        <w:rPr>
          <w:szCs w:val="24"/>
          <w:vertAlign w:val="superscript"/>
        </w:rPr>
        <w:footnoteReference w:id="19"/>
      </w:r>
      <w:r w:rsidRPr="00B369D1">
        <w:t>; billi l-Ftehim ta’ Pariġi dwar il-Klima u l-Pjan Strateġiku għall-Bijodiversità 2011-2020 adottat fi ħdan il-KDB tan-NU u l-Miri tal-Bijodiversità ta’ Aichi jippromwovu l-ġestjoni sostenibbli tal-foresti, l-isforzi ta’ protezzjoni u ta’ restawr</w:t>
      </w:r>
      <w:r w:rsidRPr="00B369D1">
        <w:rPr>
          <w:szCs w:val="24"/>
          <w:vertAlign w:val="superscript"/>
        </w:rPr>
        <w:footnoteReference w:id="20"/>
      </w:r>
      <w:r w:rsidRPr="00B369D1">
        <w:t>; billi l-SDG 15 tan-NU jinkludi l-mira li titwaqqaf id-deforestazzjoni sal-2020</w:t>
      </w:r>
      <w:r w:rsidRPr="00B369D1">
        <w:rPr>
          <w:szCs w:val="24"/>
          <w:vertAlign w:val="superscript"/>
        </w:rPr>
        <w:footnoteReference w:id="21"/>
      </w:r>
      <w:r w:rsidRPr="00B369D1">
        <w:t>; billi l-foresti għandhom rwol multifunzjonali li jappoġġjaw l-ilħuq tal-biċċa l-kbira tal-SDGs tan-NU</w:t>
      </w:r>
      <w:r w:rsidRPr="00B369D1">
        <w:rPr>
          <w:szCs w:val="24"/>
          <w:vertAlign w:val="superscript"/>
        </w:rPr>
        <w:footnoteReference w:id="22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X.</w:t>
      </w:r>
      <w:r w:rsidRPr="00B369D1">
        <w:tab/>
        <w:t>billi n-nirien fil-foresti fl-Amażonja huma xprunati minn livelli għoljin ta’ deforestazzjoni; billi f’Komunikazzjoni tal-2019, il-Kummissjoni sostniet l-ambizzjoni tagħha li tipproteġi u treġġa’ lura l-foresti tad-dinja</w:t>
      </w:r>
      <w:r w:rsidRPr="00B369D1">
        <w:rPr>
          <w:vertAlign w:val="superscript"/>
        </w:rPr>
        <w:footnoteReference w:id="23"/>
      </w:r>
      <w:r w:rsidRPr="00B369D1">
        <w:t>; billi l-protezzjoni globali tal-bijodiversità, inklużi l-foresti, hija objettiv ewlieni tal-Istrateġija tal-UE għall-bijodiversità</w:t>
      </w:r>
      <w:r w:rsidRPr="00B369D1">
        <w:rPr>
          <w:vertAlign w:val="superscript"/>
        </w:rPr>
        <w:footnoteReference w:id="24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Y.</w:t>
      </w:r>
      <w:r w:rsidRPr="00B369D1">
        <w:tab/>
        <w:t>billi l-produzzjoni tas-sojja hija xprunatur ewlieni tad-deforestazzjoni tal-foresti fl-</w:t>
      </w:r>
      <w:r w:rsidRPr="00B369D1">
        <w:lastRenderedPageBreak/>
        <w:t>Amażonja, f’Cerrado u fi Gran Chaco fl-Amerka t’Isfel; billi 97 % tas-sojja kkultivata fil-Brażil u 100 % tas-sojja kkultivata fl-Arġentina hija sojja ĠM</w:t>
      </w:r>
      <w:r w:rsidRPr="00B369D1">
        <w:rPr>
          <w:szCs w:val="24"/>
          <w:vertAlign w:val="superscript"/>
        </w:rPr>
        <w:footnoteReference w:id="25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  <w:rPr>
          <w:szCs w:val="24"/>
        </w:rPr>
      </w:pPr>
      <w:r w:rsidRPr="00B369D1">
        <w:t>Z.</w:t>
      </w:r>
      <w:r w:rsidRPr="00B369D1">
        <w:tab/>
        <w:t>billi analiżi mill-Kummissjoni sabet li s-sojja storikament kienet il-kontributur ewlieni tal-Unjoni għad-deforestazzjoni globali u l-emissjonijiet relatati, u tirrappreżenta kważi nofs id-deforestazzjoni inkorporata fl-importazzjonijiet kollha tal-Unjoni</w:t>
      </w:r>
      <w:r w:rsidRPr="00B369D1">
        <w:rPr>
          <w:szCs w:val="24"/>
          <w:vertAlign w:val="superscript"/>
        </w:rPr>
        <w:footnoteReference w:id="26"/>
      </w:r>
      <w:r w:rsidRPr="00B369D1">
        <w:t>;</w:t>
      </w:r>
    </w:p>
    <w:p w:rsidR="00EE56E9" w:rsidRPr="00B369D1" w:rsidRDefault="00EE56E9" w:rsidP="00EE56E9">
      <w:pPr>
        <w:pStyle w:val="NormalHanging12a"/>
        <w:ind w:left="284" w:hanging="284"/>
        <w:rPr>
          <w:b/>
          <w:i/>
        </w:rPr>
      </w:pPr>
      <w:r w:rsidRPr="00B369D1">
        <w:rPr>
          <w:b/>
          <w:i/>
        </w:rPr>
        <w:t>It-tnaqqis tad-dipendenza fuq l-għalf importat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AA.</w:t>
      </w:r>
      <w:r w:rsidRPr="00B369D1">
        <w:tab/>
        <w:t>billi waħda mit-tagħlimiet mill-kriżi tal-COVID-19 u l-gwerra li għadha għaddejja fl-Ukrajna hija l-ħtieġa li l-Unjoni ttemm id-dipendenzi fuq xi materjali kritiċi; billi fl-ittra ta’ missjoni tagħha lill-Kummissarju Christophe Hansen, il-President tal-Kummissjoni, Ursula von der Leyen, titolbu jfittex modi kif jitnaqqsu l-importazzjonijiet ta’ komoditajiet kritiċi</w:t>
      </w:r>
      <w:r w:rsidRPr="00B369D1">
        <w:rPr>
          <w:rStyle w:val="FootnoteReference"/>
        </w:rPr>
        <w:footnoteReference w:id="27"/>
      </w:r>
      <w:r w:rsidRPr="00B369D1">
        <w:t xml:space="preserve">; 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AB.</w:t>
      </w:r>
      <w:r w:rsidRPr="00B369D1">
        <w:tab/>
        <w:t>billi l-ftehimiet kummerċjali jinċentivaw l-importazzjonijiet lejn l-Unjoni ta’ ikel u għalf tal-annimali li fihom, li jikkonsistu minn jew li huma prodotti minn OĠM; billi l-Brażil u l-Arġentina huma fost l-akbar produtturi tal-OĠM u utenti tal-pestiċidi fid-dinja, inklużi l-OĠM u l-pestiċidi pprojbiti fl-Unjoni għal raġunijiet ambjentali jew ta’ saħħa;</w:t>
      </w:r>
    </w:p>
    <w:p w:rsidR="00EE56E9" w:rsidRPr="00B369D1" w:rsidRDefault="00EE56E9" w:rsidP="00EE56E9">
      <w:pPr>
        <w:pStyle w:val="NormalHanging12a"/>
        <w:ind w:left="284" w:hanging="284"/>
        <w:rPr>
          <w:b/>
          <w:i/>
        </w:rPr>
      </w:pPr>
      <w:r w:rsidRPr="00B369D1">
        <w:rPr>
          <w:b/>
          <w:i/>
        </w:rPr>
        <w:t>Proċess deċiżjonali mhux demokratiku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AC.</w:t>
      </w:r>
      <w:r w:rsidRPr="00B369D1">
        <w:tab/>
        <w:t xml:space="preserve">billi, fit-tmien leġiżlatura tiegħu, il-Parlament adotta total ta’ 36 riżoluzzjoni li joġġezzjonaw għall-introduzzjoni fis-suq ta’ OĠM għall-ikel u għall-għalf (33 riżoluzzjoni) u għall-kultivazzjoni ta’ OĠM fl-Unjoni (tliet riżoluzzjonijiet); billi, fid-disa’ leġiżlatura tiegħu, il-Parlament adotta 38 oġġezzjoni għall-introduzzjoni fis-suq ta’ OĠM u fl-għaxar leġiżlatura attwali diġà adotta 10 riżoluzzjonijiet oħra li joġġezzjonaw għall-introduzzjoni fis-suq ta’ OĠM; 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AD.</w:t>
      </w:r>
      <w:r w:rsidRPr="00B369D1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lastRenderedPageBreak/>
        <w:t>AE.</w:t>
      </w:r>
      <w:r w:rsidRPr="00B369D1">
        <w:tab/>
        <w:t>billi mhija meħtieġa ebda bidla fil-liġi biex il-Kummissjoni tkun tista’ ma tawtorizzax l-OĠM meta ma jkunx hemm maġġoranza kwalifikata ta’ Stati Membri favur fil-Kumitat ta’ Appell</w:t>
      </w:r>
      <w:r w:rsidRPr="00B369D1">
        <w:rPr>
          <w:rStyle w:val="FootnoteReference"/>
        </w:rPr>
        <w:footnoteReference w:id="28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AF.</w:t>
      </w:r>
      <w:r w:rsidRPr="00B369D1">
        <w:tab/>
        <w:t xml:space="preserve">billi l-votazzjoni fit-28 ta’ Frar 2025 tal-Kumitat Permanenti dwar il-Pjanti, l-Annimali, l-Ikel u l-Għalf imsemmi fl-Artikolu 35 tar-Regolament (KE) Nru 1829/2003 ma tat l-ebda opinjoni, li jfisser li l-awtorizzazzjoni ma kinitx appoġġjata minn maġġoranza kwalifikata tal-Istati Membri;  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1.</w:t>
      </w:r>
      <w:r w:rsidRPr="00B369D1">
        <w:tab/>
        <w:t>Iqis li l-abbozz ta’ deċiżjoni ta’ implimentazzjoni tal-Kummissjoni jisboq is-setgħat ta’ implimentazzjoni previsti fir-Regolament (KE) Nru 1829/2003;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2.</w:t>
      </w:r>
      <w:r w:rsidRPr="00B369D1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B369D1">
        <w:rPr>
          <w:rStyle w:val="FootnoteReference"/>
        </w:rPr>
        <w:footnoteReference w:id="29"/>
      </w:r>
      <w:r w:rsidRPr="00B369D1">
        <w:t>, huwa li jipprovdi l-bażi biex, fir-rigward tal-ikel u l-għalf ĠM, jiżgura livell għoli ta’ protezzjoni għall-ħajja u s-saħħa umana, is-saħħa u l-benesseri tal-annimali, u l-interessi tal-ambjent u tal-konsumaturi, filwaqt li jiżgura l-funzjonament effettiv tas-suq intern;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3.</w:t>
      </w:r>
      <w:r w:rsidRPr="00B369D1">
        <w:tab/>
        <w:t>Jistieden lill-Kummissjoni tirtira l-abbozz ta’ deċiżjoni ta’ implimentazzjoni tagħha u tippreżenta abbozz ġdid lill-kumitat;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4.</w:t>
      </w:r>
      <w:r w:rsidRPr="00B369D1">
        <w:tab/>
        <w:t>Jistieden lill-Kummissjoni, f’konformità mal-approċċ “Saħħa Waħda”, biex ma tawtorizzax għelejjel ĠM tolleranti għall-erbiċidi, peress li dan iwassal għal aktar użu ta’ erbiċidi komplementari u għalhekk aktar riskji għall-bijodiversità, is-sikurezza tal-ikel u s-saħħa tal-ħaddiema;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5.</w:t>
      </w:r>
      <w:r w:rsidRPr="00B369D1">
        <w:tab/>
        <w:t>Jenfasizza, f’dan ir-rigward, li l-awtorizzazzjoni tal-importazzjoni għall-użi tal-ikel jew tal-għalf ta’ kwalunkwe pjanta ĠM li tkun saret tolleranti għall-erbiċidi mhijiex konsistenti mal-impenji internazzjonali tal-Unjoni skont, fost l-oħrajn, l-SDGs tan-NU u l-KDB tan-NU, inkluż il-Qafas ta’ Kunming-Montreal adottat reċentement</w:t>
      </w:r>
      <w:r w:rsidRPr="00B369D1">
        <w:rPr>
          <w:rStyle w:val="FootnoteReference"/>
        </w:rPr>
        <w:footnoteReference w:id="30"/>
      </w:r>
      <w:r w:rsidRPr="00B369D1">
        <w:t>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6.</w:t>
      </w:r>
      <w:r w:rsidRPr="00B369D1">
        <w:tab/>
        <w:t>Jistenna li l-Kummissjoni, bħala kwistjoni ta’ urġenza, twettaq l-impenn tagħha li tressaq proposta biex tiżgura li sustanzi kimiċi perikolużi pprojbiti fl-Unjoni ma jiġux prodotti għall-esportazzjoni, u dwar l-impenn tagħha li tiżgura r-reċiproċità billi tallinja aħjar l-istandards tal-produzzjoni domestika tagħna ma’ dawk applikati għall-importazzjonijiet, b’mod partikolari għall-pestiċidi;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lastRenderedPageBreak/>
        <w:t>7.</w:t>
      </w:r>
      <w:r w:rsidRPr="00B369D1">
        <w:tab/>
        <w:t>Jistieden lill-Kummissjoni tiżgura l-konverġenza tal-istandards bejn l-Unjoni u s-sħab tagħha fin-negozjati dwar il-ftehim ta’ kummerċ ħieles, sabiex jintlaħqu l-istandards tas-sikurezza tal-Unjoni;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 xml:space="preserve">8. </w:t>
      </w:r>
      <w:r w:rsidRPr="00B369D1">
        <w:tab/>
        <w:t>Jilqa’ l-fatt li l-Kummissjoni fl-aħħar irrikonoxxiet, f’ittra tal-11 ta’ Settembru 2020 lill-Membri, il-ħtieġa li tqis is-sostenibbiltà fir-rigward ta’ deċiżjonijiet ta’ awtorizzazzjoni dwar OĠM</w:t>
      </w:r>
      <w:r w:rsidRPr="00B369D1">
        <w:rPr>
          <w:rStyle w:val="FootnoteReference"/>
        </w:rPr>
        <w:footnoteReference w:id="31"/>
      </w:r>
      <w:r w:rsidRPr="00B369D1">
        <w:t>; jesprimi d-diżappunt kbir tiegħu, madankollu, li, minn dak iż-żmien ’l hawn il-Kummissjoni kompliet tawtorizza OĠM għall-importazzjoni fl-Unjoni, minkejja l-oġġezzjonijiet kontinwi mill-Parlament u mill-maġġoranza tal-Istati Membri li jivvutaw kontra;</w:t>
      </w:r>
    </w:p>
    <w:p w:rsidR="00EE56E9" w:rsidRPr="00B369D1" w:rsidRDefault="00EE56E9" w:rsidP="00EE56E9">
      <w:pPr>
        <w:pStyle w:val="NormalHanging12a"/>
        <w:ind w:left="720" w:hanging="720"/>
      </w:pPr>
      <w:r w:rsidRPr="00B369D1">
        <w:t>9.</w:t>
      </w:r>
      <w:r w:rsidRPr="00B369D1">
        <w:tab/>
        <w:t>Iħeġġeġ lill-Kummissjoni biex, għal darba oħra, tqis l-obbligi tal-Unjoni fl-ambitu tal-ftehimiet internazzjonali, bħall-Ftehim ta’ Pariġi dwar il-Klima, il-KDB tan-NU u l-SDGs tan-NU; itenni l-appell tiegħu li l-abbozzi ta’ atti ta’ implimentazzjoni jkunu akkumpanjati minn memorandum ta’ spjegazzjoni li jispjega kif dawn jirrispettaw il-prinċipju ta’ “la tagħmilx ħsara”</w:t>
      </w:r>
      <w:r w:rsidRPr="00B369D1">
        <w:rPr>
          <w:rStyle w:val="FootnoteReference"/>
        </w:rPr>
        <w:footnoteReference w:id="32"/>
      </w:r>
      <w:r w:rsidRPr="00B369D1">
        <w:t xml:space="preserve">; </w:t>
      </w:r>
    </w:p>
    <w:p w:rsidR="00B369D1" w:rsidRPr="00B369D1" w:rsidRDefault="00EE56E9" w:rsidP="00B369D1">
      <w:pPr>
        <w:widowControl/>
        <w:ind w:left="720" w:hanging="720"/>
      </w:pPr>
      <w:r w:rsidRPr="00B369D1">
        <w:t>10.</w:t>
      </w:r>
      <w:r w:rsidRPr="00B369D1">
        <w:tab/>
        <w:t>Jagħti istruzzjonijiet lill-President tiegħu biex tgħaddi din ir-riżoluzzjoni lill-Kunsill u lill-Kummissjoni, kif ukoll lill-gvernijiet u lill-parlamenti tal-Istati Membri.</w:t>
      </w:r>
    </w:p>
    <w:p w:rsidR="00E365E1" w:rsidRPr="00B369D1" w:rsidRDefault="00E365E1" w:rsidP="00F71A61"/>
    <w:sectPr w:rsidR="00E365E1" w:rsidRPr="00B369D1" w:rsidSect="00B369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A61" w:rsidRPr="00B369D1" w:rsidRDefault="00F71A61">
      <w:r w:rsidRPr="00B369D1">
        <w:separator/>
      </w:r>
    </w:p>
  </w:endnote>
  <w:endnote w:type="continuationSeparator" w:id="0">
    <w:p w:rsidR="00F71A61" w:rsidRPr="00B369D1" w:rsidRDefault="00F71A61">
      <w:r w:rsidRPr="00B369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A61" w:rsidRPr="00B369D1" w:rsidRDefault="00F71A61">
      <w:r w:rsidRPr="00B369D1">
        <w:separator/>
      </w:r>
    </w:p>
  </w:footnote>
  <w:footnote w:type="continuationSeparator" w:id="0">
    <w:p w:rsidR="00F71A61" w:rsidRPr="00B369D1" w:rsidRDefault="00F71A61">
      <w:r w:rsidRPr="00B369D1">
        <w:continuationSeparator/>
      </w:r>
    </w:p>
  </w:footnote>
  <w:footnote w:id="1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ĠU L 268, 18.10.2003, p. 1, ELI: </w:t>
      </w:r>
      <w:hyperlink r:id="rId1" w:history="1">
        <w:r w:rsidRPr="00B369D1">
          <w:rPr>
            <w:rStyle w:val="Hyperlink"/>
            <w:sz w:val="24"/>
            <w:lang w:val="mt-MT"/>
          </w:rPr>
          <w:t>http://data.europa.eu/eli/reg/2003/1829/oj</w:t>
        </w:r>
      </w:hyperlink>
      <w:r w:rsidRPr="00B369D1">
        <w:rPr>
          <w:rStyle w:val="Hyperlink"/>
          <w:color w:val="000000" w:themeColor="text1"/>
          <w:sz w:val="24"/>
          <w:lang w:val="mt-MT"/>
        </w:rPr>
        <w:t>.</w:t>
      </w:r>
    </w:p>
  </w:footnote>
  <w:footnote w:id="2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ĠU L 55, 28.2.2011, p. </w:t>
      </w:r>
      <w:r w:rsidRPr="00B369D1">
        <w:rPr>
          <w:sz w:val="24"/>
          <w:lang w:val="mt-MT"/>
        </w:rPr>
        <w:t>13, ELI</w:t>
      </w:r>
      <w:r w:rsidRPr="00B369D1">
        <w:rPr>
          <w:rStyle w:val="Hyperlink"/>
          <w:sz w:val="24"/>
          <w:lang w:val="mt-MT"/>
        </w:rPr>
        <w:t xml:space="preserve">: </w:t>
      </w:r>
      <w:hyperlink r:id="rId2" w:history="1">
        <w:r w:rsidRPr="00B369D1">
          <w:rPr>
            <w:rStyle w:val="Hyperlink"/>
            <w:sz w:val="24"/>
            <w:lang w:val="mt-MT"/>
          </w:rPr>
          <w:t>http://data.europa.eu/eli/reg/2011/182/oj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3">
    <w:p w:rsidR="00EE56E9" w:rsidRPr="00B369D1" w:rsidRDefault="00EE56E9" w:rsidP="00B369D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B369D1">
        <w:rPr>
          <w:rStyle w:val="FootnoteReference"/>
          <w:color w:val="000000" w:themeColor="text1"/>
          <w:sz w:val="24"/>
          <w:lang w:val="mt-MT"/>
        </w:rPr>
        <w:footnoteRef/>
      </w:r>
      <w:r w:rsidR="00B369D1" w:rsidRPr="00B369D1">
        <w:rPr>
          <w:color w:val="000000" w:themeColor="text1"/>
          <w:sz w:val="24"/>
          <w:lang w:val="mt-MT"/>
        </w:rPr>
        <w:t xml:space="preserve"> </w:t>
      </w:r>
      <w:r w:rsidR="00B369D1" w:rsidRPr="00B369D1">
        <w:rPr>
          <w:color w:val="000000" w:themeColor="text1"/>
          <w:sz w:val="24"/>
          <w:lang w:val="mt-MT"/>
        </w:rPr>
        <w:tab/>
      </w:r>
      <w:r w:rsidRPr="00B369D1">
        <w:rPr>
          <w:color w:val="000000" w:themeColor="text1"/>
          <w:sz w:val="24"/>
          <w:lang w:val="mt-MT"/>
        </w:rPr>
        <w:t>Opinjoni xjentifika tal-Bord tal-EFSA dwar l-Organiżmi Ġenetikament Modifikati dwar il-“Valutazzjoni tal-fażola tas-sojja ġenetikament modifikata MON 87705 × MON 87708 × MON 89788 għall-użi ta’ ikel u għalf, skont ir-Regolament (KE) Nru 1829/2003 (l-applikazzjoni EFSA-GMO-NL-2015-126</w:t>
      </w:r>
      <w:r w:rsidRPr="00B369D1">
        <w:rPr>
          <w:sz w:val="24"/>
          <w:lang w:val="mt-MT"/>
        </w:rPr>
        <w:t xml:space="preserve">)”, EFSA Journal 2020;18(5):e06111, </w:t>
      </w:r>
      <w:hyperlink r:id="rId3" w:history="1">
        <w:r w:rsidRPr="00B369D1">
          <w:rPr>
            <w:rStyle w:val="Hyperlink"/>
            <w:sz w:val="24"/>
            <w:lang w:val="mt-MT"/>
          </w:rPr>
          <w:t>https://doi.org/10.2903/j.efsa.2020.6111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4">
    <w:p w:rsidR="00EE56E9" w:rsidRPr="00B369D1" w:rsidRDefault="00EE56E9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  <w:r w:rsidRPr="00B369D1">
        <w:rPr>
          <w:color w:val="000000" w:themeColor="text1"/>
          <w:sz w:val="24"/>
          <w:lang w:val="mt-MT"/>
        </w:rPr>
        <w:t xml:space="preserve"> Barra minn hekk, fl-għaxar leġiżlatura tiegħu, il-Parlament adotta r-riżoluzzjonijiet li ġejjin: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li ġġedded l-awtorizzazzjoni għall-introduzzjoni fis-suq ta’ prodotti li fihom, li jikkonsistu minn, jew li huma prodotti mill-qamħirrum ġenetikament modifikat MON 89034 × 1507 × NK603 u skont ir-Regolament (KE) Nru 1829/2003 tal-Parlament Ewropew u tal-Kunsill (ĠU C, C/2025/1797, 4.4.2025, ELI: </w:t>
      </w:r>
      <w:hyperlink r:id="rId4" w:history="1">
        <w:r w:rsidR="00EE56E9" w:rsidRPr="00B369D1">
          <w:rPr>
            <w:rStyle w:val="Hyperlink"/>
            <w:sz w:val="24"/>
            <w:lang w:val="mt-MT"/>
          </w:rPr>
          <w:t>http://data.europa.eu/eli/C/2025/1797/oj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li tawtorizza l-introduzzjoni fis-suq ta’ prodotti li fihom il-qamħirrum ġenetikament modifikat COT102, li jikkonsistu minnu, jew li huma prodotti minnu skont ir-Regolament (KE) Nru 1829/2003 tal-Parlament Ewropew u tal-Kunsill (ĠU C, C/2025/1798, 4.4.2025, ELI: </w:t>
      </w:r>
      <w:hyperlink r:id="rId5" w:history="1">
        <w:r w:rsidR="00EE56E9" w:rsidRPr="00B369D1">
          <w:rPr>
            <w:rStyle w:val="Hyperlink"/>
            <w:sz w:val="24"/>
            <w:lang w:val="mt-MT"/>
          </w:rPr>
          <w:t>http://data.europa.eu/eli/C/2025/1798/oj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 x 59122 u tmien subkombinazzjonijiet tiegħu, skont ir-Regolament (KE) Nru 1829/2003 tal-Parlament Ewropew u tal-Kunsill (ĠU C, C/2025/1799, 4.4.2025, ELI: </w:t>
      </w:r>
      <w:hyperlink r:id="rId6" w:history="1">
        <w:r w:rsidR="00EE56E9" w:rsidRPr="00B369D1">
          <w:rPr>
            <w:rStyle w:val="Hyperlink"/>
            <w:sz w:val="24"/>
            <w:lang w:val="mt-MT"/>
          </w:rPr>
          <w:t>http://data.europa.eu/eli/C/2025/1799/oj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="00EE56E9" w:rsidRPr="00B369D1">
          <w:rPr>
            <w:rStyle w:val="Hyperlink"/>
            <w:sz w:val="24"/>
            <w:lang w:val="mt-MT"/>
          </w:rPr>
          <w:t>http://data.europa.eu/eli/C/2025/1800/oj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="00EE56E9" w:rsidRPr="00B369D1">
          <w:rPr>
            <w:rStyle w:val="Hyperlink"/>
            <w:sz w:val="24"/>
            <w:lang w:val="mt-MT"/>
          </w:rPr>
          <w:t>http://data.europa.eu/eli/C/2025/1801/oj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9" w:history="1">
        <w:r w:rsidR="00EE56E9" w:rsidRPr="00B369D1">
          <w:rPr>
            <w:rStyle w:val="Hyperlink"/>
            <w:sz w:val="24"/>
            <w:lang w:val="mt-MT"/>
          </w:rPr>
          <w:t>http://data.europa.eu/eli/C/2025/1802/oj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 w:history="1">
        <w:r w:rsidR="00EE56E9" w:rsidRPr="00B369D1">
          <w:rPr>
            <w:rStyle w:val="Hyperlink"/>
            <w:sz w:val="24"/>
            <w:lang w:val="mt-MT"/>
          </w:rPr>
          <w:t>http://data.europa.eu/eli/C/2025/1803/oj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 w:history="1">
        <w:r w:rsidR="00EE56E9" w:rsidRPr="00B369D1">
          <w:rPr>
            <w:rStyle w:val="Hyperlink"/>
            <w:sz w:val="24"/>
            <w:lang w:val="mt-MT"/>
          </w:rPr>
          <w:t>http://data.europa.eu/eli/C/2025/1804/oj</w:t>
        </w:r>
      </w:hyperlink>
      <w:r w:rsidR="00EE56E9" w:rsidRPr="00B369D1">
        <w:rPr>
          <w:color w:val="000000" w:themeColor="text1"/>
          <w:sz w:val="24"/>
          <w:lang w:val="mt-MT"/>
        </w:rPr>
        <w:t>).</w:t>
      </w:r>
    </w:p>
    <w:p w:rsidR="00EE56E9" w:rsidRPr="00B369D1" w:rsidRDefault="00B369D1" w:rsidP="00B369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sz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(P10_TA(2025)0014).</w:t>
      </w:r>
    </w:p>
    <w:p w:rsidR="00EE56E9" w:rsidRPr="00B369D1" w:rsidRDefault="00B369D1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color w:val="000000" w:themeColor="text1"/>
          <w:sz w:val="24"/>
          <w:lang w:val="mt-MT"/>
        </w:rPr>
        <w:t xml:space="preserve"> </w:t>
      </w:r>
      <w:r w:rsidRPr="00B369D1">
        <w:rPr>
          <w:color w:val="000000" w:themeColor="text1"/>
          <w:sz w:val="24"/>
          <w:lang w:val="mt-MT"/>
        </w:rPr>
        <w:tab/>
      </w:r>
      <w:r w:rsidR="00EE56E9" w:rsidRPr="00B369D1">
        <w:rPr>
          <w:color w:val="000000" w:themeColor="text1"/>
          <w:sz w:val="24"/>
          <w:lang w:val="mt-MT"/>
        </w:rPr>
        <w:t>–</w:t>
      </w:r>
      <w:r w:rsidR="00EE56E9" w:rsidRPr="00B369D1">
        <w:rPr>
          <w:color w:val="000000" w:themeColor="text1"/>
          <w:sz w:val="24"/>
          <w:lang w:val="mt-MT"/>
        </w:rPr>
        <w:tab/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MON 95275 skont ir-Regolament (KE) Nru 1829/2003 tal-Parlament Ewropew u tal-Kunsill (P10_TA(2025)0015).</w:t>
      </w:r>
    </w:p>
  </w:footnote>
  <w:footnote w:id="5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Bord tal-EFSA dwar l-OĠM, Dikjarazzjoni li tikkomplementa l-Opinjoni Xjentifika tal-EFSA dwar l-applikazzjoni (EFSA-GMO-NL-2015-126) għall-awtorizzazzjoni ta’ ikel u għalf li fihom, li jikkonsistu minn u li huma prodotti mis-sojja ġenetikament modifikata MO</w:t>
      </w:r>
      <w:r w:rsidR="005B7169">
        <w:rPr>
          <w:sz w:val="24"/>
          <w:lang w:val="mt-MT"/>
        </w:rPr>
        <w:t>N 87705 × MON 87708 × MON 89788’,</w:t>
      </w:r>
      <w:r w:rsidRPr="00B369D1">
        <w:rPr>
          <w:sz w:val="24"/>
          <w:lang w:val="mt-MT"/>
        </w:rPr>
        <w:t xml:space="preserve"> Ġurnal tal-EFSA 2024;22(10):e9061, </w:t>
      </w:r>
      <w:hyperlink r:id="rId12" w:history="1">
        <w:r w:rsidRPr="00B369D1">
          <w:rPr>
            <w:rStyle w:val="Hyperlink"/>
            <w:sz w:val="24"/>
            <w:lang w:val="mt-MT"/>
          </w:rPr>
          <w:t>https://doi.org/10.2903/j.efsa.2024.9061</w:t>
        </w:r>
      </w:hyperlink>
      <w:r w:rsidRPr="00B369D1">
        <w:rPr>
          <w:sz w:val="24"/>
          <w:lang w:val="mt-MT"/>
        </w:rPr>
        <w:t>.</w:t>
      </w:r>
    </w:p>
  </w:footnote>
  <w:footnote w:id="6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Ir-Regolament ta’ Implimentazzjoni tal-Kummissjoni (UE) Nru 503/2013 tat-3 ta’ April 2013 dwar applikazzjonijiet għal awtorizzazzjoni ta’ ikel u għalf ġenetikament modifikat skont ir-Regolament (KE) Nru 1829/2003 tal-Parlament Ewropew u tal-Kunsill u li jemendaw ir-Regolamenti (KE) Nru 641/2004 u (KE) Nru 1981/2006 (ĠU L 157, 8.6.2013, p. </w:t>
      </w:r>
      <w:r w:rsidRPr="00B369D1">
        <w:rPr>
          <w:sz w:val="24"/>
          <w:lang w:val="mt-MT"/>
        </w:rPr>
        <w:t>1, ELI:</w:t>
      </w:r>
      <w:r w:rsidRPr="00B369D1">
        <w:rPr>
          <w:color w:val="000000" w:themeColor="text1"/>
          <w:sz w:val="24"/>
          <w:lang w:val="mt-MT"/>
        </w:rPr>
        <w:t xml:space="preserve"> </w:t>
      </w:r>
      <w:hyperlink r:id="rId13" w:tgtFrame="Gives access to this document through its ELI URI." w:history="1">
        <w:r w:rsidRPr="00B369D1">
          <w:rPr>
            <w:rStyle w:val="Hyperlink"/>
            <w:color w:val="0070C0"/>
            <w:sz w:val="24"/>
            <w:lang w:val="mt-MT"/>
          </w:rPr>
          <w:t>http://data.europa.eu/eli/reg_impl/2013/503/oj</w:t>
        </w:r>
      </w:hyperlink>
      <w:r w:rsidRPr="00B369D1">
        <w:rPr>
          <w:rStyle w:val="Hyperlink"/>
          <w:color w:val="000000" w:themeColor="text1"/>
          <w:sz w:val="24"/>
          <w:lang w:val="mt-MT"/>
        </w:rPr>
        <w:t>).</w:t>
      </w:r>
    </w:p>
  </w:footnote>
  <w:footnote w:id="7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Ara, pereżempju, Bonny, S., ‘Genetically Modified Herbicide-Tolerant Crops, Weeds, and Herbicides: Overview and Impact” (Għelejjel Ġenetikament Modifikati Tolleranti għall-Erbiċidi, Ħaxix Ħażin, u Erbiċidi: Ħarsa Ġenerali u Impatt), Environmental Management, Jannar 2016, 57(1), pp. </w:t>
      </w:r>
      <w:r w:rsidRPr="00B369D1">
        <w:rPr>
          <w:sz w:val="24"/>
          <w:lang w:val="mt-MT"/>
        </w:rPr>
        <w:t xml:space="preserve">31-48, </w:t>
      </w:r>
      <w:hyperlink r:id="rId14" w:history="1">
        <w:r w:rsidRPr="00B369D1">
          <w:rPr>
            <w:rStyle w:val="Hyperlink"/>
            <w:sz w:val="24"/>
            <w:lang w:val="mt-MT"/>
          </w:rPr>
          <w:t>https://www.ncbi.nlm.nih.gov/pubmed/26296738</w:t>
        </w:r>
      </w:hyperlink>
      <w:r w:rsidRPr="00B369D1">
        <w:rPr>
          <w:rStyle w:val="Hyperlink"/>
          <w:sz w:val="24"/>
          <w:lang w:val="mt-MT"/>
        </w:rPr>
        <w:t>,</w:t>
      </w:r>
      <w:r w:rsidRPr="00B369D1">
        <w:rPr>
          <w:sz w:val="24"/>
          <w:lang w:val="mt-MT"/>
        </w:rPr>
        <w:t xml:space="preserve"> u Benbrook, C.M., “Impacts of genetically engineered crops on pesticide use in the U.S. – the first sixteen years” (L-impatti ta’ għelejjel ġenetikament modifikati fuq l-użu tal-pestiċidi fl-Istati Uniti – l-ewwel sittax-il sena), Environmental Sciences Europe, 28 ta’ Settembru 2012, Vol. 24(1), </w:t>
      </w:r>
      <w:hyperlink r:id="rId15" w:history="1">
        <w:r w:rsidRPr="00B369D1">
          <w:rPr>
            <w:rStyle w:val="Hyperlink"/>
            <w:sz w:val="24"/>
            <w:lang w:val="mt-MT"/>
          </w:rPr>
          <w:t>https://enveurope.springeropen.com/articles/10.1186/2190-4715-24-24</w:t>
        </w:r>
      </w:hyperlink>
      <w:r w:rsidRPr="00B369D1">
        <w:rPr>
          <w:sz w:val="24"/>
          <w:lang w:val="mt-MT"/>
        </w:rPr>
        <w:t xml:space="preserve">.  </w:t>
      </w:r>
    </w:p>
  </w:footnote>
  <w:footnote w:id="8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Lerro, C.C., Hofmann, J.N., Andreotti, G., Koutros, S., Parks, C.G., Blair, A., Albert, P.S., Lubin, J.H., Sandler, D.P., Beane Freeman, L.E., “Dicamba use and cancer incidence in the agricultural health study: an updated analysis”, International Journal of Epidemiology, Awwissu 2020; 49(4), pp. </w:t>
      </w:r>
      <w:r w:rsidRPr="00B369D1">
        <w:rPr>
          <w:sz w:val="24"/>
          <w:lang w:val="mt-MT"/>
        </w:rPr>
        <w:t xml:space="preserve">1326-1337, </w:t>
      </w:r>
      <w:hyperlink r:id="rId16" w:history="1">
        <w:r w:rsidRPr="00B369D1">
          <w:rPr>
            <w:rStyle w:val="Hyperlink"/>
            <w:sz w:val="24"/>
            <w:lang w:val="mt-MT"/>
          </w:rPr>
          <w:t>https://academic.oup.com/ije/advance-article-abstract/doi/10.1093/ije/dyaa066/5827818?redirectedFrom=fulltext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9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17" w:history="1">
        <w:r w:rsidRPr="00B369D1">
          <w:rPr>
            <w:rStyle w:val="Hyperlink"/>
            <w:sz w:val="24"/>
            <w:lang w:val="mt-MT"/>
          </w:rPr>
          <w:t>https://hh-ra.org/projects/measuring-pesticide-use/interactive-herbicide-use-tables/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10">
    <w:p w:rsidR="00EE56E9" w:rsidRPr="00B369D1" w:rsidRDefault="00EE56E9" w:rsidP="00B369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Ara, pereżempju: </w:t>
      </w:r>
      <w:hyperlink r:id="rId18" w:history="1">
        <w:r w:rsidRPr="00B369D1">
          <w:rPr>
            <w:rStyle w:val="Hyperlink"/>
            <w:sz w:val="24"/>
            <w:lang w:val="mt-MT"/>
          </w:rPr>
          <w:t>https://www.sciencedirect.com/science/article/pii/S1383574218300887</w:t>
        </w:r>
      </w:hyperlink>
      <w:r w:rsidRPr="00B369D1">
        <w:rPr>
          <w:rStyle w:val="Hyperlink"/>
          <w:sz w:val="24"/>
          <w:lang w:val="mt-MT"/>
        </w:rPr>
        <w:t>,</w:t>
      </w:r>
      <w:r w:rsidRPr="00B369D1">
        <w:rPr>
          <w:sz w:val="24"/>
          <w:lang w:val="mt-MT"/>
        </w:rPr>
        <w:t xml:space="preserve"> </w:t>
      </w:r>
    </w:p>
    <w:p w:rsidR="00EE56E9" w:rsidRPr="00B369D1" w:rsidRDefault="00B369D1" w:rsidP="00B369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369D1">
        <w:rPr>
          <w:sz w:val="24"/>
          <w:lang w:val="mt-MT"/>
        </w:rPr>
        <w:t xml:space="preserve"> </w:t>
      </w:r>
      <w:r w:rsidRPr="00B369D1">
        <w:rPr>
          <w:sz w:val="24"/>
          <w:lang w:val="mt-MT"/>
        </w:rPr>
        <w:tab/>
      </w:r>
      <w:hyperlink r:id="rId19" w:history="1">
        <w:r w:rsidR="00EE56E9" w:rsidRPr="00B369D1">
          <w:rPr>
            <w:rStyle w:val="Hyperlink"/>
            <w:sz w:val="24"/>
            <w:lang w:val="mt-MT"/>
          </w:rPr>
          <w:t>https://academic.oup.com/ije/advance-article/doi/10.1093/ije/dyz017/5382278</w:t>
        </w:r>
      </w:hyperlink>
      <w:r w:rsidR="00EE56E9" w:rsidRPr="00B369D1">
        <w:rPr>
          <w:rStyle w:val="Hyperlink"/>
          <w:sz w:val="24"/>
          <w:lang w:val="mt-MT"/>
        </w:rPr>
        <w:t>,</w:t>
      </w:r>
      <w:r w:rsidR="00EE56E9" w:rsidRPr="00B369D1">
        <w:rPr>
          <w:sz w:val="24"/>
          <w:lang w:val="mt-MT"/>
        </w:rPr>
        <w:t xml:space="preserve"> </w:t>
      </w:r>
    </w:p>
    <w:p w:rsidR="00EE56E9" w:rsidRPr="00B369D1" w:rsidRDefault="00B369D1" w:rsidP="00B369D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369D1">
        <w:rPr>
          <w:sz w:val="24"/>
          <w:lang w:val="mt-MT"/>
        </w:rPr>
        <w:t xml:space="preserve"> </w:t>
      </w:r>
      <w:r w:rsidRPr="00B369D1">
        <w:rPr>
          <w:sz w:val="24"/>
          <w:lang w:val="mt-MT"/>
        </w:rPr>
        <w:tab/>
      </w:r>
      <w:hyperlink r:id="rId20" w:history="1">
        <w:r w:rsidR="00EE56E9" w:rsidRPr="00B369D1">
          <w:rPr>
            <w:rStyle w:val="Hyperlink"/>
            <w:sz w:val="24"/>
            <w:lang w:val="mt-MT"/>
          </w:rPr>
          <w:t>https://journals.plos.org/plosone/article?id=10.1371/journal.pone.0219610</w:t>
        </w:r>
      </w:hyperlink>
      <w:r w:rsidR="00EE56E9" w:rsidRPr="00B369D1">
        <w:rPr>
          <w:sz w:val="24"/>
          <w:lang w:val="mt-MT"/>
        </w:rPr>
        <w:t xml:space="preserve"> and</w:t>
      </w:r>
    </w:p>
    <w:p w:rsidR="00EE56E9" w:rsidRPr="00B369D1" w:rsidRDefault="00B369D1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sz w:val="24"/>
          <w:lang w:val="mt-MT"/>
        </w:rPr>
        <w:t xml:space="preserve"> </w:t>
      </w:r>
      <w:r w:rsidRPr="00B369D1">
        <w:rPr>
          <w:sz w:val="24"/>
          <w:lang w:val="mt-MT"/>
        </w:rPr>
        <w:tab/>
      </w:r>
      <w:hyperlink r:id="rId21" w:history="1">
        <w:r w:rsidR="00EE56E9" w:rsidRPr="00B369D1">
          <w:rPr>
            <w:rStyle w:val="Hyperlink"/>
            <w:sz w:val="24"/>
            <w:lang w:val="mt-MT"/>
          </w:rPr>
          <w:t>https://www.ncbi.nlm.nih.gov/pmc/articles/PMC6612199/</w:t>
        </w:r>
      </w:hyperlink>
      <w:r w:rsidR="00EE56E9" w:rsidRPr="00B369D1">
        <w:rPr>
          <w:sz w:val="24"/>
          <w:lang w:val="mt-MT"/>
        </w:rPr>
        <w:t>.</w:t>
      </w:r>
    </w:p>
  </w:footnote>
  <w:footnote w:id="11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22" w:history="1">
        <w:r w:rsidRPr="00B369D1">
          <w:rPr>
            <w:rStyle w:val="Hyperlink"/>
            <w:sz w:val="24"/>
            <w:lang w:val="mt-MT"/>
          </w:rPr>
          <w:t>https://www.ncbi.nlm.nih.gov/pubmed/24491722</w:t>
        </w:r>
      </w:hyperlink>
      <w:r w:rsidRPr="00B369D1">
        <w:rPr>
          <w:rStyle w:val="Hyperlink"/>
          <w:sz w:val="24"/>
          <w:lang w:val="mt-MT"/>
        </w:rPr>
        <w:t>.</w:t>
      </w:r>
      <w:r w:rsidRPr="00B369D1">
        <w:rPr>
          <w:sz w:val="24"/>
          <w:lang w:val="mt-MT"/>
        </w:rPr>
        <w:t xml:space="preserve"> </w:t>
      </w:r>
    </w:p>
  </w:footnote>
  <w:footnote w:id="12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23" w:history="1">
        <w:r w:rsidRPr="00B369D1">
          <w:rPr>
            <w:rStyle w:val="Hyperlink"/>
            <w:sz w:val="24"/>
            <w:lang w:val="mt-MT"/>
          </w:rPr>
          <w:t>https://www.testbiotech.org/en/resource/high-levels-residues-spraying-glyphosate-found-soybeans-argentina/</w:t>
        </w:r>
      </w:hyperlink>
    </w:p>
  </w:footnote>
  <w:footnote w:id="13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Dan huwa fil-fatt il-każ għall-glifosat, kif iddikjarat fl-EFSA “Review of the existing maximum residue levels for glyphosate according to Article 12 of Regulation (EC) No 396/2005” (Rieżami tal-EFSA tal-livelli massimi ta’ residwi eżistenti għall-glifosat skont l-Artikolu 12 tar-Regolament (KE) Nru 396/2005), </w:t>
      </w:r>
      <w:r w:rsidRPr="00B369D1">
        <w:rPr>
          <w:color w:val="000000"/>
          <w:sz w:val="24"/>
          <w:lang w:val="mt-MT"/>
        </w:rPr>
        <w:t xml:space="preserve">EFSA Journal 2018;16(5):e05263, p. </w:t>
      </w:r>
      <w:r w:rsidRPr="00B369D1">
        <w:rPr>
          <w:sz w:val="24"/>
          <w:lang w:val="mt-MT"/>
        </w:rPr>
        <w:t>12,</w:t>
      </w:r>
      <w:r w:rsidRPr="00B369D1">
        <w:rPr>
          <w:rStyle w:val="Hyperlink"/>
          <w:sz w:val="24"/>
          <w:lang w:val="mt-MT"/>
        </w:rPr>
        <w:t xml:space="preserve"> </w:t>
      </w:r>
      <w:hyperlink r:id="rId24" w:history="1">
        <w:r w:rsidRPr="00B369D1">
          <w:rPr>
            <w:rStyle w:val="Hyperlink"/>
            <w:sz w:val="24"/>
            <w:lang w:val="mt-MT"/>
          </w:rPr>
          <w:t>https://efsa.onlinelibrary.wiley.com/doi/abs/10.2903/j.efsa.2018.5263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14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“Strategic Dialogue on the Future of EU Agriculture - A shared prospect for farming and food in Europe” (Djalogu Strateġiku dwar il-Futur tal-Agrikoltura tal-UE - Prospett kondiviż għall-biedja u għall-ikel fl-Ewropa), Settembru 2024, </w:t>
      </w:r>
      <w:hyperlink r:id="rId25" w:history="1">
        <w:r w:rsidRPr="00B369D1">
          <w:rPr>
            <w:rStyle w:val="Hyperlink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15">
    <w:p w:rsidR="00EE56E9" w:rsidRPr="00B369D1" w:rsidRDefault="00EE56E9" w:rsidP="00B369D1">
      <w:pPr>
        <w:pStyle w:val="NoSpacing"/>
        <w:ind w:left="567" w:hanging="567"/>
        <w:jc w:val="left"/>
        <w:rPr>
          <w:szCs w:val="20"/>
        </w:rPr>
      </w:pPr>
      <w:r w:rsidRPr="00B369D1">
        <w:rPr>
          <w:rStyle w:val="FootnoteReference"/>
          <w:szCs w:val="20"/>
        </w:rPr>
        <w:footnoteRef/>
      </w:r>
      <w:r w:rsidR="00B369D1" w:rsidRPr="00B369D1">
        <w:t xml:space="preserve"> </w:t>
      </w:r>
      <w:r w:rsidR="00B369D1" w:rsidRPr="00B369D1">
        <w:tab/>
      </w:r>
      <w:r w:rsidRPr="00B369D1">
        <w:t xml:space="preserve">A/HRC/34/48: Rapport tar-Rapporteur Speċjali dwar id-dritt għall-ikel </w:t>
      </w:r>
      <w:hyperlink r:id="rId26" w:history="1">
        <w:r w:rsidRPr="00B369D1">
          <w:rPr>
            <w:rStyle w:val="Hyperlink"/>
          </w:rPr>
          <w:t>https://www.ohchr.org/en/documents/thematic-reports/ahrc3448-report-special-rapporteur-right-food</w:t>
        </w:r>
      </w:hyperlink>
      <w:r w:rsidRPr="00B369D1">
        <w:t>.</w:t>
      </w:r>
    </w:p>
  </w:footnote>
  <w:footnote w:id="16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27" w:history="1">
        <w:r w:rsidRPr="00B369D1">
          <w:rPr>
            <w:rStyle w:val="Hyperlink"/>
            <w:sz w:val="24"/>
            <w:lang w:val="mt-MT"/>
          </w:rPr>
          <w:t>https://indicators.report/targets/3-9/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17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ara: </w:t>
      </w:r>
      <w:hyperlink r:id="rId28" w:history="1">
        <w:r w:rsidRPr="00B369D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B369D1">
        <w:rPr>
          <w:sz w:val="24"/>
          <w:lang w:val="mt-MT"/>
        </w:rPr>
        <w:t>.</w:t>
      </w:r>
    </w:p>
  </w:footnote>
  <w:footnote w:id="18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F’Diċembru 2022, intlaħaq qbil dwar qafas globali dwar il-bijodiversità fil-COP15 tal-Konvenzjoni tan-Nazzjonijiet Uniti dwar id-Diversità Bijoloġika, li jinkludi mira globali għat-tnaqqis tar-riskju tal-pestiċidi b’mill-inqas 50 % sal-2030 (ara:</w:t>
      </w:r>
      <w:r w:rsidRPr="00B369D1">
        <w:rPr>
          <w:color w:val="000000" w:themeColor="text1"/>
          <w:sz w:val="24"/>
          <w:lang w:val="mt-MT"/>
        </w:rPr>
        <w:t xml:space="preserve"> </w:t>
      </w:r>
      <w:hyperlink r:id="rId29" w:history="1">
        <w:r w:rsidRPr="00B369D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B369D1">
        <w:rPr>
          <w:sz w:val="24"/>
          <w:lang w:val="mt-MT"/>
        </w:rPr>
        <w:t xml:space="preserve">). </w:t>
      </w:r>
    </w:p>
  </w:footnote>
  <w:footnote w:id="19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Il-Komunikazzjoni tal-Kummissjoni tat-23 ta’ Lulju 2019, “Stepping up EU action to Protect and Restore the World’s forests” (It-Tisħiħ tal-Azzjoni tal-UE għall-Protezzjoni u għar-Restawr tal- Foresti tad-Dinja), </w:t>
      </w:r>
      <w:hyperlink r:id="rId30" w:history="1">
        <w:r w:rsidRPr="00B369D1">
          <w:rPr>
            <w:rStyle w:val="Hyperlink"/>
            <w:sz w:val="24"/>
            <w:lang w:val="mt-MT"/>
          </w:rPr>
          <w:t>COM(2019)0352</w:t>
        </w:r>
      </w:hyperlink>
      <w:r w:rsidRPr="00B369D1">
        <w:rPr>
          <w:color w:val="000000"/>
          <w:sz w:val="24"/>
          <w:lang w:val="mt-MT"/>
        </w:rPr>
        <w:t>, p. 1.</w:t>
      </w:r>
    </w:p>
  </w:footnote>
  <w:footnote w:id="20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Idem, paġna 2.</w:t>
      </w:r>
    </w:p>
  </w:footnote>
  <w:footnote w:id="21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color w:val="000000"/>
          <w:sz w:val="24"/>
          <w:lang w:val="mt-MT"/>
        </w:rPr>
        <w:t xml:space="preserve"> </w:t>
      </w:r>
      <w:r w:rsidR="00B369D1" w:rsidRPr="00B369D1">
        <w:rPr>
          <w:color w:val="000000"/>
          <w:sz w:val="24"/>
          <w:lang w:val="mt-MT"/>
        </w:rPr>
        <w:tab/>
      </w:r>
      <w:r w:rsidRPr="00B369D1">
        <w:rPr>
          <w:color w:val="000000"/>
          <w:sz w:val="24"/>
          <w:lang w:val="mt-MT"/>
        </w:rPr>
        <w:t xml:space="preserve">Ara l-mira 15.2: </w:t>
      </w:r>
      <w:hyperlink r:id="rId31" w:history="1">
        <w:r w:rsidRPr="00B369D1">
          <w:rPr>
            <w:rStyle w:val="Hyperlink"/>
            <w:sz w:val="24"/>
            <w:lang w:val="mt-MT"/>
          </w:rPr>
          <w:t>https://www.un.org/sustainabledevelopment/biodiversity/</w:t>
        </w:r>
      </w:hyperlink>
      <w:r w:rsidRPr="00B369D1">
        <w:rPr>
          <w:rStyle w:val="Hyperlink"/>
          <w:sz w:val="24"/>
          <w:lang w:val="mt-MT"/>
        </w:rPr>
        <w:t>.</w:t>
      </w:r>
      <w:r w:rsidRPr="00B369D1">
        <w:rPr>
          <w:color w:val="000000"/>
          <w:sz w:val="24"/>
          <w:lang w:val="mt-MT"/>
        </w:rPr>
        <w:t xml:space="preserve"> </w:t>
      </w:r>
    </w:p>
  </w:footnote>
  <w:footnote w:id="22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Komunikazzjoni tal-Kummissjoni tat-23 ta’ Lulju 2019, “Stepping up EU action to Protect and Restore the World’s forests” (It-Tisħiħ tal-Azzjoni tal-UE għall-Protezzjoni u għar-Restawr tal-Foresti tad-Dinja), </w:t>
      </w:r>
      <w:hyperlink r:id="rId32" w:history="1">
        <w:r w:rsidRPr="00B369D1">
          <w:rPr>
            <w:rStyle w:val="Hyperlink"/>
            <w:sz w:val="24"/>
            <w:lang w:val="mt-MT"/>
          </w:rPr>
          <w:t>COM(2019)0352</w:t>
        </w:r>
      </w:hyperlink>
      <w:r w:rsidRPr="00B369D1">
        <w:rPr>
          <w:color w:val="000000"/>
          <w:sz w:val="24"/>
          <w:lang w:val="mt-MT"/>
        </w:rPr>
        <w:t>, p. 2.</w:t>
      </w:r>
    </w:p>
  </w:footnote>
  <w:footnote w:id="23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Komunikazzjoni tal-UE dwar It-Tisħiħ tal-Azzjoni tal-UE għall-Protezzjoni u għar-Restawr tal-Foresti tad-Dinja</w:t>
      </w:r>
      <w:r w:rsidRPr="00B369D1">
        <w:rPr>
          <w:sz w:val="24"/>
          <w:bdr w:val="none" w:sz="0" w:space="0" w:color="auto" w:frame="1"/>
          <w:shd w:val="clear" w:color="auto" w:fill="FFFFFF"/>
          <w:lang w:val="mt-MT"/>
        </w:rPr>
        <w:t>,</w:t>
      </w:r>
      <w:r w:rsidRPr="00B369D1">
        <w:rPr>
          <w:sz w:val="24"/>
          <w:lang w:val="mt-MT"/>
        </w:rPr>
        <w:t xml:space="preserve"> </w:t>
      </w:r>
      <w:hyperlink r:id="rId33" w:history="1">
        <w:r w:rsidRPr="00B369D1">
          <w:rPr>
            <w:rStyle w:val="Hyperlink"/>
            <w:sz w:val="24"/>
            <w:lang w:val="mt-MT"/>
          </w:rPr>
          <w:t>https://eur-lex.europa.eu/legal-content/MT/TXT/HTML/?uri=CELEX:52019DC0352&amp;from=MT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24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Komunikazzjoni tal-Kummissjoni lill-Parlament Ewropew, lill-Kunsill, lill-Kumitat Ekonomiku u Soċjali Ewropew u lill-Kumitat tar-Reġjuni: “Strateġija tal-UE għall-bijodiversità għall-2030: Inreġġgħu n-natura lura f’ħajjitna”, </w:t>
      </w:r>
      <w:hyperlink r:id="rId34" w:history="1">
        <w:r w:rsidRPr="00B369D1">
          <w:rPr>
            <w:rStyle w:val="Hyperlink"/>
            <w:sz w:val="24"/>
            <w:lang w:val="mt-MT"/>
          </w:rPr>
          <w:t>COM(2020)0380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25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Servizz Internazzjonali għall-akkwist ta’ applikazzjonijiet agrobijotekniċi, “Global status of commercialized biotech/GM crops in 2017: Biotech Crop Adoption Surges as Economic Benefits Accumulate in 22 Year”, ISAAA Brief Nru. 53 (2017), pp. </w:t>
      </w:r>
      <w:r w:rsidRPr="00B369D1">
        <w:rPr>
          <w:sz w:val="24"/>
          <w:lang w:val="mt-MT"/>
        </w:rPr>
        <w:t xml:space="preserve">16 u 21, </w:t>
      </w:r>
      <w:hyperlink r:id="rId35" w:history="1">
        <w:r w:rsidRPr="00B369D1">
          <w:rPr>
            <w:rStyle w:val="Hyperlink"/>
            <w:sz w:val="24"/>
            <w:lang w:val="mt-MT"/>
          </w:rPr>
          <w:t>http://www.isaaa.org/resources/publications/briefs/53/download/isaaa-brief-53-2017.pdf</w:t>
        </w:r>
      </w:hyperlink>
      <w:r w:rsidRPr="00B369D1">
        <w:rPr>
          <w:rStyle w:val="Hyperlink"/>
          <w:sz w:val="24"/>
          <w:lang w:val="mt-MT"/>
        </w:rPr>
        <w:t>.</w:t>
      </w:r>
      <w:r w:rsidRPr="00B369D1">
        <w:rPr>
          <w:sz w:val="24"/>
          <w:lang w:val="mt-MT"/>
        </w:rPr>
        <w:t xml:space="preserve"> </w:t>
      </w:r>
    </w:p>
  </w:footnote>
  <w:footnote w:id="26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rFonts w:eastAsiaTheme="majorEastAsia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Rapport tekniku tal-Kummissjoni Ewropea 2013 - 063 intitolat “The impact of EU consumption on deforestation: Comprehensive analysis of the impact of EU consumption on deforestation” (L-impatt tal-konsum tal-UE fuq id-deforestazzjoni: Analiżi komprensiva tal-impatt tal-konsum tal-UE fuq id-deforestazzjoni), </w:t>
      </w:r>
      <w:hyperlink r:id="rId36" w:history="1">
        <w:r w:rsidRPr="00B369D1">
          <w:rPr>
            <w:rStyle w:val="Hyperlink"/>
            <w:sz w:val="24"/>
            <w:lang w:val="mt-MT"/>
          </w:rPr>
          <w:t>https://op.europa.eu/en/publication-detail/-/publication/c1d3ef3e-d07e-4229-91e5-41001b47dba8/language-en,</w:t>
        </w:r>
      </w:hyperlink>
      <w:r w:rsidRPr="00B369D1">
        <w:rPr>
          <w:sz w:val="24"/>
          <w:lang w:val="mt-MT"/>
        </w:rPr>
        <w:t xml:space="preserve"> pp. 23-24: Bejn l-1990 u l-2008, l-Unjoni importat għelejjel u prodotti mill-bhejjem li jinkorporaw 90 000 km</w:t>
      </w:r>
      <w:r w:rsidRPr="00B369D1">
        <w:rPr>
          <w:rStyle w:val="sup1"/>
          <w:color w:val="000000"/>
          <w:sz w:val="24"/>
          <w:lang w:val="mt-MT"/>
        </w:rPr>
        <w:t>2</w:t>
      </w:r>
      <w:r w:rsidRPr="00B369D1">
        <w:rPr>
          <w:sz w:val="24"/>
          <w:lang w:val="mt-MT"/>
        </w:rPr>
        <w:t xml:space="preserve"> ta’ deforestazzjoni. Il-prodotti tal-għelejjel ammontaw għal 74 000 km</w:t>
      </w:r>
      <w:r w:rsidRPr="00B369D1">
        <w:rPr>
          <w:rStyle w:val="sup1"/>
          <w:color w:val="000000"/>
          <w:sz w:val="24"/>
          <w:lang w:val="mt-MT"/>
        </w:rPr>
        <w:t>2</w:t>
      </w:r>
      <w:r w:rsidRPr="00B369D1">
        <w:rPr>
          <w:sz w:val="24"/>
          <w:lang w:val="mt-MT"/>
        </w:rPr>
        <w:t xml:space="preserve"> (82 %) minn dawn, u l-għelejjel taż-żejt għandhom l-akbar sehem (52 000 km</w:t>
      </w:r>
      <w:r w:rsidRPr="00B369D1">
        <w:rPr>
          <w:rStyle w:val="sup1"/>
          <w:color w:val="000000"/>
          <w:sz w:val="24"/>
          <w:lang w:val="mt-MT"/>
        </w:rPr>
        <w:t>2</w:t>
      </w:r>
      <w:r w:rsidRPr="00B369D1">
        <w:rPr>
          <w:sz w:val="24"/>
          <w:lang w:val="mt-MT"/>
        </w:rPr>
        <w:t>). Il-fażola tas-sojja u l-espellent tas-sojja ammontaw għal 82 % ta’ dan (42 600 km</w:t>
      </w:r>
      <w:r w:rsidRPr="00B369D1">
        <w:rPr>
          <w:rStyle w:val="sup1"/>
          <w:color w:val="000000"/>
          <w:sz w:val="24"/>
          <w:lang w:val="mt-MT"/>
        </w:rPr>
        <w:t>2</w:t>
      </w:r>
      <w:r w:rsidRPr="00B369D1">
        <w:rPr>
          <w:sz w:val="24"/>
          <w:lang w:val="mt-MT"/>
        </w:rPr>
        <w:t>), ekwivalenti għal 47 % tal-importazzjoni totali tal-Unjoni ta’ deforestazzjoni inkorporata.</w:t>
      </w:r>
    </w:p>
  </w:footnote>
  <w:footnote w:id="27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37" w:history="1">
        <w:r w:rsidRPr="00B369D1">
          <w:rPr>
            <w:rStyle w:val="Hyperlink"/>
            <w:sz w:val="24"/>
            <w:lang w:val="mt-MT"/>
          </w:rPr>
          <w:t>https://commission.europa.eu/document/2c64e540-c07a-4376-a1da-368d289f4afe_en</w:t>
        </w:r>
      </w:hyperlink>
      <w:r w:rsidRPr="00B369D1">
        <w:rPr>
          <w:sz w:val="24"/>
          <w:lang w:val="mt-MT"/>
        </w:rPr>
        <w:t>.</w:t>
      </w:r>
    </w:p>
  </w:footnote>
  <w:footnote w:id="28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Il-Kummissjoni “tista’”,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29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</w:t>
      </w:r>
      <w:r w:rsidRPr="00B369D1">
        <w:rPr>
          <w:sz w:val="24"/>
          <w:lang w:val="mt-MT"/>
        </w:rPr>
        <w:t>1,</w:t>
      </w:r>
      <w:r w:rsidRPr="00B369D1">
        <w:rPr>
          <w:color w:val="000000" w:themeColor="text1"/>
          <w:sz w:val="24"/>
          <w:lang w:val="mt-MT"/>
        </w:rPr>
        <w:t xml:space="preserve"> ELI: </w:t>
      </w:r>
      <w:hyperlink r:id="rId38" w:tgtFrame="Gives access to this document through its ELI URI." w:history="1">
        <w:r w:rsidRPr="00B369D1">
          <w:rPr>
            <w:rStyle w:val="Hyperlink"/>
            <w:color w:val="0070C0"/>
            <w:sz w:val="24"/>
            <w:lang w:val="mt-MT"/>
          </w:rPr>
          <w:t>http://data.europa.eu/eli/reg/2002/178/oj</w:t>
        </w:r>
      </w:hyperlink>
      <w:r w:rsidRPr="00B369D1">
        <w:rPr>
          <w:sz w:val="24"/>
          <w:lang w:val="mt-MT"/>
        </w:rPr>
        <w:t>).</w:t>
      </w:r>
    </w:p>
  </w:footnote>
  <w:footnote w:id="30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 xml:space="preserve">F’Diċembru 2022, intlaħaq qbil dwar qafas globali dwar il-bijodiversità fil-COP15 tal-Konvenzjoni tan-Nazzjonijiet Uniti dwar id-Diversità Bijoloġika li jinkludi mira globali għat-tnaqqis tar-riskju tal-pestiċidi b’mill-inqas 50 % sal-2030 (ara: </w:t>
      </w:r>
      <w:hyperlink r:id="rId39" w:history="1">
        <w:r w:rsidRPr="00B369D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B369D1">
        <w:rPr>
          <w:sz w:val="24"/>
          <w:lang w:val="mt-MT"/>
        </w:rPr>
        <w:t>).</w:t>
      </w:r>
    </w:p>
  </w:footnote>
  <w:footnote w:id="31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hyperlink r:id="rId40" w:history="1">
        <w:r w:rsidRPr="00B369D1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B369D1">
        <w:rPr>
          <w:rStyle w:val="Hyperlink"/>
          <w:sz w:val="24"/>
          <w:lang w:val="mt-MT"/>
        </w:rPr>
        <w:t>.</w:t>
      </w:r>
    </w:p>
  </w:footnote>
  <w:footnote w:id="32">
    <w:p w:rsidR="00EE56E9" w:rsidRPr="00B369D1" w:rsidRDefault="00EE56E9" w:rsidP="00B369D1">
      <w:pPr>
        <w:pStyle w:val="FootnoteText"/>
        <w:ind w:left="567" w:hanging="567"/>
        <w:rPr>
          <w:sz w:val="24"/>
          <w:lang w:val="mt-MT"/>
        </w:rPr>
      </w:pPr>
      <w:r w:rsidRPr="00B369D1">
        <w:rPr>
          <w:rStyle w:val="FootnoteReference"/>
          <w:sz w:val="24"/>
          <w:lang w:val="mt-MT"/>
        </w:rPr>
        <w:footnoteRef/>
      </w:r>
      <w:r w:rsidR="00B369D1" w:rsidRPr="00B369D1">
        <w:rPr>
          <w:sz w:val="24"/>
          <w:lang w:val="mt-MT"/>
        </w:rPr>
        <w:t xml:space="preserve"> </w:t>
      </w:r>
      <w:r w:rsidR="00B369D1" w:rsidRPr="00B369D1">
        <w:rPr>
          <w:sz w:val="24"/>
          <w:lang w:val="mt-MT"/>
        </w:rPr>
        <w:tab/>
      </w:r>
      <w:r w:rsidRPr="00B369D1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9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4/2025"/>
    <w:docVar w:name="dvlangue" w:val="MT"/>
    <w:docVar w:name="dvnumam" w:val="0"/>
    <w:docVar w:name="dvpe" w:val="772.013"/>
    <w:docVar w:name="dvtitre" w:val="Riżoluzzjoni tal-Parlament Ewropew tat-8 ta' Mejju 2025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(D105678/01 – 2025/2647(RSP))"/>
  </w:docVars>
  <w:rsids>
    <w:rsidRoot w:val="00F71A61"/>
    <w:rsid w:val="00001B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1C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16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9D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6E9"/>
    <w:rsid w:val="00F04346"/>
    <w:rsid w:val="00F075DC"/>
    <w:rsid w:val="00F149E9"/>
    <w:rsid w:val="00F5134D"/>
    <w:rsid w:val="00F71A6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81B85"/>
  <w15:chartTrackingRefBased/>
  <w15:docId w15:val="{1F87D73E-0B9B-44C3-92DB-EA5459D0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56E9"/>
    <w:pPr>
      <w:spacing w:before="480" w:after="240"/>
    </w:pPr>
  </w:style>
  <w:style w:type="paragraph" w:customStyle="1" w:styleId="NormalBold12a">
    <w:name w:val="NormalBold12a"/>
    <w:basedOn w:val="Normal"/>
    <w:rsid w:val="00EE56E9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EE56E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E56E9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E56E9"/>
    <w:pPr>
      <w:widowControl/>
      <w:jc w:val="both"/>
    </w:pPr>
    <w:rPr>
      <w:rFonts w:eastAsiaTheme="minorHAnsi"/>
      <w:szCs w:val="32"/>
      <w:lang w:eastAsia="en-US"/>
    </w:rPr>
  </w:style>
  <w:style w:type="character" w:customStyle="1" w:styleId="sup1">
    <w:name w:val="sup1"/>
    <w:basedOn w:val="DefaultParagraphFont"/>
    <w:rsid w:val="00EE56E9"/>
    <w:rPr>
      <w:sz w:val="19"/>
      <w:szCs w:val="19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reg_impl/2013/503/oj" TargetMode="External"/><Relationship Id="rId18" Type="http://schemas.openxmlformats.org/officeDocument/2006/relationships/hyperlink" Target="https://www.sciencedirect.com/science/article/pii/S1383574218300887" TargetMode="External"/><Relationship Id="rId26" Type="http://schemas.openxmlformats.org/officeDocument/2006/relationships/hyperlink" Target="https://www.ohchr.org/en/documents/thematic-reports/ahrc3448-report-special-rapporteur-right-food" TargetMode="External"/><Relationship Id="rId39" Type="http://schemas.openxmlformats.org/officeDocument/2006/relationships/hyperlink" Target="https://ec.europa.eu/commission/presscorner/detail/mt/ip_22_7834" TargetMode="External"/><Relationship Id="rId3" Type="http://schemas.openxmlformats.org/officeDocument/2006/relationships/hyperlink" Target="https://doi.org/10.2903/j.efsa.2020.6111" TargetMode="External"/><Relationship Id="rId21" Type="http://schemas.openxmlformats.org/officeDocument/2006/relationships/hyperlink" Target="https://www.ncbi.nlm.nih.gov/pmc/articles/PMC6612199/" TargetMode="External"/><Relationship Id="rId34" Type="http://schemas.openxmlformats.org/officeDocument/2006/relationships/hyperlink" Target="https://eur-lex.europa.eu/legal-content/MT/TXT/?uri=CELEX:52020DC0380&amp;qid=1744014455633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s://doi.org/10.2903/j.efsa.2024.9061" TargetMode="External"/><Relationship Id="rId17" Type="http://schemas.openxmlformats.org/officeDocument/2006/relationships/hyperlink" Target="https://hh-ra.org/projects/measuring-pesticide-use/interactive-herbicide-use-tables/" TargetMode="External"/><Relationship Id="rId25" Type="http://schemas.openxmlformats.org/officeDocument/2006/relationships/hyperlink" Target="https://agriculture.ec.europa.eu/document/download/171329ff-0f50-4fa5-946f-aea11032172e_en?filename=strategic-dialogue-report-2024_en.pdf" TargetMode="External"/><Relationship Id="rId33" Type="http://schemas.openxmlformats.org/officeDocument/2006/relationships/hyperlink" Target="https://eur-lex.europa.eu/legal-content/MT/TXT/HTML/?uri=CELEX:52019DC0352&amp;from=MT" TargetMode="External"/><Relationship Id="rId38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academic.oup.com/ije/advance-article-abstract/doi/10.1093/ije/dyaa066/5827818?redirectedFrom=fulltext" TargetMode="External"/><Relationship Id="rId20" Type="http://schemas.openxmlformats.org/officeDocument/2006/relationships/hyperlink" Target="https://journals.plos.org/plosone/article?id=10.1371/journal.pone.0219610" TargetMode="External"/><Relationship Id="rId29" Type="http://schemas.openxmlformats.org/officeDocument/2006/relationships/hyperlink" Target="https://ec.europa.eu/commission/presscorner/detail/mt/ip_22_7834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fsa.onlinelibrary.wiley.com/doi/abs/10.2903/j.efsa.2018.5263" TargetMode="External"/><Relationship Id="rId32" Type="http://schemas.openxmlformats.org/officeDocument/2006/relationships/hyperlink" Target="https://eur-lex.europa.eu/legal-content/MT/TXT/?uri=CELEX:52019DC0352&amp;qid=1743764921930" TargetMode="External"/><Relationship Id="rId37" Type="http://schemas.openxmlformats.org/officeDocument/2006/relationships/hyperlink" Target="https://commission.europa.eu/document/2c64e540-c07a-4376-a1da-368d289f4afe_en" TargetMode="External"/><Relationship Id="rId40" Type="http://schemas.openxmlformats.org/officeDocument/2006/relationships/hyperlink" Target="https://tillymetz.lu/wp-content/uploads/2020/09/Co-signed-letter-MEP-Metz.pdf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enveurope.springeropen.com/articles/10.1186/2190-4715-24-24" TargetMode="External"/><Relationship Id="rId23" Type="http://schemas.openxmlformats.org/officeDocument/2006/relationships/hyperlink" Target="https://www.testbiotech.org/en/resource/high-levels-residues-spraying-glyphosate-found-soybeans-argentina/" TargetMode="External"/><Relationship Id="rId28" Type="http://schemas.openxmlformats.org/officeDocument/2006/relationships/hyperlink" Target="https://ec.europa.eu/commission/presscorner/detail/mt/ip_22_7834" TargetMode="External"/><Relationship Id="rId36" Type="http://schemas.openxmlformats.org/officeDocument/2006/relationships/hyperlink" Target="https://op.europa.eu/en/publication-detail/-/publication/c1d3ef3e-d07e-4229-91e5-41001b47dba8/language-en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academic.oup.com/ije/advance-article/doi/10.1093/ije/dyz017/5382278" TargetMode="External"/><Relationship Id="rId31" Type="http://schemas.openxmlformats.org/officeDocument/2006/relationships/hyperlink" Target="https://www.un.org/sustainabledevelopment/biodiversity/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ncbi.nlm.nih.gov/pubmed/26296738" TargetMode="External"/><Relationship Id="rId22" Type="http://schemas.openxmlformats.org/officeDocument/2006/relationships/hyperlink" Target="https://www.ncbi.nlm.nih.gov/pubmed/24491722" TargetMode="External"/><Relationship Id="rId27" Type="http://schemas.openxmlformats.org/officeDocument/2006/relationships/hyperlink" Target="https://indicators.report/targets/3-9/" TargetMode="External"/><Relationship Id="rId30" Type="http://schemas.openxmlformats.org/officeDocument/2006/relationships/hyperlink" Target="https://eur-lex.europa.eu/legal-content/MT/TXT/?uri=CELEX:52019DC0352&amp;qid=1743760403889" TargetMode="External"/><Relationship Id="rId35" Type="http://schemas.openxmlformats.org/officeDocument/2006/relationships/hyperlink" Target="http://www.isaaa.org/resources/publications/briefs/53/download/isaaa-brief-53-20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54375-8A14-4005-B7FD-9FBA66F3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2645</Words>
  <Characters>15081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2025-05-08T11:18:00Z</dcterms:created>
  <dcterms:modified xsi:type="dcterms:W3CDTF">2025-05-08T11:18:00Z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B10-0244/2025</vt:lpwstr>
  </property>
  <property fmtid="{D5CDD505-2E9C-101B-9397-08002B2CF9AE}" pid="4" name="&lt;Type&gt;">
    <vt:lpwstr>RR</vt:lpwstr>
  </property>
</Properties>
</file>