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13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1333" w:rsidRDefault="005C0B70" w:rsidP="0010095E">
            <w:pPr>
              <w:pStyle w:val="EPName"/>
            </w:pPr>
            <w:r w:rsidRPr="00FF1333">
              <w:t>Parlament Europejski</w:t>
            </w:r>
          </w:p>
          <w:p w:rsidR="00751A4A" w:rsidRPr="00FF13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1333">
              <w:t>2024</w:t>
            </w:r>
            <w:r w:rsidR="00817416" w:rsidRPr="00FF1333">
              <w:t>-202</w:t>
            </w:r>
            <w:r w:rsidRPr="00FF133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1333" w:rsidRDefault="00187494" w:rsidP="0010095E">
            <w:pPr>
              <w:pStyle w:val="EPLogo"/>
            </w:pPr>
            <w:r w:rsidRPr="00FF1333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1333" w:rsidRDefault="00D058B8" w:rsidP="004C5D52">
      <w:pPr>
        <w:pStyle w:val="LineTop"/>
      </w:pPr>
    </w:p>
    <w:p w:rsidR="00680577" w:rsidRPr="00FF1333" w:rsidRDefault="005C0B70" w:rsidP="00680577">
      <w:pPr>
        <w:pStyle w:val="EPBodyTA1"/>
      </w:pPr>
      <w:r w:rsidRPr="00FF1333">
        <w:t>TEKSTY PRZYJĘTE</w:t>
      </w:r>
    </w:p>
    <w:p w:rsidR="00D058B8" w:rsidRPr="00FF1333" w:rsidRDefault="00D058B8" w:rsidP="00D058B8">
      <w:pPr>
        <w:pStyle w:val="LineBottom"/>
      </w:pPr>
    </w:p>
    <w:p w:rsidR="005C0B70" w:rsidRPr="00FF1333" w:rsidRDefault="005C0B70" w:rsidP="005C0B70">
      <w:pPr>
        <w:pStyle w:val="ATHeading1"/>
      </w:pPr>
      <w:bookmarkStart w:id="0" w:name="TANumber"/>
      <w:r w:rsidRPr="00FF1333">
        <w:t>P10_TA(2025)0</w:t>
      </w:r>
      <w:bookmarkEnd w:id="0"/>
      <w:r w:rsidR="00460D4C">
        <w:t>106</w:t>
      </w:r>
    </w:p>
    <w:p w:rsidR="005C0B70" w:rsidRPr="00FF1333" w:rsidRDefault="002571CE" w:rsidP="002571CE">
      <w:pPr>
        <w:pStyle w:val="ATHeading2"/>
      </w:pPr>
      <w:r>
        <w:rPr>
          <w:bCs/>
        </w:rPr>
        <w:t>G</w:t>
      </w:r>
      <w:r w:rsidRPr="002571CE">
        <w:rPr>
          <w:bCs/>
        </w:rPr>
        <w:t>enetycznie zmodyfikowana soja MON 87705×MON 87708×MON 89788</w:t>
      </w:r>
    </w:p>
    <w:p w:rsidR="005C0B70" w:rsidRPr="00FF1333" w:rsidRDefault="005C0B70" w:rsidP="005C0B70">
      <w:pPr>
        <w:rPr>
          <w:i/>
          <w:vanish/>
        </w:rPr>
      </w:pPr>
      <w:r w:rsidRPr="00FF1333">
        <w:rPr>
          <w:i/>
        </w:rPr>
        <w:fldChar w:fldCharType="begin"/>
      </w:r>
      <w:r w:rsidRPr="00FF1333">
        <w:rPr>
          <w:i/>
        </w:rPr>
        <w:instrText xml:space="preserve"> TC"(</w:instrText>
      </w:r>
      <w:bookmarkStart w:id="1" w:name="DocNumber"/>
      <w:r w:rsidRPr="00FF1333">
        <w:rPr>
          <w:i/>
        </w:rPr>
        <w:instrText>B</w:instrText>
      </w:r>
      <w:proofErr w:type="gramStart"/>
      <w:r w:rsidRPr="00FF1333">
        <w:rPr>
          <w:i/>
        </w:rPr>
        <w:instrText>10-0244/2025</w:instrText>
      </w:r>
      <w:bookmarkEnd w:id="1"/>
      <w:r w:rsidRPr="00FF1333">
        <w:rPr>
          <w:i/>
        </w:rPr>
        <w:instrText>)"\l</w:instrText>
      </w:r>
      <w:proofErr w:type="gramEnd"/>
      <w:r w:rsidRPr="00FF1333">
        <w:rPr>
          <w:i/>
        </w:rPr>
        <w:instrText xml:space="preserve">3 \n&gt; \* MERGEFORMAT </w:instrText>
      </w:r>
      <w:r w:rsidRPr="00FF1333">
        <w:rPr>
          <w:i/>
        </w:rPr>
        <w:fldChar w:fldCharType="end"/>
      </w:r>
    </w:p>
    <w:p w:rsidR="005C0B70" w:rsidRPr="00FF1333" w:rsidRDefault="005C0B70" w:rsidP="005C0B70">
      <w:pPr>
        <w:rPr>
          <w:vanish/>
        </w:rPr>
      </w:pPr>
      <w:bookmarkStart w:id="2" w:name="PE"/>
      <w:r w:rsidRPr="00FF1333">
        <w:rPr>
          <w:vanish/>
        </w:rPr>
        <w:t>PE772.013</w:t>
      </w:r>
      <w:bookmarkEnd w:id="2"/>
    </w:p>
    <w:p w:rsidR="005C0B70" w:rsidRPr="00FF1333" w:rsidRDefault="005C0B70" w:rsidP="005C0B70">
      <w:pPr>
        <w:pStyle w:val="ATHeading3"/>
      </w:pPr>
      <w:bookmarkStart w:id="3" w:name="Sujet"/>
      <w:r w:rsidRPr="00FF1333">
        <w:t xml:space="preserve">Rezolucja Parlamentu Europejskiego z dnia </w:t>
      </w:r>
      <w:r w:rsidR="002571CE">
        <w:t>8 maja</w:t>
      </w:r>
      <w:r w:rsidRPr="00FF1333">
        <w:t xml:space="preserve">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</w:t>
      </w:r>
      <w:bookmarkEnd w:id="3"/>
      <w:r w:rsidRPr="00FF1333">
        <w:t xml:space="preserve"> </w:t>
      </w:r>
      <w:bookmarkStart w:id="4" w:name="References"/>
      <w:r w:rsidR="002571CE">
        <w:t>(D105678/03</w:t>
      </w:r>
      <w:r w:rsidRPr="00FF1333">
        <w:t xml:space="preserve"> – 2025/2647(RSP))</w:t>
      </w:r>
      <w:bookmarkEnd w:id="4"/>
    </w:p>
    <w:p w:rsidR="005C0B70" w:rsidRPr="00FF1333" w:rsidRDefault="005C0B70" w:rsidP="005C0B70"/>
    <w:p w:rsidR="004E77CE" w:rsidRPr="00FF1333" w:rsidRDefault="004E77CE" w:rsidP="004E77CE">
      <w:pPr>
        <w:pStyle w:val="EPComma"/>
      </w:pPr>
      <w:bookmarkStart w:id="5" w:name="TextBodyBegin"/>
      <w:bookmarkEnd w:id="5"/>
      <w:r w:rsidRPr="00FF1333">
        <w:rPr>
          <w:i/>
        </w:rPr>
        <w:t>Parlament Europejski</w:t>
      </w:r>
      <w:r w:rsidRPr="00FF1333">
        <w:t>,</w:t>
      </w:r>
    </w:p>
    <w:p w:rsidR="004E77CE" w:rsidRPr="00FF1333" w:rsidRDefault="004E77CE" w:rsidP="004E77CE">
      <w:pPr>
        <w:pStyle w:val="NormalHanging12a"/>
      </w:pPr>
      <w:r w:rsidRPr="00FF1333">
        <w:t>–</w:t>
      </w:r>
      <w:r w:rsidRPr="00FF1333">
        <w:tab/>
        <w:t>uwzględniając projekt decyzji wykonawczej Komisji zezwalającej na wprowadzenie do obrotu na mocy rozporządzenia Parlamentu Europejskiego i Rady (WE) nr 1829/2003 (D105678/03) produktów zawierających genetycznie zmodyfikowaną soję MON 87705 × MON 87708 × MON 89788, składających się z niej lub z niej wyprodukowanych,</w:t>
      </w:r>
    </w:p>
    <w:p w:rsidR="004E77CE" w:rsidRPr="00FF1333" w:rsidRDefault="004E77CE" w:rsidP="004E77CE">
      <w:pPr>
        <w:pStyle w:val="NormalHanging12a"/>
      </w:pPr>
      <w:r w:rsidRPr="00FF1333">
        <w:t>–</w:t>
      </w:r>
      <w:r w:rsidRPr="00FF1333">
        <w:tab/>
        <w:t>uwzględniając rozporządzenie Parlamentu Europejskiego i Rady (WE) nr 1829/2003 z dnia 22 września 2003 r. w sprawie genetycznie zmodyfikowanej żywności i paszy</w:t>
      </w:r>
      <w:r w:rsidRPr="00FF1333">
        <w:rPr>
          <w:rStyle w:val="FootnoteReference"/>
        </w:rPr>
        <w:footnoteReference w:id="1"/>
      </w:r>
      <w:r w:rsidRPr="00FF1333">
        <w:t>, w szczególności jego art. 7 ust. 3 i art. 19 ust. 3,</w:t>
      </w:r>
    </w:p>
    <w:p w:rsidR="004E77CE" w:rsidRPr="00FF1333" w:rsidRDefault="004E77CE" w:rsidP="004E77CE">
      <w:pPr>
        <w:pStyle w:val="NormalHanging12a"/>
        <w:rPr>
          <w:szCs w:val="24"/>
        </w:rPr>
      </w:pPr>
      <w:r w:rsidRPr="00FF1333">
        <w:t>–</w:t>
      </w:r>
      <w:r w:rsidRPr="00FF1333">
        <w:tab/>
        <w:t xml:space="preserve">uwzględniając fakt, że </w:t>
      </w:r>
      <w:r w:rsidRPr="00FF1333">
        <w:rPr>
          <w:shd w:val="clear" w:color="auto" w:fill="FFFFFF"/>
        </w:rPr>
        <w:t>Stały Komitet ds. Roślin, Zwierząt, Żywności i Pasz, o którym mowa w art. 35 rozporządzenia (WE) nr 1829/2003, nie wydał opinii podczas głosowania 28 lutego 2025 r.</w:t>
      </w:r>
      <w:r w:rsidRPr="00FF1333">
        <w:t>,</w:t>
      </w:r>
    </w:p>
    <w:p w:rsidR="004E77CE" w:rsidRPr="00FF1333" w:rsidRDefault="004E77CE" w:rsidP="004E77CE">
      <w:pPr>
        <w:pStyle w:val="NormalHanging12a"/>
      </w:pPr>
      <w:r w:rsidRPr="00FF1333">
        <w:t>–</w:t>
      </w:r>
      <w:r w:rsidRPr="00FF1333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FF1333">
        <w:rPr>
          <w:rStyle w:val="FootnoteReference"/>
        </w:rPr>
        <w:footnoteReference w:id="2"/>
      </w:r>
      <w:r w:rsidRPr="00FF1333">
        <w:t>,</w:t>
      </w:r>
    </w:p>
    <w:p w:rsidR="004E77CE" w:rsidRPr="00FF1333" w:rsidRDefault="004E77CE" w:rsidP="004E77CE">
      <w:pPr>
        <w:pStyle w:val="NormalHanging12a"/>
      </w:pPr>
      <w:r w:rsidRPr="00FF1333">
        <w:t>–</w:t>
      </w:r>
      <w:r w:rsidRPr="00FF1333">
        <w:tab/>
        <w:t xml:space="preserve">uwzględniając opinię Europejskiego Urzędu ds. Bezpieczeństwa Żywności (EFSA) </w:t>
      </w:r>
      <w:r w:rsidRPr="00FF1333">
        <w:lastRenderedPageBreak/>
        <w:t>z dnia 2 kwietnia 2020 r., opublikowaną 18 maja 2020 r.</w:t>
      </w:r>
      <w:r w:rsidRPr="00FF1333">
        <w:rPr>
          <w:rStyle w:val="FootnoteReference"/>
        </w:rPr>
        <w:footnoteReference w:id="3"/>
      </w:r>
      <w:r w:rsidRPr="00FF1333">
        <w:t>,</w:t>
      </w:r>
    </w:p>
    <w:p w:rsidR="004E77CE" w:rsidRPr="00FF1333" w:rsidRDefault="004E77CE" w:rsidP="004E77CE">
      <w:pPr>
        <w:pStyle w:val="NormalHanging12a"/>
        <w:rPr>
          <w:szCs w:val="24"/>
        </w:rPr>
      </w:pPr>
      <w:r w:rsidRPr="00FF1333">
        <w:rPr>
          <w:rFonts w:ascii="Symbol" w:hAnsi="Symbol"/>
        </w:rPr>
        <w:t></w:t>
      </w:r>
      <w:r w:rsidRPr="00FF1333">
        <w:rPr>
          <w:rFonts w:ascii="Symbol" w:hAnsi="Symbol"/>
        </w:rPr>
        <w:tab/>
      </w:r>
      <w:r w:rsidRPr="00FF1333">
        <w:rPr>
          <w:shd w:val="clear" w:color="auto" w:fill="FFFFFF"/>
        </w:rPr>
        <w:t>uwzględniając swoje wcześniejsze rezolucje zawierające sprzeciw wobec zatwierdzania organizmów zmodyfikowanych genetycznie („GMO”)</w:t>
      </w:r>
      <w:r w:rsidRPr="00FF1333">
        <w:rPr>
          <w:rStyle w:val="FootnoteReference"/>
          <w:szCs w:val="24"/>
          <w:shd w:val="clear" w:color="auto" w:fill="FFFFFF"/>
        </w:rPr>
        <w:footnoteReference w:id="4"/>
      </w:r>
      <w:r w:rsidRPr="00FF1333">
        <w:rPr>
          <w:shd w:val="clear" w:color="auto" w:fill="FFFFFF"/>
        </w:rPr>
        <w:t>,</w:t>
      </w:r>
    </w:p>
    <w:p w:rsidR="004E77CE" w:rsidRPr="00FF1333" w:rsidRDefault="004E77CE" w:rsidP="004E77CE">
      <w:pPr>
        <w:pStyle w:val="NormalHanging12a"/>
      </w:pPr>
      <w:r w:rsidRPr="00FF1333">
        <w:lastRenderedPageBreak/>
        <w:t>–</w:t>
      </w:r>
      <w:r w:rsidRPr="00FF1333">
        <w:tab/>
        <w:t>uwzględniając art. 115 ust. 2 i 3 Regulaminu,</w:t>
      </w:r>
    </w:p>
    <w:p w:rsidR="004E77CE" w:rsidRPr="00FF1333" w:rsidRDefault="004E77CE" w:rsidP="004E77CE">
      <w:pPr>
        <w:pStyle w:val="NormalHanging12a"/>
      </w:pPr>
      <w:r w:rsidRPr="00FF1333">
        <w:t>–</w:t>
      </w:r>
      <w:r w:rsidRPr="00FF1333">
        <w:tab/>
        <w:t>uwzględniając projekt rezolucji Komisji Ochrony Środowiska Naturalnego, Klimatu i Bezpieczeństwa Żywności,</w:t>
      </w:r>
    </w:p>
    <w:p w:rsidR="004E77CE" w:rsidRPr="00FF1333" w:rsidRDefault="004E77CE" w:rsidP="004E77CE">
      <w:pPr>
        <w:pStyle w:val="NormalHanging12a"/>
      </w:pPr>
      <w:r w:rsidRPr="00FF1333">
        <w:t>A.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11 września 2015 r. przedsiębiorstwo Monsanto Europe S.A./N.V. </w:t>
      </w:r>
      <w:proofErr w:type="gramStart"/>
      <w:r w:rsidRPr="00FF1333">
        <w:t>zwróciło</w:t>
      </w:r>
      <w:proofErr w:type="gramEnd"/>
      <w:r w:rsidRPr="00FF1333">
        <w:t xml:space="preserve"> się, w imieniu Monsanto Company z siedzibą w Stanach Zjednoczonych, do właściwego organu Niderlandów z wnioskiem dotyczącym wprowadzenia do obrotu żywności, składników żywności i paszy zawierających genetycznie zmodyfikowaną soję </w:t>
      </w:r>
      <w:bookmarkStart w:id="6" w:name="_Hlk183685905"/>
      <w:r w:rsidRPr="00FF1333">
        <w:t>MON 87705 × MON 87708 × MON 89788</w:t>
      </w:r>
      <w:bookmarkEnd w:id="6"/>
      <w:r w:rsidRPr="00FF1333">
        <w:t xml:space="preserve"> („genetycznie zmodyfikowana soja”), składających się z niej lub z niej wyprodukowanych („wniosek”), zgodnie z art. 5 i 17 rozporządzenia (WE) nr 1829/2003; mając na uwadze, że wniosek dotyczył również wprowadzenia do obrotu produktów zawierających soję zmodyfikowaną genetycznie lub składających się z niej, do zastosowań innych niż żywność i pasza, z wyjątkiem uprawy;</w:t>
      </w:r>
    </w:p>
    <w:p w:rsidR="004E77CE" w:rsidRPr="00FF1333" w:rsidRDefault="004E77CE" w:rsidP="004E77CE">
      <w:pPr>
        <w:pStyle w:val="NormalHanging12a"/>
      </w:pPr>
      <w:r w:rsidRPr="00FF1333">
        <w:t>B.</w:t>
      </w:r>
      <w:r w:rsidRPr="00FF1333">
        <w:tab/>
        <w:t>mając na uwadze, że 2 kwietnia 2020 r. EFSA wydała pozytywną opinię w sprawie genetycznie zmodyfikowanej soi, opublikowaną 18 maja 2020 r.; mając na uwadze, że EFSA rozpatrzyła wszystkie pytania i wątpliwości zgłaszane przez państwa członkowskie w ramach konsultacji z właściwymi organami krajowymi, przewidzianych w art. 6 ust. 4 i art. 18 ust. 4 rozporządzenia (WE) nr 1829/2003;</w:t>
      </w:r>
    </w:p>
    <w:p w:rsidR="004E77CE" w:rsidRPr="00FF1333" w:rsidRDefault="004E77CE" w:rsidP="004E77CE">
      <w:pPr>
        <w:pStyle w:val="NormalHanging12a"/>
      </w:pPr>
      <w:r w:rsidRPr="00FF1333">
        <w:t>C.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EFSA nie była jednak w stanie sfinalizować oceny ryzyka i </w:t>
      </w:r>
      <w:r w:rsidRPr="00FF1333">
        <w:lastRenderedPageBreak/>
        <w:t>wyciągnąć wniosków na temat bezpieczeństwa genetycznie zmodyfikowanej soi ze względu na brak 90-dniowego badania genetycznie zmodyfikowanej soi oraz brak planu monitorowania po wprowadzeniu do obrotu</w:t>
      </w:r>
      <w:r w:rsidRPr="00FF1333">
        <w:rPr>
          <w:i/>
        </w:rPr>
        <w:t xml:space="preserve"> </w:t>
      </w:r>
      <w:r w:rsidRPr="00FF1333">
        <w:t>uwzględniającego zmieniony profil kwasów tłuszczowych genetycznie zmodyfikowanej soi;</w:t>
      </w:r>
    </w:p>
    <w:p w:rsidR="004E77CE" w:rsidRPr="00FF1333" w:rsidRDefault="004E77CE" w:rsidP="004E77CE">
      <w:pPr>
        <w:pStyle w:val="NormalHanging12a"/>
      </w:pPr>
      <w:r w:rsidRPr="00FF1333">
        <w:t xml:space="preserve">D. 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3 października 2024 r. EFSA wydała oświadczenie, opublikowane 28 października 2024 r., uzupełniające opinię naukową EFSA z dnia 2 kwietnia 2020 r.: na podstawie dodatkowych danych dostarczonych przez wnioskodawcę</w:t>
      </w:r>
      <w:r w:rsidRPr="00FF1333">
        <w:rPr>
          <w:rStyle w:val="FootnoteReference"/>
        </w:rPr>
        <w:footnoteReference w:id="5"/>
      </w:r>
      <w:r w:rsidRPr="00FF1333">
        <w:t xml:space="preserve"> EFSA uznała, że zmodyfikowana genetycznie soja, zgodna z opisem we wniosku, jest równie bezpieczna pod względem potencjalnego wpływu na zdrowie ludzi i zwierząt i na środowisko, co jej konwencjonalny odpowiednik i przebadane niezmodyfikowane genetycznie odmiany referencyjne soi. EFSA stwierdziła również, że spożycie genetycznie zmodyfikowanej </w:t>
      </w:r>
      <w:bookmarkStart w:id="7" w:name="_Hlk183443299"/>
      <w:r w:rsidRPr="00FF1333">
        <w:t xml:space="preserve">soi </w:t>
      </w:r>
      <w:bookmarkEnd w:id="7"/>
      <w:r w:rsidRPr="00FF1333">
        <w:t>nie budzi żadnych obaw, jeśli chodzi o odżywianie;</w:t>
      </w:r>
    </w:p>
    <w:p w:rsidR="004E77CE" w:rsidRPr="00FF1333" w:rsidRDefault="004E77CE" w:rsidP="004E77CE">
      <w:pPr>
        <w:pStyle w:val="NormalHanging12a"/>
        <w:rPr>
          <w:color w:val="000000"/>
        </w:rPr>
      </w:pPr>
      <w:r w:rsidRPr="00FF1333">
        <w:t>E.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</w:t>
      </w:r>
      <w:r w:rsidRPr="00FF1333">
        <w:rPr>
          <w:color w:val="000000"/>
        </w:rPr>
        <w:t>genetycznie zmodyfikowana soja została zmodyfikowana w taki sposób, aby uodpornić ją na herbicydy na bazie glifosatu i dikamby oraz zmienić jej profil kwasów tłuszczowych</w:t>
      </w:r>
      <w:r w:rsidRPr="00FF1333">
        <w:t>;</w:t>
      </w:r>
    </w:p>
    <w:p w:rsidR="004E77CE" w:rsidRPr="00FF1333" w:rsidRDefault="004E77CE" w:rsidP="004E77CE">
      <w:pPr>
        <w:pStyle w:val="NormalHanging12a"/>
        <w:ind w:left="284" w:hanging="284"/>
        <w:rPr>
          <w:b/>
          <w:i/>
        </w:rPr>
      </w:pPr>
      <w:r w:rsidRPr="00FF1333">
        <w:rPr>
          <w:b/>
          <w:bCs/>
          <w:i/>
        </w:rPr>
        <w:t>B</w:t>
      </w:r>
      <w:r w:rsidRPr="00FF1333">
        <w:rPr>
          <w:b/>
          <w:i/>
        </w:rPr>
        <w:t>rak oceny herbicydów uzupełniających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F.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na mocy rozporządzenia wykonawczego Komisji (UE) nr 503/2013</w:t>
      </w:r>
      <w:r w:rsidRPr="00FF1333">
        <w:rPr>
          <w:rStyle w:val="FootnoteReference"/>
        </w:rPr>
        <w:footnoteReference w:id="6"/>
      </w:r>
      <w:r w:rsidRPr="00FF1333">
        <w:t xml:space="preserve"> wymagana jest ocena, czy oczekiwane sposoby prowadzenia działalności rolniczej wpływają na wyniki badanych punktów końcowych,; mając na uwadze, że zgodnie z tym rozporządzeniem wykonawczym ma to szczególne znaczenie w przypadku roślin tolerujących herbicydy;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G.</w:t>
      </w:r>
      <w:r w:rsidRPr="00FF1333">
        <w:tab/>
        <w:t xml:space="preserve">mając na uwadze, że zdecydowaną większość upraw zmodyfikowanych genetycznie poddano modyfikacji genetycznej, aby osiągnąć tolerancję na co najmniej jeden herbicyd uzupełniający spośród herbicydów, które mogą być stosowane w trakcie całej uprawy roślin zmodyfikowanych genetycznie bez powodowania zamierania upraw, jak miałoby to miejsce w przypadku upraw nietolerujących herbicydów; mając na uwadze, że według licznych badań uprawa genetycznie zmodyfikowanych roślin tolerujących herbicydy prowadzi do większego zużycia herbicydów uzupełniających, co w dużej mierze spowodowane jest pojawieniem się chwastów odpornych na </w:t>
      </w:r>
      <w:r w:rsidRPr="00FF1333">
        <w:lastRenderedPageBreak/>
        <w:t>herbicydy</w:t>
      </w:r>
      <w:r w:rsidRPr="00FF1333">
        <w:rPr>
          <w:rStyle w:val="FootnoteReference"/>
        </w:rPr>
        <w:footnoteReference w:id="7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H.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genetycznie zmodyfikowane uprawy odporne na herbicydy zmuszają rolników do stosowania systemu zwalczania chwastów, który jest w dużej mierze lub całkowicie uzależniony od herbicydów; mając na uwadze, że zwiększone uzależnienie od herbicydów uzupełniających w gospodarstwach, w których prowadzi się genetycznie zmodyfikowane uprawy, przyspiesza pojawianie się i rozprzestrzenianie chwastów odpornych na te herbicydy, co sprawia, że konieczne staje się coraz szersze stosowanie herbicydów, prowadzące do powstania błędnego koła;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I.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nadmierne uzależnienie od herbicydów przyniesie takie negatywne skutki jak pogorszenie zdrowia gleby, jakości wody oraz różnorodności biologicznej na powierzchni ziemi i pod ziemią, a także spowoduje większe narażenie ludzi i zwierząt, potencjalnie również w wyniku większych pozostałości herbicydów w żywności i paszy;</w:t>
      </w:r>
    </w:p>
    <w:p w:rsidR="004E77CE" w:rsidRPr="00FF1333" w:rsidRDefault="004E77CE" w:rsidP="004E77CE">
      <w:pPr>
        <w:pStyle w:val="NormalHanging12a"/>
        <w:ind w:left="720" w:hanging="720"/>
        <w:rPr>
          <w:szCs w:val="24"/>
        </w:rPr>
      </w:pPr>
      <w:r w:rsidRPr="00FF1333">
        <w:t xml:space="preserve">J. </w:t>
      </w:r>
      <w:r w:rsidRPr="00FF1333">
        <w:tab/>
        <w:t xml:space="preserve">mając na uwadze, że dikamba jest wysoce lotna, co oznacza, że po zastosowaniu może się ulatniać i przedostawać do powietrza, a następnie przemieszczać się z wiatrem aż do opadnięcia na ziemię, co naraża ludzi i rośliny inne niż docelowe, winorośl, drzewa i krzewy na poważne szkody, zwłaszcza gdy ekspozycja trwa kilka lat; 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K.</w:t>
      </w:r>
      <w:r w:rsidRPr="00FF1333">
        <w:tab/>
      </w:r>
      <w:r w:rsidRPr="00FF1333">
        <w:rPr>
          <w:shd w:val="clear" w:color="auto" w:fill="FFFFFF"/>
        </w:rPr>
        <w:t>mając na uwadze, że w recenzowanym czasopiśmie International Journal of Epidemiology opublikowano badanie z 2020 r. przeprowadzone przez rządowych naukowców Stanów Zjednoczonych</w:t>
      </w:r>
      <w:r w:rsidRPr="00FF1333">
        <w:t xml:space="preserve">, w którym stwierdzono, że intensywne stosowanie dikamby zwiększa ryzyko rozwoju raka wątroby i wewnątrzwątrobowych przewodów żółciowych wśród osób aplikujących tę substancję; 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L.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w badaniu z 2020 r. stwierdzono, iż zatwierdzenie upraw genetycznie zmodyfikowanych odpornych na dikambę przypuszczalnie doprowadzi do zwiększonego wykorzystania dikamby w rolnictwie w nadchodzących latach</w:t>
      </w:r>
      <w:r w:rsidRPr="00FF1333">
        <w:rPr>
          <w:vertAlign w:val="superscript"/>
        </w:rPr>
        <w:footnoteReference w:id="8"/>
      </w:r>
      <w:r w:rsidRPr="00FF1333">
        <w:t xml:space="preserve">, a system danych Heartland Health Research Alliance’s Pesticide Use dotyczący stosowania pestycydów potwierdza, że rzeczywiście ma to miejsce – w ostatniej dekadzie wykorzystanie dikamby w regionie Midwest w Stanach Zjednoczonych </w:t>
      </w:r>
      <w:r w:rsidRPr="00FF1333">
        <w:lastRenderedPageBreak/>
        <w:t>wzrosło nawet dziesięciokrotnie</w:t>
      </w:r>
      <w:r w:rsidRPr="00FF1333">
        <w:rPr>
          <w:vertAlign w:val="superscript"/>
        </w:rPr>
        <w:footnoteReference w:id="9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M.</w:t>
      </w:r>
      <w:r w:rsidRPr="00FF1333">
        <w:tab/>
        <w:t>mając na uwadze, że utrzymują się wątpliwości co do rakotwórczości glifosatu; mając na uwadze, że EFSA w listopadzie 2015 r. stwierdziła, iż jest mało prawdopodobne, aby glifosat był rakotwórczy, a Europejska Agencja Chemikaliów uznała w marcu 2017 r., że nie ma podstaw, by zaliczyć go do substancji rakotwórczych; mając na uwadze, że z kolei Międzynarodowa Agencja Badań nad Rakiem – wyspecjalizowana agencja Światowej Organizacji Zdrowia ds. badań nad rakiem – w 2015 r. zaliczyła glifosat do substancji prawdopodobnie rakotwórczych dla ludzi; mając na uwadze, że szereg najnowszych recenzowanych badań naukowych potwierdza możliwe działanie rakotwórcze glifosatu</w:t>
      </w:r>
      <w:r w:rsidRPr="00FF1333">
        <w:rPr>
          <w:szCs w:val="24"/>
          <w:vertAlign w:val="superscript"/>
        </w:rPr>
        <w:footnoteReference w:id="10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N.</w:t>
      </w:r>
      <w:r w:rsidRPr="00FF1333">
        <w:tab/>
        <w:t>mając na uwadze, że w badaniu recenzowanym stwierdzono, że glifosat gromadzi się w genetycznie zmodyfikowanej soi, co negatywnie wpływa na jej skład odżywczy w porównaniu ze składem soi niezmodyfikowanej genetycznie</w:t>
      </w:r>
      <w:r w:rsidRPr="00FF1333">
        <w:rPr>
          <w:vertAlign w:val="superscript"/>
        </w:rPr>
        <w:footnoteReference w:id="11"/>
      </w:r>
      <w:r w:rsidRPr="00FF1333">
        <w:t>; mając na uwadze, że w projekcie pilotażowym przeprowadzonym w Argentynie stwierdzono zaskakująco wysoki poziom pozostałości glifosatu w genetycznie zmodyfikowanej soi</w:t>
      </w:r>
      <w:r w:rsidRPr="00FF1333">
        <w:rPr>
          <w:vertAlign w:val="superscript"/>
        </w:rPr>
        <w:footnoteReference w:id="12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O.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sposób, w jaki rośliny zmodyfikowane genetycznie rozkładają herbicydy uzupełniające, oraz skład, a tym samym toksyczność produktów rozpadu (metabolitów), mogą wynikać z samej modyfikacji genetycznej</w:t>
      </w:r>
      <w:r w:rsidRPr="00FF1333">
        <w:rPr>
          <w:szCs w:val="24"/>
          <w:vertAlign w:val="superscript"/>
        </w:rPr>
        <w:footnoteReference w:id="13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P.</w:t>
      </w:r>
      <w:r w:rsidRPr="00FF1333">
        <w:tab/>
        <w:t>mając na uwadze, że ocenę pozostałości herbicydów i metabolitów znalezionych na roślinach zmodyfikowanych genetycznie uznaje się za niewchodzącą w zakres kompetencji panelu EFSA ds. organizmów modyfikowanych genetycznie, w związku z czym nie przeprowadza się jej w procedurze zatwierdzania GMO;</w:t>
      </w:r>
    </w:p>
    <w:p w:rsidR="004E77CE" w:rsidRPr="00FF1333" w:rsidRDefault="004E77CE" w:rsidP="004E77CE">
      <w:pPr>
        <w:pStyle w:val="NormalHanging12a"/>
        <w:ind w:left="284" w:hanging="284"/>
        <w:rPr>
          <w:b/>
          <w:i/>
        </w:rPr>
      </w:pPr>
      <w:r w:rsidRPr="00FF1333">
        <w:rPr>
          <w:b/>
          <w:i/>
        </w:rPr>
        <w:t>Zapewnienie równych warunków działania na całym świecie i realizacja międzynarodowych zobowiązań Unii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Q.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uprawa genetycznie zmodyfikowanej soi nie jest dozwolona w Unii;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R.</w:t>
      </w:r>
      <w:r w:rsidRPr="00FF1333">
        <w:tab/>
        <w:t xml:space="preserve">mając na uwadze, że we wnioskach ze strategicznego dialogu na temat przyszłości </w:t>
      </w:r>
      <w:r w:rsidRPr="00FF1333">
        <w:lastRenderedPageBreak/>
        <w:t>rolnictwa w UE</w:t>
      </w:r>
      <w:r w:rsidRPr="00FF1333">
        <w:rPr>
          <w:rStyle w:val="FootnoteReference"/>
        </w:rPr>
        <w:footnoteReference w:id="14"/>
      </w:r>
      <w:r w:rsidRPr="00FF1333">
        <w:t xml:space="preserve"> wzywa się Komisję do ponownej oceny jej podejścia do kwestii wprowadzenia do obrotu produktów rolno-spożywczych w imporcie i eksporcie, z uwzględnieniem wyzwania, jakie stanowią rozbieżne standardy Unii i jej partnerów handlowych; mając na uwadze, że sprawiedliwsze stosunki handlowe zgodne z celami w zakresie zdrowej żywności i zdrowego środowiska na całym świecie były jednym z głównych postulatów rolników podczas demonstracji w 2023 i 2024 r.;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S.</w:t>
      </w:r>
      <w:r w:rsidRPr="00FF1333">
        <w:tab/>
        <w:t>mając na uwadze, że w sprawozdaniu specjalnego sprawozdawcy Organizacji Narodów Zjednoczonych (ONZ) ds. prawa do pożywienia z 2017 r. stwierdzono, iż szczególnie w krajach rozwijających się niebezpieczne pestycydy mają katastrofalne skutki dla zdrowia</w:t>
      </w:r>
      <w:r w:rsidRPr="00FF1333">
        <w:rPr>
          <w:rStyle w:val="FootnoteReference"/>
        </w:rPr>
        <w:footnoteReference w:id="15"/>
      </w:r>
      <w:r w:rsidRPr="00FF1333">
        <w:t>; mając na uwadze, że cel zrównoważonego rozwoju ONZ nr 3.9 zakłada znaczne zmniejszenie do 2030 r. liczby zgonów i chorób spowodowanych niebezpiecznymi chemikaliami oraz zanieczyszczeniem i skażeniem powietrza, wody i gleby</w:t>
      </w:r>
      <w:r w:rsidRPr="00FF1333">
        <w:rPr>
          <w:rStyle w:val="FootnoteReference"/>
        </w:rPr>
        <w:footnoteReference w:id="16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T.</w:t>
      </w:r>
      <w:r w:rsidRPr="00FF1333">
        <w:tab/>
        <w:t>mając na uwadze, że w grudniu 2022 r. podczas COP15 Konwencji ONZ o różnorodności biologicznej uzgodniono globalne ramy różnorodności biologicznej z Kunmingu/Montrealu, które obejmują globalny cel zmniejszenia ryzyka związanego z pestycydami o co najmniej 50 % do 2030 r.</w:t>
      </w:r>
      <w:r w:rsidRPr="00FF1333">
        <w:rPr>
          <w:rStyle w:val="FootnoteReference"/>
        </w:rPr>
        <w:footnoteReference w:id="17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U.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zgodnie z rozporządzeniem (WE) nr 1829/2003 genetycznie zmodyfikowana żywność lub pasza nie mogą wywierać szkodliwego wpływu na zdrowie ludzi i zwierząt ani na środowisko naturalne, a przy sporządzaniu decyzji Komisja musi brać pod uwagę wszelkie istotne przepisy prawa Unii oraz inne uzasadnione czynniki istotne dla badanej sprawy; mając na uwadze, że takie uzasadnione czynniki powinny obejmować zobowiązania Unii wynikające z celów zrównoważonego rozwoju ONZ i z Konwencji ONZ o różnorodności biologicznej;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V.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unijne zezwolenie na genetycznie zmodyfikowaną soję nie byłoby spójne z międzynarodowymi zobowiązaniami w zakresie ograniczenia stosowania pestycydów</w:t>
      </w:r>
      <w:r w:rsidRPr="00FF1333">
        <w:rPr>
          <w:vertAlign w:val="superscript"/>
        </w:rPr>
        <w:footnoteReference w:id="18"/>
      </w:r>
      <w:r w:rsidRPr="00FF1333">
        <w:t>, zważywszy na zwiększone narażenie ludzi i środowiska na herbicydy w krajach, w których uprawia się genetycznie zmodyfikowane rośliny odporne na herbicydy, a także związane z tym skutki zdrowotne, które mogą być poważne;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W.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do głównych przyczyn utraty różnorodności biologicznej należy wylesianie; mając na uwadze, że emisje pochodzące z użytkowania gruntów i zmiany </w:t>
      </w:r>
      <w:r w:rsidRPr="00FF1333">
        <w:lastRenderedPageBreak/>
        <w:t>użytkowania gruntów, przeważnie z powodu wylesiania, to druga po spalaniu paliw kopalnych najważniejsza przyczyna zmiany klimatu</w:t>
      </w:r>
      <w:r w:rsidRPr="00FF1333">
        <w:rPr>
          <w:szCs w:val="24"/>
          <w:vertAlign w:val="superscript"/>
        </w:rPr>
        <w:footnoteReference w:id="19"/>
      </w:r>
      <w:r w:rsidRPr="00FF1333">
        <w:t>; mając na uwadze, że w paryskim porozumieniu klimatycznym, w strategicznym planie na rzecz różnorodności biologicznej na lata 2011–2020 przyjętym na podstawie Konwencji o różnorodności biologicznej oraz w celach z Aichi w zakresie ochrony różnorodności biologicznej propaguje się zrównoważoną gospodarkę leśną, ochronę lasów i ich odtwarzanie</w:t>
      </w:r>
      <w:r w:rsidRPr="00FF1333">
        <w:rPr>
          <w:szCs w:val="24"/>
          <w:vertAlign w:val="superscript"/>
        </w:rPr>
        <w:footnoteReference w:id="20"/>
      </w:r>
      <w:r w:rsidRPr="00FF1333">
        <w:t>; mając na uwadze, że cel zrównoważonego rozwoju nr 15 obejmuje powstrzymanie wylesiania do 2020 r.</w:t>
      </w:r>
      <w:r w:rsidRPr="00FF1333">
        <w:rPr>
          <w:szCs w:val="24"/>
          <w:vertAlign w:val="superscript"/>
        </w:rPr>
        <w:footnoteReference w:id="21"/>
      </w:r>
      <w:r w:rsidRPr="00FF1333">
        <w:t xml:space="preserve">; mając na uwadze, że </w:t>
      </w:r>
      <w:proofErr w:type="gramStart"/>
      <w:r w:rsidRPr="00FF1333">
        <w:t>lasy</w:t>
      </w:r>
      <w:proofErr w:type="gramEnd"/>
      <w:r w:rsidRPr="00FF1333">
        <w:t xml:space="preserve"> pełnią wiele funkcji sprzyjających większości celów zrównoważonego rozwoju</w:t>
      </w:r>
      <w:r w:rsidRPr="00FF1333">
        <w:rPr>
          <w:szCs w:val="24"/>
          <w:vertAlign w:val="superscript"/>
        </w:rPr>
        <w:footnoteReference w:id="22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X.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przyczyną pożarów lasów w Amazonii jest wysoki poziom wylesiania; mając na uwadze, że w komunikacie z 2019 r. Komisja zadeklarowała ambicję ochrony i odtwarzania lasów na świecie</w:t>
      </w:r>
      <w:r w:rsidRPr="00FF1333">
        <w:rPr>
          <w:vertAlign w:val="superscript"/>
        </w:rPr>
        <w:footnoteReference w:id="23"/>
      </w:r>
      <w:r w:rsidRPr="00FF1333">
        <w:t>; mając na uwadze, że globalna ochrona różnorodności biologicznej, w tym lasów, jest kluczowym celem unijnej strategii ochrony różnorodności biologicznej</w:t>
      </w:r>
      <w:r w:rsidRPr="00FF1333">
        <w:rPr>
          <w:vertAlign w:val="superscript"/>
        </w:rPr>
        <w:footnoteReference w:id="24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Y.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produkcja soi należy do najważniejszych przyczyn wylesiania w dorzeczu Amazonki, w regionie Cerrado i na równinie Gran Chaco w Ameryce Południowej; mając na uwadze, że 97 % soi uprawianej w Brazylii i 100 % soi uprawianej w Argentynie to soja zmodyfikowana genetycznie</w:t>
      </w:r>
      <w:r w:rsidRPr="00FF1333">
        <w:rPr>
          <w:szCs w:val="24"/>
          <w:vertAlign w:val="superscript"/>
        </w:rPr>
        <w:footnoteReference w:id="25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  <w:rPr>
          <w:szCs w:val="24"/>
        </w:rPr>
      </w:pPr>
      <w:r w:rsidRPr="00FF1333">
        <w:t>Z.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według analiz Komisji soja jest w Unii od dawna najważniejszym czynnikiem przyczyniającym się do wylesiania na świecie i do wynikających stąd emisji, gdyż odpowiada za niemal połowę wylesiania </w:t>
      </w:r>
      <w:r w:rsidRPr="00FF1333">
        <w:lastRenderedPageBreak/>
        <w:t>uwzględnionego w konsumpcji wszystkich towarów przywożonych do Unii</w:t>
      </w:r>
      <w:r w:rsidRPr="00FF1333">
        <w:rPr>
          <w:szCs w:val="24"/>
          <w:vertAlign w:val="superscript"/>
        </w:rPr>
        <w:footnoteReference w:id="26"/>
      </w:r>
      <w:r w:rsidRPr="00FF1333">
        <w:t>;</w:t>
      </w:r>
    </w:p>
    <w:p w:rsidR="004E77CE" w:rsidRPr="00FF1333" w:rsidRDefault="004E77CE" w:rsidP="004E77CE">
      <w:pPr>
        <w:pStyle w:val="NormalHanging12a"/>
        <w:ind w:left="284" w:hanging="284"/>
        <w:rPr>
          <w:b/>
          <w:i/>
        </w:rPr>
      </w:pPr>
      <w:r w:rsidRPr="00FF1333">
        <w:rPr>
          <w:b/>
          <w:i/>
        </w:rPr>
        <w:t>Zmniejszenie zależności od paszy z importu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AA.</w:t>
      </w:r>
      <w:r w:rsidRPr="00FF1333">
        <w:tab/>
        <w:t>mając na uwadze, że jednym z wniosków wyciągniętych z kryzysu związanego z COVID-19 i trwającej wojny w Ukrainie jest konieczność uniezależnienia się Unii od niektórych materiałów krytycznych; mając na uwadze, że w piśmie określającym zadania komisarza Christophe’a Hansena przewodnicząca Komisji Ursula von der Leyen zwraca się do niego, by przeanalizował sposoby ograniczenia przywozu kluczowych towarów</w:t>
      </w:r>
      <w:r w:rsidRPr="00FF1333">
        <w:rPr>
          <w:rStyle w:val="FootnoteReference"/>
        </w:rPr>
        <w:footnoteReference w:id="27"/>
      </w:r>
      <w:r w:rsidRPr="00FF1333">
        <w:t xml:space="preserve">; 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AB.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umowy handlowe zachęcają do przywozu do Unii żywności i pasz zawierających GMO, składających się z GMO lub wyprodukowanych z GMO; mając na uwadze, że Brazylia i Argentyna należą do największych na świecie producentów GMO i użytkowników pestycydów, w tym GMO i pestycydów zakazanych w Unii ze względów zdrowotnych lub środowiskowych;</w:t>
      </w:r>
    </w:p>
    <w:p w:rsidR="004E77CE" w:rsidRPr="00FF1333" w:rsidRDefault="004E77CE" w:rsidP="004E77CE">
      <w:pPr>
        <w:pStyle w:val="NormalHanging12a"/>
        <w:ind w:left="284" w:hanging="284"/>
        <w:rPr>
          <w:b/>
          <w:i/>
        </w:rPr>
      </w:pPr>
      <w:r w:rsidRPr="00FF1333">
        <w:rPr>
          <w:b/>
          <w:i/>
        </w:rPr>
        <w:t>Niedemokratyczny proces podejmowania decyzji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AC.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w ósmej kadencji Parlament przyjął łącznie 36 rezolucji, w których sprzeciwił się wprowadzeniu do obrotu GMO do zastosowania w żywności i paszy (33 rezolucje) oraz uprawie GMO w Unii (trzy rezolucje); mając na uwadze, że w dziewiątej kadencji Parlament przyjął 38 rezolucji, w których sprzeciwił się wprowadzaniu GMO do obrotu, a w obecnej dziesiątej kadencji przyjął już dziesięć rezolucji, w których sprzeciwił się wprowadzaniu GMO do obrotu; 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AD.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Komisja nadal wydaje zezwolenia na GMO, mimo że sama stwierdziła niedemokratyczność tego procesu, a także mimo braku poparcia ze strony państw członkowskich i mimo sprzeciwów Parlamentu;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AE.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żadna zmiana w prawie nie jest konieczna, by Komisja mogła nie zatwierdzić GMO, jeżeli w komitecie odwoławczym kwalifikowana większość państw członkowskich nie opowie się za zatwierdzeniem</w:t>
      </w:r>
      <w:r w:rsidRPr="00FF1333">
        <w:rPr>
          <w:rStyle w:val="FootnoteReference"/>
        </w:rPr>
        <w:footnoteReference w:id="28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AF.</w:t>
      </w:r>
      <w:r w:rsidRPr="00FF1333">
        <w:tab/>
      </w:r>
      <w:proofErr w:type="gramStart"/>
      <w:r w:rsidRPr="00FF1333">
        <w:t>mając</w:t>
      </w:r>
      <w:proofErr w:type="gramEnd"/>
      <w:r w:rsidRPr="00FF1333">
        <w:t xml:space="preserve"> na uwadze, że 28 lutego 2025 r. Stały Komitet ds. Roślin, Zwierząt, Żywności i Pasz, o którym mowa w art. 35 rozporządzenia (WE) nr 1829/2003, nie wydał opinii </w:t>
      </w:r>
      <w:r w:rsidRPr="00FF1333">
        <w:lastRenderedPageBreak/>
        <w:t xml:space="preserve">w wyniku głosowania, co oznacza, że zezwolenia nie poparła kwalifikowana większość państw członkowskich;  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1.</w:t>
      </w:r>
      <w:r w:rsidRPr="00FF1333">
        <w:tab/>
      </w:r>
      <w:proofErr w:type="gramStart"/>
      <w:r w:rsidRPr="00FF1333">
        <w:t>uważa</w:t>
      </w:r>
      <w:proofErr w:type="gramEnd"/>
      <w:r w:rsidRPr="00FF1333">
        <w:t>, że projekt decyzji wykonawczej Komisji wykracza poza uprawnienia wykonawcze przewidziane w rozporządzeniu (WE) nr 1829/2003;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2.</w:t>
      </w:r>
      <w:r w:rsidRPr="00FF1333">
        <w:tab/>
      </w:r>
      <w:proofErr w:type="gramStart"/>
      <w:r w:rsidRPr="00FF1333">
        <w:t>uważa</w:t>
      </w:r>
      <w:proofErr w:type="gramEnd"/>
      <w:r w:rsidRPr="00FF1333">
        <w:t>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FF1333">
        <w:rPr>
          <w:rStyle w:val="FootnoteReference"/>
        </w:rPr>
        <w:footnoteReference w:id="29"/>
      </w:r>
      <w:r w:rsidRPr="00FF1333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3.</w:t>
      </w:r>
      <w:r w:rsidRPr="00FF1333">
        <w:tab/>
      </w:r>
      <w:proofErr w:type="gramStart"/>
      <w:r w:rsidRPr="00FF1333">
        <w:t>wzywa</w:t>
      </w:r>
      <w:proofErr w:type="gramEnd"/>
      <w:r w:rsidRPr="00FF1333">
        <w:t xml:space="preserve"> Komisję do wycofania projektu decyzji wykonawczej oraz do przedłożenia komitetowi nowego projektu;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4.</w:t>
      </w:r>
      <w:r w:rsidRPr="00FF1333">
        <w:tab/>
      </w:r>
      <w:proofErr w:type="gramStart"/>
      <w:r w:rsidRPr="00FF1333">
        <w:t>wzywa</w:t>
      </w:r>
      <w:proofErr w:type="gramEnd"/>
      <w:r w:rsidRPr="00FF1333">
        <w:t xml:space="preserve"> Komisję, zgodnie z podejściem „Jedno zdrowie”, aby nie zezwalała na uprawę zmodyfikowanych genetycznie roślin tolerujących herbicydy, ponieważ doprowadziłoby to do zwiększonego stosowania herbicydów uzupełniających, a tym samym do zwiększenia ryzyka dla różnorodności biologicznej, bezpieczeństwa żywności i zdrowia pracowników;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5.</w:t>
      </w:r>
      <w:r w:rsidRPr="00FF1333">
        <w:tab/>
      </w:r>
      <w:proofErr w:type="gramStart"/>
      <w:r w:rsidRPr="00FF1333">
        <w:t>podkreśla</w:t>
      </w:r>
      <w:proofErr w:type="gramEnd"/>
      <w:r w:rsidRPr="00FF1333">
        <w:t xml:space="preserve"> w związku z tym, że zezwalanie na import jako żywności lub paszy roślin zmodyfikowanych genetycznie, którym nadano odporność na herbicydy, jest niezgodne z międzynarodowymi zobowiązaniami Unii wynikającymi m.in. z celów zrównoważonego rozwoju ONZ i Konwencji ONZ o różnorodności biologicznej, w tym z niedawno przyjętymi globalnymi ramami różnorodności biologicznej z Kunmingu/Montrealu</w:t>
      </w:r>
      <w:r w:rsidRPr="00FF1333">
        <w:rPr>
          <w:rStyle w:val="FootnoteReference"/>
        </w:rPr>
        <w:footnoteReference w:id="30"/>
      </w:r>
      <w:r w:rsidRPr="00FF1333">
        <w:t>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6.</w:t>
      </w:r>
      <w:r w:rsidRPr="00FF1333">
        <w:tab/>
      </w:r>
      <w:proofErr w:type="gramStart"/>
      <w:r w:rsidRPr="00FF1333">
        <w:t>oczekuje</w:t>
      </w:r>
      <w:proofErr w:type="gramEnd"/>
      <w:r w:rsidRPr="00FF1333">
        <w:t>, że Komisja w trybie pilnym wywiąże się ze swojego zobowiązania do przedstawienia wniosku mającego na celu zagwarantowanie, że niebezpieczne chemikalia zakazane w Unii nie będą produkowane na eksport, a także ze zobowiązania do zapewnienia wzajemności poprzez lepsze dostosowanie w Europie krajowych norm produkcji do norm stosowanych w imporcie, zwłaszcza w odniesieniu do pestycydów;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7.</w:t>
      </w:r>
      <w:r w:rsidRPr="00FF1333">
        <w:tab/>
      </w:r>
      <w:proofErr w:type="gramStart"/>
      <w:r w:rsidRPr="00FF1333">
        <w:t>wzywa</w:t>
      </w:r>
      <w:proofErr w:type="gramEnd"/>
      <w:r w:rsidRPr="00FF1333">
        <w:t xml:space="preserve"> Komisję do zapewnienia zbieżności norm między Unią a jej partnerami w negocjacjach dotyczących umów o wolnym handlu, aby spełnić unijne normy </w:t>
      </w:r>
      <w:r w:rsidRPr="00FF1333">
        <w:lastRenderedPageBreak/>
        <w:t>bezpieczeństwa;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 xml:space="preserve">8. </w:t>
      </w:r>
      <w:r w:rsidRPr="00FF1333">
        <w:tab/>
      </w:r>
      <w:proofErr w:type="gramStart"/>
      <w:r w:rsidRPr="00FF1333">
        <w:t>z</w:t>
      </w:r>
      <w:proofErr w:type="gramEnd"/>
      <w:r w:rsidRPr="00FF1333">
        <w:t xml:space="preserve"> zadowoleniem przyjmuje fakt, że w skierowanym do posłów i posłanek piśmie z 11 września 2020 r. Komisja w końcu przyznała, iż przy podejmowaniu decyzji o zezwoleniu na wprowadzenie GMO należy uwzględniać zasady zrównoważonego rozwoju</w:t>
      </w:r>
      <w:r w:rsidRPr="00FF1333">
        <w:rPr>
          <w:rStyle w:val="FootnoteReference"/>
        </w:rPr>
        <w:footnoteReference w:id="31"/>
      </w:r>
      <w:r w:rsidRPr="00FF1333">
        <w:t>; jest jednak głęboko rozczarowany, że od tego czasu Komisja wciąż zezwalała na przywóz GMO do Unii mimo sprzeciwu Parlamentu i większości państw członkowskich głosujących przeciwko udzielaniu takich zezwoleń;</w:t>
      </w:r>
    </w:p>
    <w:p w:rsidR="004E77CE" w:rsidRPr="00FF1333" w:rsidRDefault="004E77CE" w:rsidP="004E77CE">
      <w:pPr>
        <w:pStyle w:val="NormalHanging12a"/>
        <w:ind w:left="720" w:hanging="720"/>
      </w:pPr>
      <w:r w:rsidRPr="00FF1333">
        <w:t>9.</w:t>
      </w:r>
      <w:r w:rsidRPr="00FF1333">
        <w:tab/>
      </w:r>
      <w:proofErr w:type="gramStart"/>
      <w:r w:rsidRPr="00FF1333">
        <w:t>ponownie</w:t>
      </w:r>
      <w:proofErr w:type="gramEnd"/>
      <w:r w:rsidRPr="00FF1333">
        <w:t xml:space="preserve">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zawierające wyjaśnienie sposobu, w jaki zapewniają one przestrzeganie zasady „nie szkodzić”</w:t>
      </w:r>
      <w:r w:rsidRPr="00FF1333">
        <w:rPr>
          <w:rStyle w:val="FootnoteReference"/>
        </w:rPr>
        <w:footnoteReference w:id="32"/>
      </w:r>
      <w:r w:rsidRPr="00FF1333">
        <w:t xml:space="preserve">; </w:t>
      </w:r>
    </w:p>
    <w:p w:rsidR="00FF1333" w:rsidRPr="00FF1333" w:rsidRDefault="004E77CE" w:rsidP="00FF1333">
      <w:pPr>
        <w:widowControl/>
        <w:ind w:left="720" w:hanging="720"/>
      </w:pPr>
      <w:r w:rsidRPr="00FF1333">
        <w:t>10.</w:t>
      </w:r>
      <w:r w:rsidRPr="00FF1333">
        <w:tab/>
      </w:r>
      <w:proofErr w:type="gramStart"/>
      <w:r w:rsidRPr="00FF1333">
        <w:t>zobowiązuje</w:t>
      </w:r>
      <w:proofErr w:type="gramEnd"/>
      <w:r w:rsidRPr="00FF1333">
        <w:t xml:space="preserve"> swoją przewodniczącą do przekazania niniejszej rezolucji Radzie i Komisji oraz rządom i parlamentom państw członkowskich.</w:t>
      </w:r>
    </w:p>
    <w:p w:rsidR="00E365E1" w:rsidRPr="00FF1333" w:rsidRDefault="00E365E1" w:rsidP="005C0B70"/>
    <w:sectPr w:rsidR="00E365E1" w:rsidRPr="00FF1333" w:rsidSect="00FF13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B70" w:rsidRPr="00FF1333" w:rsidRDefault="005C0B70">
      <w:r w:rsidRPr="00FF1333">
        <w:separator/>
      </w:r>
    </w:p>
  </w:endnote>
  <w:endnote w:type="continuationSeparator" w:id="0">
    <w:p w:rsidR="005C0B70" w:rsidRPr="00FF1333" w:rsidRDefault="005C0B70">
      <w:r w:rsidRPr="00FF13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B70" w:rsidRPr="00FF1333" w:rsidRDefault="005C0B70">
      <w:r w:rsidRPr="00FF1333">
        <w:separator/>
      </w:r>
    </w:p>
  </w:footnote>
  <w:footnote w:type="continuationSeparator" w:id="0">
    <w:p w:rsidR="005C0B70" w:rsidRPr="00FF1333" w:rsidRDefault="005C0B70">
      <w:r w:rsidRPr="00FF1333">
        <w:continuationSeparator/>
      </w:r>
    </w:p>
  </w:footnote>
  <w:footnote w:id="1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Dz.U. L 268 z 18.10.2003, </w:t>
      </w:r>
      <w:proofErr w:type="gramStart"/>
      <w:r w:rsidRPr="00FF1333">
        <w:rPr>
          <w:sz w:val="24"/>
          <w:lang w:val="pl-PL"/>
        </w:rPr>
        <w:t>s</w:t>
      </w:r>
      <w:proofErr w:type="gramEnd"/>
      <w:r w:rsidRPr="00FF1333">
        <w:rPr>
          <w:sz w:val="24"/>
          <w:lang w:val="pl-PL"/>
        </w:rPr>
        <w:t xml:space="preserve">. 1, ELI: </w:t>
      </w:r>
      <w:hyperlink r:id="rId1" w:history="1">
        <w:r w:rsidRPr="00FF1333">
          <w:rPr>
            <w:rStyle w:val="Hyperlink"/>
            <w:sz w:val="24"/>
            <w:lang w:val="pl-PL"/>
          </w:rPr>
          <w:t>http://data.europa.eu/eli/reg/2003/1829/oj</w:t>
        </w:r>
      </w:hyperlink>
      <w:r w:rsidRPr="00FF1333">
        <w:rPr>
          <w:rStyle w:val="Hyperlink"/>
          <w:color w:val="000000" w:themeColor="text1"/>
          <w:sz w:val="24"/>
          <w:lang w:val="pl-PL"/>
        </w:rPr>
        <w:t>.</w:t>
      </w:r>
    </w:p>
  </w:footnote>
  <w:footnote w:id="2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Dz.U. L 55 z 28.2.2011, </w:t>
      </w:r>
      <w:proofErr w:type="gramStart"/>
      <w:r w:rsidRPr="00FF1333">
        <w:rPr>
          <w:sz w:val="24"/>
          <w:lang w:val="pl-PL"/>
        </w:rPr>
        <w:t>s</w:t>
      </w:r>
      <w:proofErr w:type="gramEnd"/>
      <w:r w:rsidRPr="00FF1333">
        <w:rPr>
          <w:sz w:val="24"/>
          <w:lang w:val="pl-PL"/>
        </w:rPr>
        <w:t>. 13, ELI</w:t>
      </w:r>
      <w:r w:rsidRPr="00FF1333">
        <w:rPr>
          <w:rStyle w:val="Hyperlink"/>
          <w:sz w:val="24"/>
          <w:lang w:val="pl-PL"/>
        </w:rPr>
        <w:t xml:space="preserve">: </w:t>
      </w:r>
      <w:hyperlink r:id="rId2" w:history="1">
        <w:r w:rsidRPr="00FF1333">
          <w:rPr>
            <w:rStyle w:val="Hyperlink"/>
            <w:sz w:val="24"/>
            <w:lang w:val="pl-PL"/>
          </w:rPr>
          <w:t>http://data.europa.eu/eli/reg/2011/182/oj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3">
    <w:p w:rsidR="004E77CE" w:rsidRPr="00FF1333" w:rsidRDefault="004E77CE" w:rsidP="00FF1333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FF1333">
        <w:rPr>
          <w:rStyle w:val="FootnoteReference"/>
          <w:color w:val="000000" w:themeColor="text1"/>
          <w:sz w:val="24"/>
          <w:lang w:val="pl-PL"/>
        </w:rPr>
        <w:footnoteRef/>
      </w:r>
      <w:r w:rsidR="00FF1333" w:rsidRPr="00FF1333">
        <w:rPr>
          <w:color w:val="000000" w:themeColor="text1"/>
          <w:sz w:val="24"/>
          <w:lang w:val="pl-PL"/>
        </w:rPr>
        <w:t xml:space="preserve"> </w:t>
      </w:r>
      <w:r w:rsidR="00FF1333" w:rsidRPr="00FF1333">
        <w:rPr>
          <w:color w:val="000000" w:themeColor="text1"/>
          <w:sz w:val="24"/>
          <w:lang w:val="pl-PL"/>
        </w:rPr>
        <w:tab/>
      </w:r>
      <w:r w:rsidRPr="00FF1333">
        <w:rPr>
          <w:color w:val="000000" w:themeColor="text1"/>
          <w:sz w:val="24"/>
          <w:lang w:val="pl-PL"/>
        </w:rPr>
        <w:t xml:space="preserve">Opinia naukowa panelu EFSA ds. organizmów modyfikowanych genetycznie dotycząca </w:t>
      </w:r>
      <w:r w:rsidRPr="00FF1333">
        <w:rPr>
          <w:sz w:val="24"/>
          <w:lang w:val="pl-PL"/>
        </w:rPr>
        <w:t>oceny genetycznie zmodyfikowanej soi MON 87705 × MON 87708 × MON 89788 z przeznaczeniem na żywność i paszę, zgodnie z rozporządzeniem (WE) nr 1829/2003 (wniosek EFSA-GMO-NL-2015-126), Dziennik EFSA</w:t>
      </w:r>
      <w:proofErr w:type="gramStart"/>
      <w:r w:rsidRPr="00FF1333">
        <w:rPr>
          <w:sz w:val="24"/>
          <w:lang w:val="pl-PL"/>
        </w:rPr>
        <w:t xml:space="preserve"> 2020; 18(5):e</w:t>
      </w:r>
      <w:proofErr w:type="gramEnd"/>
      <w:r w:rsidRPr="00FF1333">
        <w:rPr>
          <w:sz w:val="24"/>
          <w:lang w:val="pl-PL"/>
        </w:rPr>
        <w:t xml:space="preserve">06111, </w:t>
      </w:r>
      <w:hyperlink r:id="rId3" w:history="1">
        <w:r w:rsidRPr="00FF1333">
          <w:rPr>
            <w:rStyle w:val="Hyperlink"/>
            <w:sz w:val="24"/>
            <w:lang w:val="pl-PL"/>
          </w:rPr>
          <w:t>https://doi.org/10.2903/j.efsa.2020.6111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4">
    <w:p w:rsidR="004E77CE" w:rsidRPr="00FF1333" w:rsidRDefault="004E77CE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color w:val="000000" w:themeColor="text1"/>
          <w:sz w:val="24"/>
          <w:lang w:val="pl-PL"/>
        </w:rPr>
        <w:t xml:space="preserve"> </w:t>
      </w:r>
      <w:r w:rsidR="00FF1333" w:rsidRPr="00FF1333">
        <w:rPr>
          <w:color w:val="000000" w:themeColor="text1"/>
          <w:sz w:val="24"/>
          <w:lang w:val="pl-PL"/>
        </w:rPr>
        <w:tab/>
      </w:r>
      <w:r w:rsidRPr="00FF1333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hyperlink r:id="rId4" w:history="1">
        <w:r w:rsidR="004E77CE" w:rsidRPr="00FF1333">
          <w:rPr>
            <w:rStyle w:val="Hyperlink"/>
            <w:sz w:val="24"/>
            <w:lang w:val="pl-PL"/>
          </w:rPr>
          <w:t>http://data.europa.eu/eli/C/2025/1797/oj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4.4.2025, ELI: </w:t>
      </w:r>
      <w:hyperlink r:id="rId5" w:history="1">
        <w:r w:rsidR="004E77CE" w:rsidRPr="00FF1333">
          <w:rPr>
            <w:rStyle w:val="Hyperlink"/>
            <w:sz w:val="24"/>
            <w:lang w:val="pl-PL"/>
          </w:rPr>
          <w:t>http://data.europa.eu/eli/C/2025/1798/oj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subkombinacji oraz produktów składających się z wymienionych rodzajów zmodyfikowanej genetycznie kukurydzy lub z niej wyprodukowanych (Dz.U. C, C/2025/1799, 4.4.2025, ELI: </w:t>
      </w:r>
      <w:hyperlink r:id="rId6" w:history="1">
        <w:r w:rsidR="004E77CE" w:rsidRPr="00FF1333">
          <w:rPr>
            <w:rStyle w:val="Hyperlink"/>
            <w:sz w:val="24"/>
            <w:lang w:val="pl-PL"/>
          </w:rPr>
          <w:t>http://data.europa.eu/eli/C/2025/1799/oj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7" w:history="1">
        <w:r w:rsidR="004E77CE" w:rsidRPr="00FF1333">
          <w:rPr>
            <w:rStyle w:val="Hyperlink"/>
            <w:sz w:val="24"/>
            <w:lang w:val="pl-PL"/>
          </w:rPr>
          <w:t>http://data.europa.eu/eli/C/2025/1800/oj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4.4.2025, ELI</w:t>
      </w:r>
      <w:proofErr w:type="gramStart"/>
      <w:r w:rsidR="004E77CE" w:rsidRPr="00FF1333">
        <w:rPr>
          <w:color w:val="000000" w:themeColor="text1"/>
          <w:sz w:val="24"/>
          <w:lang w:val="pl-PL"/>
        </w:rPr>
        <w:t>:</w:t>
      </w:r>
      <w:hyperlink r:id="rId8" w:history="1">
        <w:proofErr w:type="gramEnd"/>
        <w:r w:rsidR="004E77CE" w:rsidRPr="00FF1333">
          <w:rPr>
            <w:rStyle w:val="Hyperlink"/>
            <w:sz w:val="24"/>
            <w:lang w:val="pl-PL"/>
          </w:rPr>
          <w:t>http://data.europa.eu/eli/C/2025/1801/oj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4.4.2025, ELI: </w:t>
      </w:r>
      <w:hyperlink r:id="rId9" w:history="1">
        <w:r w:rsidR="004E77CE" w:rsidRPr="00FF1333">
          <w:rPr>
            <w:rStyle w:val="Hyperlink"/>
            <w:sz w:val="24"/>
            <w:lang w:val="pl-PL"/>
          </w:rPr>
          <w:t>http://data.europa.eu/eli/C/2025/1802/oj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 </w:t>
      </w:r>
      <w:hyperlink r:id="rId10" w:history="1">
        <w:r w:rsidR="004E77CE" w:rsidRPr="00FF1333">
          <w:rPr>
            <w:rStyle w:val="Hyperlink"/>
            <w:sz w:val="24"/>
            <w:lang w:val="pl-PL"/>
          </w:rPr>
          <w:t>http://data.europa.eu/eli/C/2025/1803/oj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4.4.2025, ELI: </w:t>
      </w:r>
      <w:hyperlink r:id="rId11" w:history="1">
        <w:r w:rsidR="004E77CE" w:rsidRPr="00FF1333">
          <w:rPr>
            <w:rStyle w:val="Hyperlink"/>
            <w:sz w:val="24"/>
            <w:lang w:val="pl-PL"/>
          </w:rPr>
          <w:t>http://data.europa.eu/eli/C/2025/1804/oj</w:t>
        </w:r>
      </w:hyperlink>
      <w:r w:rsidR="004E77CE" w:rsidRPr="00FF1333">
        <w:rPr>
          <w:color w:val="000000" w:themeColor="text1"/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sz w:val="24"/>
          <w:lang w:val="pl-PL"/>
        </w:rPr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</w:t>
      </w:r>
      <w:r w:rsidR="004E77CE" w:rsidRPr="00FF1333">
        <w:rPr>
          <w:color w:val="000000" w:themeColor="text1"/>
          <w:sz w:val="24"/>
          <w:lang w:val="pl-PL"/>
        </w:rPr>
        <w:t>P10_TA(2025)0014</w:t>
      </w:r>
      <w:r w:rsidR="004E77CE" w:rsidRPr="00FF1333">
        <w:rPr>
          <w:sz w:val="24"/>
          <w:lang w:val="pl-PL"/>
        </w:rPr>
        <w:t>).</w:t>
      </w:r>
    </w:p>
    <w:p w:rsidR="004E77CE" w:rsidRPr="00FF1333" w:rsidRDefault="00FF1333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color w:val="000000" w:themeColor="text1"/>
          <w:sz w:val="24"/>
          <w:lang w:val="pl-PL"/>
        </w:rPr>
        <w:t xml:space="preserve"> </w:t>
      </w:r>
      <w:r w:rsidRPr="00FF1333">
        <w:rPr>
          <w:color w:val="000000" w:themeColor="text1"/>
          <w:sz w:val="24"/>
          <w:lang w:val="pl-PL"/>
        </w:rPr>
        <w:tab/>
      </w:r>
      <w:r w:rsidR="004E77CE" w:rsidRPr="00FF1333">
        <w:rPr>
          <w:color w:val="000000" w:themeColor="text1"/>
          <w:sz w:val="24"/>
          <w:lang w:val="pl-PL"/>
        </w:rPr>
        <w:t>–</w:t>
      </w:r>
      <w:r w:rsidR="004E77CE" w:rsidRPr="00FF1333">
        <w:rPr>
          <w:color w:val="000000" w:themeColor="text1"/>
          <w:sz w:val="24"/>
          <w:lang w:val="pl-PL"/>
        </w:rPr>
        <w:tab/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(P10_TA(2025)0015).</w:t>
      </w:r>
    </w:p>
  </w:footnote>
  <w:footnote w:id="5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>Panel EFSA ds. GMO, oświadczenie uzupełniające opinię naukową EFSA dotyczącą wniosku (EFSA-GMO-NL-2015-126) dotyczącego zezwolenia na wprowadzenie do obrotu żywności i paszy zawierających genetycznie zmodyfikowaną soję MON 87705 × MON 87708 × MON 89788, składających się z niej lub z niej wyprodukowanych. Dziennik EFSA</w:t>
      </w:r>
      <w:proofErr w:type="gramStart"/>
      <w:r w:rsidRPr="00FF1333">
        <w:rPr>
          <w:sz w:val="24"/>
          <w:lang w:val="pl-PL"/>
        </w:rPr>
        <w:t xml:space="preserve"> 2024;22(10):e</w:t>
      </w:r>
      <w:proofErr w:type="gramEnd"/>
      <w:r w:rsidRPr="00FF1333">
        <w:rPr>
          <w:sz w:val="24"/>
          <w:lang w:val="pl-PL"/>
        </w:rPr>
        <w:t xml:space="preserve">9061, </w:t>
      </w:r>
      <w:hyperlink r:id="rId12" w:history="1">
        <w:r w:rsidRPr="00FF1333">
          <w:rPr>
            <w:rStyle w:val="Hyperlink"/>
            <w:sz w:val="24"/>
            <w:lang w:val="pl-PL"/>
          </w:rPr>
          <w:t>https://doi.org/10.2903/j.efsa.2024.9061</w:t>
        </w:r>
      </w:hyperlink>
      <w:r w:rsidRPr="00FF1333">
        <w:rPr>
          <w:sz w:val="24"/>
          <w:lang w:val="pl-PL"/>
        </w:rPr>
        <w:t>.</w:t>
      </w:r>
    </w:p>
  </w:footnote>
  <w:footnote w:id="6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color w:val="000000" w:themeColor="text1"/>
          <w:sz w:val="24"/>
          <w:lang w:val="pl-PL"/>
        </w:rPr>
        <w:t xml:space="preserve"> </w:t>
      </w:r>
      <w:r w:rsidR="00FF1333" w:rsidRPr="00FF1333">
        <w:rPr>
          <w:color w:val="000000" w:themeColor="text1"/>
          <w:sz w:val="24"/>
          <w:lang w:val="pl-PL"/>
        </w:rPr>
        <w:tab/>
      </w:r>
      <w:r w:rsidRPr="00FF1333">
        <w:rPr>
          <w:color w:val="000000" w:themeColor="text1"/>
          <w:sz w:val="24"/>
          <w:lang w:val="pl-PL"/>
        </w:rPr>
        <w:t xml:space="preserve">Rozporządzenie wykonawcze Komisji (UE) nr 503/2013 z dnia 3 kwietnia 2013 r. w sprawie wniosków o zatwierdzenie genetycznie zmodyfikowanej żywności i paszy zgodnie z rozporządzeniem (WE) nr 1829/2003 Parlamentu Europejskiego i Rady oraz zmieniające rozporządzenia (WE) nr 641/2004 i (WE) nr 1981/2006 (Dz.U. L 157 z 8.6.2013, </w:t>
      </w:r>
      <w:proofErr w:type="gramStart"/>
      <w:r w:rsidRPr="00FF1333">
        <w:rPr>
          <w:color w:val="000000" w:themeColor="text1"/>
          <w:sz w:val="24"/>
          <w:lang w:val="pl-PL"/>
        </w:rPr>
        <w:t>s</w:t>
      </w:r>
      <w:proofErr w:type="gramEnd"/>
      <w:r w:rsidRPr="00FF1333">
        <w:rPr>
          <w:color w:val="000000" w:themeColor="text1"/>
          <w:sz w:val="24"/>
          <w:lang w:val="pl-PL"/>
        </w:rPr>
        <w:t xml:space="preserve">. 1, ELI: </w:t>
      </w:r>
      <w:hyperlink r:id="rId13" w:tgtFrame="Gives access to this document through its ELI URI." w:history="1">
        <w:r w:rsidRPr="00FF1333">
          <w:rPr>
            <w:rStyle w:val="Hyperlink"/>
            <w:color w:val="0070C0"/>
            <w:sz w:val="24"/>
            <w:lang w:val="pl-PL"/>
          </w:rPr>
          <w:t>http://data.europa.eu/eli/reg_impl/2013/503/oj</w:t>
        </w:r>
      </w:hyperlink>
      <w:r w:rsidRPr="00FF1333">
        <w:rPr>
          <w:rStyle w:val="Hyperlink"/>
          <w:color w:val="000000" w:themeColor="text1"/>
          <w:sz w:val="24"/>
          <w:lang w:val="pl-PL"/>
        </w:rPr>
        <w:t>).</w:t>
      </w:r>
    </w:p>
  </w:footnote>
  <w:footnote w:id="7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Zob. na przykład Bonny, S., „Genetically Modified Herbicide-Tolerant Crops, Weeds, and Herbicides: Overview and Impact” [Genetycznie zmodyfikowane uprawy odporne na chwasty i herbicydy. Przegląd i oddziaływanie], Environmental Management, styczeń 2016; 57(1), s. 31–48, </w:t>
      </w:r>
      <w:hyperlink r:id="rId14" w:history="1">
        <w:r w:rsidRPr="00FF1333">
          <w:rPr>
            <w:rStyle w:val="Hyperlink"/>
            <w:sz w:val="24"/>
            <w:lang w:val="pl-PL"/>
          </w:rPr>
          <w:t>https://www.ncbi.nlm.nih.gov/pubmed/26296738</w:t>
        </w:r>
      </w:hyperlink>
      <w:r w:rsidRPr="00FF1333">
        <w:rPr>
          <w:rStyle w:val="Hyperlink"/>
          <w:sz w:val="24"/>
          <w:lang w:val="pl-PL"/>
        </w:rPr>
        <w:t>,</w:t>
      </w:r>
      <w:r w:rsidRPr="00FF1333">
        <w:rPr>
          <w:sz w:val="24"/>
          <w:lang w:val="pl-PL"/>
        </w:rPr>
        <w:t xml:space="preserve"> oraz Benbrook, C.M., „Impacts of genetically engineered crops on the pesticide use in the U.S. - the first sixteen years” [Wpływ upraw genetycznie modyfikowanych na zużycie pestycydów w USA – pierwsze szesnaście lat], Environmental Sciences Europe, 28 września 2012</w:t>
      </w:r>
      <w:r w:rsidR="00C65A27">
        <w:rPr>
          <w:sz w:val="24"/>
          <w:lang w:val="pl-PL"/>
        </w:rPr>
        <w:t xml:space="preserve"> r.</w:t>
      </w:r>
      <w:bookmarkStart w:id="8" w:name="_GoBack"/>
      <w:bookmarkEnd w:id="8"/>
      <w:r w:rsidRPr="00FF1333">
        <w:rPr>
          <w:sz w:val="24"/>
          <w:lang w:val="pl-PL"/>
        </w:rPr>
        <w:t xml:space="preserve">, t. 24(1), </w:t>
      </w:r>
      <w:hyperlink r:id="rId15" w:history="1">
        <w:r w:rsidRPr="00FF1333">
          <w:rPr>
            <w:rStyle w:val="Hyperlink"/>
            <w:sz w:val="24"/>
            <w:lang w:val="pl-PL"/>
          </w:rPr>
          <w:t>https://enveurope.springeropen.com/articles/10.1186/2190-4715-24-24</w:t>
        </w:r>
      </w:hyperlink>
      <w:r w:rsidRPr="00FF1333">
        <w:rPr>
          <w:sz w:val="24"/>
          <w:lang w:val="pl-PL"/>
        </w:rPr>
        <w:t xml:space="preserve">.  </w:t>
      </w:r>
    </w:p>
  </w:footnote>
  <w:footnote w:id="8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Lerro, C.C., Hofmann, J.N., Andreotti, G., Koutros, S., Parks, C.G., Blair, A., Albert, P.S., Lubin, J.H., Sandler, D.P., Beane Freeman, L.E., „Dicamba use and cancer incidence in the agricultural health study: an updated analysis” [Stosowanie dikamby i zachorowalność na raka – badanie zdrowia w rolnictwie. Zaktualizowana analiza], International Journal of Epidemiology, sierpień 2020 r.; 49(4), s. 1326–1337, </w:t>
      </w:r>
      <w:hyperlink r:id="rId16" w:history="1">
        <w:r w:rsidRPr="00FF1333">
          <w:rPr>
            <w:rStyle w:val="Hyperlink"/>
            <w:sz w:val="24"/>
            <w:lang w:val="pl-PL"/>
          </w:rPr>
          <w:t>https://academic.oup.com/ije/advance-article-abstract/doi/10.1093/ije/dyaa066/5827818?redirectedFrom=fulltext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9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hyperlink r:id="rId17" w:history="1">
        <w:r w:rsidRPr="00FF1333">
          <w:rPr>
            <w:rStyle w:val="Hyperlink"/>
            <w:sz w:val="24"/>
            <w:lang w:val="pl-PL"/>
          </w:rPr>
          <w:t>https://hh-ra.org/projects/measuring-pesticide-use/interactive-herbicide-use-tables/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10">
    <w:p w:rsidR="004E77CE" w:rsidRPr="00FF1333" w:rsidRDefault="004E77CE" w:rsidP="00FF133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Zob. na przykład: </w:t>
      </w:r>
      <w:hyperlink r:id="rId18" w:history="1">
        <w:r w:rsidRPr="00FF1333">
          <w:rPr>
            <w:rStyle w:val="Hyperlink"/>
            <w:sz w:val="24"/>
            <w:lang w:val="pl-PL"/>
          </w:rPr>
          <w:t>https://www.sciencedirect.com/science/article/pii/S1383574218300887</w:t>
        </w:r>
      </w:hyperlink>
      <w:r w:rsidRPr="00FF1333">
        <w:rPr>
          <w:rStyle w:val="Hyperlink"/>
          <w:sz w:val="24"/>
          <w:lang w:val="pl-PL"/>
        </w:rPr>
        <w:t>,</w:t>
      </w:r>
      <w:r w:rsidRPr="00FF1333">
        <w:rPr>
          <w:sz w:val="24"/>
          <w:lang w:val="pl-PL"/>
        </w:rPr>
        <w:t xml:space="preserve"> </w:t>
      </w:r>
    </w:p>
    <w:p w:rsidR="004E77CE" w:rsidRPr="00FF1333" w:rsidRDefault="00FF1333" w:rsidP="00FF133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FF1333">
        <w:rPr>
          <w:sz w:val="24"/>
          <w:lang w:val="pl-PL"/>
        </w:rPr>
        <w:t xml:space="preserve"> </w:t>
      </w:r>
      <w:r w:rsidRPr="00FF1333">
        <w:rPr>
          <w:sz w:val="24"/>
          <w:lang w:val="pl-PL"/>
        </w:rPr>
        <w:tab/>
      </w:r>
      <w:hyperlink r:id="rId19" w:history="1">
        <w:r w:rsidR="004E77CE" w:rsidRPr="00FF1333">
          <w:rPr>
            <w:rStyle w:val="Hyperlink"/>
            <w:sz w:val="24"/>
            <w:lang w:val="pl-PL"/>
          </w:rPr>
          <w:t>https://academic.oup.com/ije/advance-article/doi/10.1093/ije/dyz017/5382278</w:t>
        </w:r>
      </w:hyperlink>
      <w:r w:rsidR="004E77CE" w:rsidRPr="00FF1333">
        <w:rPr>
          <w:rStyle w:val="Hyperlink"/>
          <w:sz w:val="24"/>
          <w:lang w:val="pl-PL"/>
        </w:rPr>
        <w:t>,</w:t>
      </w:r>
      <w:r w:rsidR="004E77CE" w:rsidRPr="00FF1333">
        <w:rPr>
          <w:sz w:val="24"/>
          <w:lang w:val="pl-PL"/>
        </w:rPr>
        <w:t xml:space="preserve"> </w:t>
      </w:r>
    </w:p>
    <w:p w:rsidR="004E77CE" w:rsidRPr="00460D4C" w:rsidRDefault="00FF1333" w:rsidP="00FF1333">
      <w:pPr>
        <w:pStyle w:val="FootnoteText"/>
        <w:ind w:left="567" w:hanging="567"/>
        <w:rPr>
          <w:sz w:val="24"/>
          <w:vertAlign w:val="superscript"/>
          <w:lang w:val="en-GB"/>
        </w:rPr>
      </w:pPr>
      <w:r w:rsidRPr="00FF1333">
        <w:rPr>
          <w:sz w:val="24"/>
          <w:lang w:val="pl-PL"/>
        </w:rPr>
        <w:t xml:space="preserve"> </w:t>
      </w:r>
      <w:r w:rsidRPr="00FF1333">
        <w:rPr>
          <w:sz w:val="24"/>
          <w:lang w:val="pl-PL"/>
        </w:rPr>
        <w:tab/>
      </w:r>
      <w:hyperlink r:id="rId20" w:history="1">
        <w:r w:rsidR="004E77CE" w:rsidRPr="00460D4C">
          <w:rPr>
            <w:rStyle w:val="Hyperlink"/>
            <w:sz w:val="24"/>
            <w:lang w:val="en-GB"/>
          </w:rPr>
          <w:t>https://journals.plos.org/plosone/article?id=10.1371/journal.pone.0219610</w:t>
        </w:r>
      </w:hyperlink>
      <w:r w:rsidR="004E77CE" w:rsidRPr="00460D4C">
        <w:rPr>
          <w:sz w:val="24"/>
          <w:lang w:val="en-GB"/>
        </w:rPr>
        <w:t xml:space="preserve"> and</w:t>
      </w:r>
    </w:p>
    <w:p w:rsidR="004E77CE" w:rsidRPr="00460D4C" w:rsidRDefault="00FF1333" w:rsidP="00FF1333">
      <w:pPr>
        <w:pStyle w:val="FootnoteText"/>
        <w:ind w:left="567" w:hanging="567"/>
        <w:rPr>
          <w:sz w:val="24"/>
          <w:lang w:val="en-GB"/>
        </w:rPr>
      </w:pPr>
      <w:r w:rsidRPr="00460D4C">
        <w:rPr>
          <w:sz w:val="24"/>
          <w:lang w:val="en-GB"/>
        </w:rPr>
        <w:t xml:space="preserve"> </w:t>
      </w:r>
      <w:r w:rsidRPr="00460D4C">
        <w:rPr>
          <w:sz w:val="24"/>
          <w:lang w:val="en-GB"/>
        </w:rPr>
        <w:tab/>
      </w:r>
      <w:hyperlink r:id="rId21" w:history="1">
        <w:r w:rsidR="004E77CE" w:rsidRPr="00460D4C">
          <w:rPr>
            <w:rStyle w:val="Hyperlink"/>
            <w:sz w:val="24"/>
            <w:lang w:val="en-GB"/>
          </w:rPr>
          <w:t>https://www.ncbi.nlm.nih.gov/pmc/articles/PMC6612199/</w:t>
        </w:r>
      </w:hyperlink>
      <w:r w:rsidR="004E77CE" w:rsidRPr="00460D4C">
        <w:rPr>
          <w:sz w:val="24"/>
          <w:lang w:val="en-GB"/>
        </w:rPr>
        <w:t>.</w:t>
      </w:r>
    </w:p>
  </w:footnote>
  <w:footnote w:id="11">
    <w:p w:rsidR="004E77CE" w:rsidRPr="00460D4C" w:rsidRDefault="004E77CE" w:rsidP="00FF1333">
      <w:pPr>
        <w:pStyle w:val="FootnoteText"/>
        <w:ind w:left="567" w:hanging="567"/>
        <w:rPr>
          <w:sz w:val="24"/>
          <w:lang w:val="en-GB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460D4C">
        <w:rPr>
          <w:sz w:val="24"/>
          <w:lang w:val="en-GB"/>
        </w:rPr>
        <w:t xml:space="preserve"> </w:t>
      </w:r>
      <w:r w:rsidR="00FF1333" w:rsidRPr="00460D4C">
        <w:rPr>
          <w:sz w:val="24"/>
          <w:lang w:val="en-GB"/>
        </w:rPr>
        <w:tab/>
      </w:r>
      <w:hyperlink r:id="rId22" w:history="1">
        <w:r w:rsidRPr="00460D4C">
          <w:rPr>
            <w:rStyle w:val="Hyperlink"/>
            <w:sz w:val="24"/>
            <w:lang w:val="en-GB"/>
          </w:rPr>
          <w:t>https://www.ncbi.nlm.nih.gov/pubmed/24491722</w:t>
        </w:r>
      </w:hyperlink>
      <w:r w:rsidRPr="00460D4C">
        <w:rPr>
          <w:rStyle w:val="Hyperlink"/>
          <w:sz w:val="24"/>
          <w:lang w:val="en-GB"/>
        </w:rPr>
        <w:t>.</w:t>
      </w:r>
      <w:r w:rsidRPr="00460D4C">
        <w:rPr>
          <w:sz w:val="24"/>
          <w:lang w:val="en-GB"/>
        </w:rPr>
        <w:t xml:space="preserve"> </w:t>
      </w:r>
    </w:p>
  </w:footnote>
  <w:footnote w:id="12">
    <w:p w:rsidR="004E77CE" w:rsidRPr="00460D4C" w:rsidRDefault="004E77CE" w:rsidP="00FF1333">
      <w:pPr>
        <w:pStyle w:val="FootnoteText"/>
        <w:ind w:left="567" w:hanging="567"/>
        <w:rPr>
          <w:sz w:val="24"/>
          <w:lang w:val="en-GB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460D4C">
        <w:rPr>
          <w:sz w:val="24"/>
          <w:lang w:val="en-GB"/>
        </w:rPr>
        <w:t xml:space="preserve"> </w:t>
      </w:r>
      <w:r w:rsidR="00FF1333" w:rsidRPr="00460D4C">
        <w:rPr>
          <w:sz w:val="24"/>
          <w:lang w:val="en-GB"/>
        </w:rPr>
        <w:tab/>
      </w:r>
      <w:hyperlink r:id="rId23" w:history="1">
        <w:r w:rsidRPr="00460D4C">
          <w:rPr>
            <w:rStyle w:val="Hyperlink"/>
            <w:sz w:val="24"/>
            <w:lang w:val="en-GB"/>
          </w:rPr>
          <w:t>https://www.testbiotech.org/en/resource/high-levels-residues-spraying-glyphosate-found-soybeans-argentina/</w:t>
        </w:r>
      </w:hyperlink>
    </w:p>
  </w:footnote>
  <w:footnote w:id="13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Ma to istotnie miejsce w przypadku glifosatu, jak stwierdzono w opublikowanym przez EFSA przeglądzie obowiązujących najwyższych poziomów pozostałości glifosatu zgodnie z art. 12 rozporządzenia (WE) nr 396/2005, </w:t>
      </w:r>
      <w:r w:rsidRPr="00FF1333">
        <w:rPr>
          <w:color w:val="000000"/>
          <w:sz w:val="24"/>
          <w:lang w:val="pl-PL"/>
        </w:rPr>
        <w:t>Dziennik EFSA</w:t>
      </w:r>
      <w:proofErr w:type="gramStart"/>
      <w:r w:rsidRPr="00FF1333">
        <w:rPr>
          <w:color w:val="000000"/>
          <w:sz w:val="24"/>
          <w:lang w:val="pl-PL"/>
        </w:rPr>
        <w:t xml:space="preserve"> 2018;16(5):e</w:t>
      </w:r>
      <w:proofErr w:type="gramEnd"/>
      <w:r w:rsidRPr="00FF1333">
        <w:rPr>
          <w:color w:val="000000"/>
          <w:sz w:val="24"/>
          <w:lang w:val="pl-PL"/>
        </w:rPr>
        <w:t xml:space="preserve">05263, s. </w:t>
      </w:r>
      <w:r w:rsidRPr="00FF1333">
        <w:rPr>
          <w:sz w:val="24"/>
          <w:lang w:val="pl-PL"/>
        </w:rPr>
        <w:t>12</w:t>
      </w:r>
      <w:r w:rsidRPr="00FF1333">
        <w:rPr>
          <w:rStyle w:val="Hyperlink"/>
          <w:sz w:val="24"/>
          <w:lang w:val="pl-PL"/>
        </w:rPr>
        <w:t xml:space="preserve"> </w:t>
      </w:r>
      <w:r w:rsidRPr="00FF1333">
        <w:rPr>
          <w:sz w:val="24"/>
          <w:lang w:val="pl-PL"/>
        </w:rPr>
        <w:t>,</w:t>
      </w:r>
      <w:hyperlink r:id="rId24" w:history="1">
        <w:r w:rsidRPr="00FF1333">
          <w:rPr>
            <w:rStyle w:val="Hyperlink"/>
            <w:sz w:val="24"/>
            <w:lang w:val="pl-PL"/>
          </w:rPr>
          <w:t>https://efsa.onlinelibrary.wiley.com/doi/abs/10.2903/j.efsa.2018.5263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14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Strategiczny dialog na temat przyszłości rolnictwa w UE. Wspólna perspektywa rolnictwa i żywności w Europie, 2024, </w:t>
      </w:r>
      <w:hyperlink r:id="rId25" w:history="1">
        <w:r w:rsidRPr="00FF1333">
          <w:rPr>
            <w:rStyle w:val="Hyperlink"/>
            <w:sz w:val="24"/>
            <w:lang w:val="pl-PL"/>
          </w:rPr>
          <w:t>https://agriculture.ec.europa.eu/document/download/171329ff-0f50-4fa5-946f-aea11032172e_en?filename=strategic-dialogue-report-2024_en.pdf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15">
    <w:p w:rsidR="004E77CE" w:rsidRPr="00FF1333" w:rsidRDefault="004E77CE" w:rsidP="00FF1333">
      <w:pPr>
        <w:pStyle w:val="NoSpacing"/>
        <w:ind w:left="567" w:hanging="567"/>
        <w:jc w:val="left"/>
        <w:rPr>
          <w:szCs w:val="20"/>
        </w:rPr>
      </w:pPr>
      <w:r w:rsidRPr="00FF1333">
        <w:rPr>
          <w:rStyle w:val="FootnoteReference"/>
          <w:szCs w:val="20"/>
        </w:rPr>
        <w:footnoteRef/>
      </w:r>
      <w:r w:rsidR="00FF1333" w:rsidRPr="00FF1333">
        <w:t xml:space="preserve"> </w:t>
      </w:r>
      <w:r w:rsidR="00FF1333" w:rsidRPr="00FF1333">
        <w:tab/>
      </w:r>
      <w:r w:rsidRPr="00FF1333">
        <w:t xml:space="preserve">A/HRC/34/48: Sprawozdanie specjalnego sprawozdawcy ds. prawa do pożywienia </w:t>
      </w:r>
      <w:hyperlink r:id="rId26" w:history="1">
        <w:r w:rsidRPr="00FF1333">
          <w:rPr>
            <w:rStyle w:val="Hyperlink"/>
          </w:rPr>
          <w:t>https://www.ohchr.org/en/documents/thematic-reports/ahrc3448-report-special-rapporteur-right-food</w:t>
        </w:r>
      </w:hyperlink>
      <w:r w:rsidRPr="00FF1333">
        <w:t>.</w:t>
      </w:r>
    </w:p>
  </w:footnote>
  <w:footnote w:id="16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hyperlink r:id="rId27" w:history="1">
        <w:r w:rsidRPr="00FF1333">
          <w:rPr>
            <w:rStyle w:val="Hyperlink"/>
            <w:sz w:val="24"/>
            <w:lang w:val="pl-PL"/>
          </w:rPr>
          <w:t>https://indicators.report/targets/3-9/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17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proofErr w:type="gramStart"/>
      <w:r w:rsidRPr="00FF1333">
        <w:rPr>
          <w:sz w:val="24"/>
          <w:lang w:val="pl-PL"/>
        </w:rPr>
        <w:t>zob</w:t>
      </w:r>
      <w:proofErr w:type="gramEnd"/>
      <w:r w:rsidRPr="00FF1333">
        <w:rPr>
          <w:sz w:val="24"/>
          <w:lang w:val="pl-PL"/>
        </w:rPr>
        <w:t xml:space="preserve">. </w:t>
      </w:r>
      <w:hyperlink r:id="rId28" w:history="1">
        <w:r w:rsidRPr="00FF1333">
          <w:rPr>
            <w:rStyle w:val="Hyperlink"/>
            <w:sz w:val="24"/>
            <w:lang w:val="pl-PL"/>
          </w:rPr>
          <w:t>https://ec.europa.eu/commission/presscorner/detail/pl/ip_22_7834</w:t>
        </w:r>
      </w:hyperlink>
    </w:p>
  </w:footnote>
  <w:footnote w:id="18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color w:val="000000" w:themeColor="text1"/>
          <w:sz w:val="24"/>
          <w:lang w:val="pl-PL"/>
        </w:rPr>
        <w:t xml:space="preserve"> </w:t>
      </w:r>
      <w:r w:rsidR="00FF1333" w:rsidRPr="00FF1333">
        <w:rPr>
          <w:color w:val="000000" w:themeColor="text1"/>
          <w:sz w:val="24"/>
          <w:lang w:val="pl-PL"/>
        </w:rPr>
        <w:tab/>
      </w:r>
      <w:r w:rsidRPr="00FF1333">
        <w:rPr>
          <w:color w:val="000000" w:themeColor="text1"/>
          <w:sz w:val="24"/>
          <w:lang w:val="pl-PL"/>
        </w:rPr>
        <w:t>W grudniu 2022 r. podczas 15. Konferencji stron Konwencji Narodów Zjednoczonych o różnorodności biologicznej (COP15) uzgodniono globalne ramy różnorodności biologicznej, które obejmują globalny cel zmniejszenia ryzyka związanego z pestycydami o co najmniej 50</w:t>
      </w:r>
      <w:r w:rsidRPr="00FF1333">
        <w:rPr>
          <w:sz w:val="24"/>
          <w:lang w:val="pl-PL"/>
        </w:rPr>
        <w:t> </w:t>
      </w:r>
      <w:r w:rsidRPr="00FF1333">
        <w:rPr>
          <w:color w:val="000000" w:themeColor="text1"/>
          <w:sz w:val="24"/>
          <w:lang w:val="pl-PL"/>
        </w:rPr>
        <w:t>% do 2030 r. (</w:t>
      </w:r>
      <w:proofErr w:type="gramStart"/>
      <w:r w:rsidRPr="00FF1333">
        <w:rPr>
          <w:color w:val="000000" w:themeColor="text1"/>
          <w:sz w:val="24"/>
          <w:lang w:val="pl-PL"/>
        </w:rPr>
        <w:t xml:space="preserve">zob. </w:t>
      </w:r>
      <w:r w:rsidRPr="00FF1333">
        <w:rPr>
          <w:sz w:val="24"/>
          <w:lang w:val="pl-PL"/>
        </w:rPr>
        <w:t xml:space="preserve"> </w:t>
      </w:r>
      <w:hyperlink r:id="rId29" w:history="1">
        <w:proofErr w:type="gramEnd"/>
        <w:r w:rsidRPr="00FF1333">
          <w:rPr>
            <w:rStyle w:val="Hyperlink"/>
            <w:sz w:val="24"/>
            <w:lang w:val="pl-PL"/>
          </w:rPr>
          <w:t>https://ec.europa.eu/commission/presscorner/detail/pl/ip_22_7834</w:t>
        </w:r>
      </w:hyperlink>
      <w:r w:rsidRPr="00FF1333">
        <w:rPr>
          <w:sz w:val="24"/>
          <w:lang w:val="pl-PL"/>
        </w:rPr>
        <w:t xml:space="preserve">). </w:t>
      </w:r>
    </w:p>
  </w:footnote>
  <w:footnote w:id="19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color w:val="000000"/>
          <w:sz w:val="24"/>
          <w:lang w:val="pl-PL"/>
        </w:rPr>
        <w:t xml:space="preserve"> </w:t>
      </w:r>
      <w:r w:rsidR="00FF1333" w:rsidRPr="00FF1333">
        <w:rPr>
          <w:color w:val="000000"/>
          <w:sz w:val="24"/>
          <w:lang w:val="pl-PL"/>
        </w:rPr>
        <w:tab/>
      </w:r>
      <w:r w:rsidRPr="00FF1333">
        <w:rPr>
          <w:color w:val="000000"/>
          <w:sz w:val="24"/>
          <w:lang w:val="pl-PL"/>
        </w:rPr>
        <w:t xml:space="preserve">Komunikat Komisji z 23 lipca 2019 r. pt. „Zintensyfikowanie działań UE na rzecz ochrony i odtwarzania światowych lasów”, </w:t>
      </w:r>
      <w:hyperlink r:id="rId30" w:history="1">
        <w:r w:rsidRPr="00FF1333">
          <w:rPr>
            <w:rStyle w:val="Hyperlink"/>
            <w:sz w:val="24"/>
            <w:lang w:val="pl-PL"/>
          </w:rPr>
          <w:t>COM</w:t>
        </w:r>
        <w:proofErr w:type="gramStart"/>
        <w:r w:rsidRPr="00FF1333">
          <w:rPr>
            <w:rStyle w:val="Hyperlink"/>
            <w:sz w:val="24"/>
            <w:lang w:val="pl-PL"/>
          </w:rPr>
          <w:t>(2019)0352</w:t>
        </w:r>
      </w:hyperlink>
      <w:r w:rsidRPr="00FF1333">
        <w:rPr>
          <w:color w:val="000000"/>
          <w:sz w:val="24"/>
          <w:lang w:val="pl-PL"/>
        </w:rPr>
        <w:t>, s</w:t>
      </w:r>
      <w:proofErr w:type="gramEnd"/>
      <w:r w:rsidRPr="00FF1333">
        <w:rPr>
          <w:color w:val="000000"/>
          <w:sz w:val="24"/>
          <w:lang w:val="pl-PL"/>
        </w:rPr>
        <w:t>. 1.</w:t>
      </w:r>
    </w:p>
  </w:footnote>
  <w:footnote w:id="20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>Tamże, s. 2.</w:t>
      </w:r>
    </w:p>
  </w:footnote>
  <w:footnote w:id="21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color w:val="000000"/>
          <w:sz w:val="24"/>
          <w:lang w:val="pl-PL"/>
        </w:rPr>
        <w:t xml:space="preserve"> </w:t>
      </w:r>
      <w:r w:rsidR="00FF1333" w:rsidRPr="00FF1333">
        <w:rPr>
          <w:color w:val="000000"/>
          <w:sz w:val="24"/>
          <w:lang w:val="pl-PL"/>
        </w:rPr>
        <w:tab/>
      </w:r>
      <w:r w:rsidRPr="00FF1333">
        <w:rPr>
          <w:color w:val="000000"/>
          <w:sz w:val="24"/>
          <w:lang w:val="pl-PL"/>
        </w:rPr>
        <w:t xml:space="preserve">Zob. cel 15.2: </w:t>
      </w:r>
      <w:hyperlink r:id="rId31" w:history="1">
        <w:r w:rsidRPr="00FF1333">
          <w:rPr>
            <w:rStyle w:val="Hyperlink"/>
            <w:sz w:val="24"/>
            <w:lang w:val="pl-PL"/>
          </w:rPr>
          <w:t>https://www.un.org/sustainabledevelopment/biodiversity/</w:t>
        </w:r>
      </w:hyperlink>
      <w:r w:rsidRPr="00FF1333">
        <w:rPr>
          <w:rStyle w:val="Hyperlink"/>
          <w:sz w:val="24"/>
          <w:lang w:val="pl-PL"/>
        </w:rPr>
        <w:t>.</w:t>
      </w:r>
      <w:r w:rsidRPr="00FF1333">
        <w:rPr>
          <w:color w:val="000000"/>
          <w:sz w:val="24"/>
          <w:lang w:val="pl-PL"/>
        </w:rPr>
        <w:t xml:space="preserve"> </w:t>
      </w:r>
    </w:p>
  </w:footnote>
  <w:footnote w:id="22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color w:val="000000"/>
          <w:sz w:val="24"/>
          <w:lang w:val="pl-PL"/>
        </w:rPr>
        <w:t xml:space="preserve"> </w:t>
      </w:r>
      <w:r w:rsidR="00FF1333" w:rsidRPr="00FF1333">
        <w:rPr>
          <w:color w:val="000000"/>
          <w:sz w:val="24"/>
          <w:lang w:val="pl-PL"/>
        </w:rPr>
        <w:tab/>
      </w:r>
      <w:r w:rsidRPr="00FF1333">
        <w:rPr>
          <w:color w:val="000000"/>
          <w:sz w:val="24"/>
          <w:lang w:val="pl-PL"/>
        </w:rPr>
        <w:t xml:space="preserve">Komunikat Komisji z 23 lipca 2019 r. pt. „Zintensyfikowanie działań UE na rzecz ochrony i odtwarzania światowych lasów”, </w:t>
      </w:r>
      <w:hyperlink r:id="rId32" w:history="1">
        <w:r w:rsidRPr="00FF1333">
          <w:rPr>
            <w:rStyle w:val="Hyperlink"/>
            <w:sz w:val="24"/>
            <w:lang w:val="pl-PL"/>
          </w:rPr>
          <w:t>(COM</w:t>
        </w:r>
        <w:proofErr w:type="gramStart"/>
        <w:r w:rsidRPr="00FF1333">
          <w:rPr>
            <w:rStyle w:val="Hyperlink"/>
            <w:sz w:val="24"/>
            <w:lang w:val="pl-PL"/>
          </w:rPr>
          <w:t>(2019)0352)</w:t>
        </w:r>
      </w:hyperlink>
      <w:r w:rsidRPr="00FF1333">
        <w:rPr>
          <w:color w:val="000000"/>
          <w:sz w:val="24"/>
          <w:lang w:val="pl-PL"/>
        </w:rPr>
        <w:t>, s</w:t>
      </w:r>
      <w:proofErr w:type="gramEnd"/>
      <w:r w:rsidRPr="00FF1333">
        <w:rPr>
          <w:color w:val="000000"/>
          <w:sz w:val="24"/>
          <w:lang w:val="pl-PL"/>
        </w:rPr>
        <w:t>. 2.</w:t>
      </w:r>
    </w:p>
  </w:footnote>
  <w:footnote w:id="23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>Komunikat UE w sprawie zintensyfikowania działań UE na rzecz ochrony i odtwarzania światowych lasów</w:t>
      </w:r>
      <w:r w:rsidRPr="00FF1333">
        <w:rPr>
          <w:sz w:val="24"/>
          <w:bdr w:val="none" w:sz="0" w:space="0" w:color="auto" w:frame="1"/>
          <w:shd w:val="clear" w:color="auto" w:fill="FFFFFF"/>
          <w:lang w:val="pl-PL"/>
        </w:rPr>
        <w:t>,</w:t>
      </w:r>
      <w:r w:rsidRPr="00FF1333">
        <w:rPr>
          <w:sz w:val="24"/>
          <w:lang w:val="pl-PL"/>
        </w:rPr>
        <w:t xml:space="preserve"> </w:t>
      </w:r>
      <w:hyperlink r:id="rId33" w:history="1">
        <w:r w:rsidRPr="00FF1333">
          <w:rPr>
            <w:rStyle w:val="Hyperlink"/>
            <w:sz w:val="24"/>
            <w:lang w:val="pl-PL"/>
          </w:rPr>
          <w:t>https://eur-lex.europa.eu/legal-content/PL/TXT/?uri=CELEX:52019DC0352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24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Komunikat Komisji do Parlamentu Europejskiego, Rady, Europejskiego Komitetu Ekonomiczno-Społecznego i Komitetu Regionów, pt. „Unijna strategia na rzecz bioróżnorodności 2030. Przywracanie przyrody do naszego życia”, </w:t>
      </w:r>
      <w:hyperlink r:id="rId34" w:history="1">
        <w:r w:rsidRPr="00FF1333">
          <w:rPr>
            <w:rStyle w:val="Hyperlink"/>
            <w:sz w:val="24"/>
            <w:lang w:val="pl-PL"/>
          </w:rPr>
          <w:t>COM(2020)0380</w:t>
        </w:r>
      </w:hyperlink>
      <w:r w:rsidRPr="00FF1333">
        <w:rPr>
          <w:rStyle w:val="Hyperlink"/>
          <w:sz w:val="24"/>
          <w:lang w:val="pl-PL"/>
        </w:rPr>
        <w:t>.</w:t>
      </w:r>
    </w:p>
  </w:footnote>
  <w:footnote w:id="25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Międzynarodowy Instytut Propagowania Upraw Biotechnologicznych, „Global status of commercialized biotech/GM crops in 2017: Biotech Crop Adoption Surges as Economic Benefits Accumulate in 22 Years” [Globalny status wprowadzonych na rynek upraw biotechnologicznych i genetycznie zmodyfikowanych w 2017 r.: w ciągu 22 lat wprowadzenie upraw biotechnologicznych przyniosło liczne korzyści gospodarcze], ISAAA Brief nr 53 (2017), s. 16 i 21, </w:t>
      </w:r>
      <w:hyperlink r:id="rId35" w:history="1">
        <w:r w:rsidRPr="00FF1333">
          <w:rPr>
            <w:rStyle w:val="Hyperlink"/>
            <w:sz w:val="24"/>
            <w:lang w:val="pl-PL"/>
          </w:rPr>
          <w:t>http://www.isaaa.org/resources/publications/briefs/53/download/isaaa-brief-53-2017.pdf</w:t>
        </w:r>
      </w:hyperlink>
      <w:r w:rsidRPr="00FF1333">
        <w:rPr>
          <w:rStyle w:val="Hyperlink"/>
          <w:sz w:val="24"/>
          <w:lang w:val="pl-PL"/>
        </w:rPr>
        <w:t>.</w:t>
      </w:r>
      <w:r w:rsidRPr="00FF1333">
        <w:rPr>
          <w:sz w:val="24"/>
          <w:lang w:val="pl-PL"/>
        </w:rPr>
        <w:t xml:space="preserve"> </w:t>
      </w:r>
    </w:p>
  </w:footnote>
  <w:footnote w:id="26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rFonts w:eastAsiaTheme="majorEastAsia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Raport techniczny Komisji Europejskiej 2013 – 063 pt. „The impact of EU consumption on deforestation: Comprehensive analysis of the impact of EU consumption on deforestation”, [Wpływ europejskiej konsumpcji na wylesianie: kompleksowa ocena wpływu konsumpcji UE na wylesianie] </w:t>
      </w:r>
      <w:hyperlink r:id="rId36" w:history="1">
        <w:r w:rsidRPr="00FF1333">
          <w:rPr>
            <w:rStyle w:val="Hyperlink"/>
            <w:sz w:val="24"/>
            <w:lang w:val="pl-PL"/>
          </w:rPr>
          <w:t>https://op.europa.eu/en/publication-detail/-/publication/c1d3ef3e-d07e-4229-91e5-41001b47dba8/language-en</w:t>
        </w:r>
      </w:hyperlink>
      <w:r w:rsidRPr="00FF1333">
        <w:rPr>
          <w:sz w:val="24"/>
          <w:lang w:val="pl-PL"/>
        </w:rPr>
        <w:t>, s. 23–24: W latach 1990–2008 do Unii przywieziono produkty z upraw i hodowli odpowiadające wylesieniu obszaru o powierzchni 90 tys. km</w:t>
      </w:r>
      <w:r w:rsidRPr="00FF1333">
        <w:rPr>
          <w:rStyle w:val="sup1"/>
          <w:color w:val="000000"/>
          <w:sz w:val="24"/>
          <w:lang w:val="pl-PL"/>
        </w:rPr>
        <w:t>2</w:t>
      </w:r>
      <w:r w:rsidRPr="00FF1333">
        <w:rPr>
          <w:sz w:val="24"/>
          <w:lang w:val="pl-PL"/>
        </w:rPr>
        <w:t>. Produkty roślinne stanowiły 74 000 km</w:t>
      </w:r>
      <w:r w:rsidRPr="00FF1333">
        <w:rPr>
          <w:rStyle w:val="sup1"/>
          <w:color w:val="000000"/>
          <w:sz w:val="24"/>
          <w:lang w:val="pl-PL"/>
        </w:rPr>
        <w:t>2</w:t>
      </w:r>
      <w:r w:rsidRPr="00FF1333">
        <w:rPr>
          <w:sz w:val="24"/>
          <w:lang w:val="pl-PL"/>
        </w:rPr>
        <w:t xml:space="preserve"> (82 %), z czego największy udział miały rośliny oleiste (52 000 km</w:t>
      </w:r>
      <w:proofErr w:type="gramStart"/>
      <w:r w:rsidRPr="00FF1333">
        <w:rPr>
          <w:rStyle w:val="sup1"/>
          <w:color w:val="000000"/>
          <w:sz w:val="24"/>
          <w:lang w:val="pl-PL"/>
        </w:rPr>
        <w:t>2</w:t>
      </w:r>
      <w:r w:rsidRPr="00FF1333">
        <w:rPr>
          <w:sz w:val="24"/>
          <w:lang w:val="pl-PL"/>
        </w:rPr>
        <w:t>). Udział</w:t>
      </w:r>
      <w:proofErr w:type="gramEnd"/>
      <w:r w:rsidRPr="00FF1333">
        <w:rPr>
          <w:sz w:val="24"/>
          <w:lang w:val="pl-PL"/>
        </w:rPr>
        <w:t xml:space="preserve"> nasion soi i makuchów sojowych wyniósł 82 % (42,6 tys. km</w:t>
      </w:r>
      <w:r w:rsidRPr="00FF1333">
        <w:rPr>
          <w:rStyle w:val="sup1"/>
          <w:color w:val="000000"/>
          <w:sz w:val="24"/>
          <w:lang w:val="pl-PL"/>
        </w:rPr>
        <w:t>2</w:t>
      </w:r>
      <w:r w:rsidRPr="00FF1333">
        <w:rPr>
          <w:sz w:val="24"/>
          <w:lang w:val="pl-PL"/>
        </w:rPr>
        <w:t>), co w przeliczeniu na całkowity przywóz do Unii jest równoznaczne z 47 % obszarów wylesionych uwzględnionych w konsumpcji.</w:t>
      </w:r>
    </w:p>
  </w:footnote>
  <w:footnote w:id="27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hyperlink r:id="rId37" w:history="1">
        <w:r w:rsidRPr="00FF1333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  <w:r w:rsidRPr="00FF1333">
        <w:rPr>
          <w:sz w:val="24"/>
          <w:lang w:val="pl-PL"/>
        </w:rPr>
        <w:t>.</w:t>
      </w:r>
    </w:p>
  </w:footnote>
  <w:footnote w:id="28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</w:p>
  </w:footnote>
  <w:footnote w:id="29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Rozporządzenie (WE) nr 178/2002 Parlamentu Europejskiego i Rady z 28 stycznia 2002 r. ustanawiające ogólne zasady i wymagania prawa żywnościowego, powołujące Europejski Urząd ds. Bezpieczeństwa Żywności oraz ustanawiające procedury w zakresie bezpieczeństwa żywności (Dz.U. L 31 z 1.2.2002, </w:t>
      </w:r>
      <w:proofErr w:type="gramStart"/>
      <w:r w:rsidRPr="00FF1333">
        <w:rPr>
          <w:sz w:val="24"/>
          <w:lang w:val="pl-PL"/>
        </w:rPr>
        <w:t xml:space="preserve">s. 1, </w:t>
      </w:r>
      <w:r w:rsidRPr="00FF1333">
        <w:rPr>
          <w:color w:val="000000" w:themeColor="text1"/>
          <w:sz w:val="24"/>
          <w:lang w:val="pl-PL"/>
        </w:rPr>
        <w:t xml:space="preserve"> ELI</w:t>
      </w:r>
      <w:proofErr w:type="gramEnd"/>
      <w:r w:rsidRPr="00FF1333">
        <w:rPr>
          <w:color w:val="000000" w:themeColor="text1"/>
          <w:sz w:val="24"/>
          <w:lang w:val="pl-PL"/>
        </w:rPr>
        <w:t>: </w:t>
      </w:r>
      <w:hyperlink r:id="rId38" w:tgtFrame="Gives access to this document through its ELI URI." w:history="1">
        <w:r w:rsidRPr="00FF1333">
          <w:rPr>
            <w:rStyle w:val="Hyperlink"/>
            <w:color w:val="0070C0"/>
            <w:sz w:val="24"/>
            <w:lang w:val="pl-PL"/>
          </w:rPr>
          <w:t>http://data.europa.eu/eli/reg/2002/178/oj</w:t>
        </w:r>
      </w:hyperlink>
      <w:r w:rsidRPr="00FF1333">
        <w:rPr>
          <w:sz w:val="24"/>
          <w:lang w:val="pl-PL"/>
        </w:rPr>
        <w:t>).</w:t>
      </w:r>
    </w:p>
  </w:footnote>
  <w:footnote w:id="30">
    <w:p w:rsidR="004E77CE" w:rsidRPr="00460D4C" w:rsidRDefault="004E77CE" w:rsidP="00FF1333">
      <w:pPr>
        <w:pStyle w:val="FootnoteText"/>
        <w:ind w:left="567" w:hanging="567"/>
        <w:rPr>
          <w:sz w:val="24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W grudniu 2022 r. podczas 15. Konferencji stron Konwencji Narodów Zjednoczonych o różnorodności biologicznej (COP15) uzgodniono globalne ramy różnorodności biologicznej, które obejmują globalny cel zmniejszenia ryzyka związanego z pestycydami o co najmniej 50 % do 2030 r. (zob. </w:t>
      </w:r>
      <w:hyperlink r:id="rId39" w:history="1">
        <w:r w:rsidRPr="00460D4C">
          <w:rPr>
            <w:rStyle w:val="Hyperlink"/>
            <w:sz w:val="24"/>
          </w:rPr>
          <w:t>https://ec.europa.eu/commission/presscorner/detail/pl/ip_22_7834)</w:t>
        </w:r>
      </w:hyperlink>
      <w:r w:rsidRPr="00460D4C">
        <w:rPr>
          <w:sz w:val="24"/>
        </w:rPr>
        <w:t>.</w:t>
      </w:r>
    </w:p>
  </w:footnote>
  <w:footnote w:id="31">
    <w:p w:rsidR="004E77CE" w:rsidRPr="00460D4C" w:rsidRDefault="004E77CE" w:rsidP="00FF1333">
      <w:pPr>
        <w:pStyle w:val="FootnoteText"/>
        <w:ind w:left="567" w:hanging="567"/>
        <w:rPr>
          <w:sz w:val="24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460D4C">
        <w:rPr>
          <w:sz w:val="24"/>
        </w:rPr>
        <w:t xml:space="preserve"> </w:t>
      </w:r>
      <w:r w:rsidR="00FF1333" w:rsidRPr="00460D4C">
        <w:rPr>
          <w:sz w:val="24"/>
        </w:rPr>
        <w:tab/>
      </w:r>
      <w:hyperlink r:id="rId40" w:history="1">
        <w:r w:rsidRPr="00460D4C">
          <w:rPr>
            <w:rStyle w:val="Hyperlink"/>
            <w:sz w:val="24"/>
          </w:rPr>
          <w:t>https://tillymetz.lu/wp-content/uploads/2020/09/Co-signed-letter-MEP-Metz.pdf</w:t>
        </w:r>
      </w:hyperlink>
      <w:r w:rsidRPr="00460D4C">
        <w:rPr>
          <w:rStyle w:val="Hyperlink"/>
          <w:sz w:val="24"/>
        </w:rPr>
        <w:t>.</w:t>
      </w:r>
    </w:p>
  </w:footnote>
  <w:footnote w:id="32">
    <w:p w:rsidR="004E77CE" w:rsidRPr="00FF1333" w:rsidRDefault="004E77CE" w:rsidP="00FF1333">
      <w:pPr>
        <w:pStyle w:val="FootnoteText"/>
        <w:ind w:left="567" w:hanging="567"/>
        <w:rPr>
          <w:sz w:val="24"/>
          <w:lang w:val="pl-PL"/>
        </w:rPr>
      </w:pPr>
      <w:r w:rsidRPr="00FF1333">
        <w:rPr>
          <w:rStyle w:val="FootnoteReference"/>
          <w:sz w:val="24"/>
          <w:lang w:val="pl-PL"/>
        </w:rPr>
        <w:footnoteRef/>
      </w:r>
      <w:r w:rsidR="00FF1333" w:rsidRPr="00FF1333">
        <w:rPr>
          <w:sz w:val="24"/>
          <w:lang w:val="pl-PL"/>
        </w:rPr>
        <w:t xml:space="preserve"> </w:t>
      </w:r>
      <w:r w:rsidR="00FF1333" w:rsidRPr="00FF1333">
        <w:rPr>
          <w:sz w:val="24"/>
          <w:lang w:val="pl-PL"/>
        </w:rPr>
        <w:tab/>
      </w:r>
      <w:r w:rsidRPr="00FF1333">
        <w:rPr>
          <w:sz w:val="24"/>
          <w:lang w:val="pl-PL"/>
        </w:rPr>
        <w:t xml:space="preserve">Rezolucja Parlamentu Europejskiego z dnia 15 stycznia 2020 r. w sprawie Europejskiego Zielonego Ładu (Dz.U. C 270 z 7.7.2021, </w:t>
      </w:r>
      <w:proofErr w:type="gramStart"/>
      <w:r w:rsidRPr="00FF1333">
        <w:rPr>
          <w:sz w:val="24"/>
          <w:lang w:val="pl-PL"/>
        </w:rPr>
        <w:t>s</w:t>
      </w:r>
      <w:proofErr w:type="gramEnd"/>
      <w:r w:rsidRPr="00FF1333">
        <w:rPr>
          <w:sz w:val="24"/>
          <w:lang w:val="pl-PL"/>
        </w:rPr>
        <w:t>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13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4/2025"/>
    <w:docVar w:name="dvlangue" w:val="PL"/>
    <w:docVar w:name="dvnumam" w:val="0"/>
    <w:docVar w:name="dvpe" w:val="772.013"/>
    <w:docVar w:name="dvtitre" w:val="Rezolucja Parlamentu Europejskiego z dnia 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(D105678/01 – 2025/2647(RSP))"/>
  </w:docVars>
  <w:rsids>
    <w:rsidRoot w:val="005C0B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1C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D4C"/>
    <w:rsid w:val="00471C19"/>
    <w:rsid w:val="004867E3"/>
    <w:rsid w:val="00494A28"/>
    <w:rsid w:val="004C0004"/>
    <w:rsid w:val="004C5D52"/>
    <w:rsid w:val="004E77CE"/>
    <w:rsid w:val="0050519A"/>
    <w:rsid w:val="005072A1"/>
    <w:rsid w:val="00514517"/>
    <w:rsid w:val="00545827"/>
    <w:rsid w:val="00560270"/>
    <w:rsid w:val="005C0B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A2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BE478"/>
  <w15:chartTrackingRefBased/>
  <w15:docId w15:val="{CF0447A1-52A5-4A8E-B7BE-98C126C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77CE"/>
    <w:pPr>
      <w:spacing w:before="480" w:after="240"/>
    </w:pPr>
  </w:style>
  <w:style w:type="paragraph" w:customStyle="1" w:styleId="NormalBold12a">
    <w:name w:val="NormalBold12a"/>
    <w:basedOn w:val="Normal"/>
    <w:rsid w:val="004E77CE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4E77C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E77CE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4E77CE"/>
    <w:pPr>
      <w:widowControl/>
      <w:jc w:val="both"/>
    </w:pPr>
    <w:rPr>
      <w:rFonts w:eastAsiaTheme="minorHAnsi"/>
      <w:szCs w:val="32"/>
      <w:lang w:eastAsia="en-US"/>
    </w:rPr>
  </w:style>
  <w:style w:type="character" w:customStyle="1" w:styleId="sup1">
    <w:name w:val="sup1"/>
    <w:basedOn w:val="DefaultParagraphFont"/>
    <w:rsid w:val="004E77CE"/>
    <w:rPr>
      <w:sz w:val="19"/>
      <w:szCs w:val="19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reg_impl/2013/503/oj" TargetMode="External"/><Relationship Id="rId18" Type="http://schemas.openxmlformats.org/officeDocument/2006/relationships/hyperlink" Target="https://www.sciencedirect.com/science/article/pii/S1383574218300887" TargetMode="External"/><Relationship Id="rId26" Type="http://schemas.openxmlformats.org/officeDocument/2006/relationships/hyperlink" Target="https://www.ohchr.org/en/documents/thematic-reports/ahrc3448-report-special-rapporteur-right-food" TargetMode="External"/><Relationship Id="rId39" Type="http://schemas.openxmlformats.org/officeDocument/2006/relationships/hyperlink" Target="https://ec.europa.eu/commission/presscorner/detail/pl/ip_22_7834" TargetMode="External"/><Relationship Id="rId3" Type="http://schemas.openxmlformats.org/officeDocument/2006/relationships/hyperlink" Target="https://doi.org/10.2903/j.efsa.2020.6111" TargetMode="External"/><Relationship Id="rId21" Type="http://schemas.openxmlformats.org/officeDocument/2006/relationships/hyperlink" Target="https://www.ncbi.nlm.nih.gov/pmc/articles/PMC6612199/" TargetMode="External"/><Relationship Id="rId34" Type="http://schemas.openxmlformats.org/officeDocument/2006/relationships/hyperlink" Target="https://eur-lex.europa.eu/legal-content/PL/TXT/?uri=CELEX:52020DC0380&amp;qid=1744014455633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s://doi.org/10.2903/j.efsa.2024.9061" TargetMode="External"/><Relationship Id="rId17" Type="http://schemas.openxmlformats.org/officeDocument/2006/relationships/hyperlink" Target="https://hh-ra.org/projects/measuring-pesticide-use/interactive-herbicide-use-tables/" TargetMode="External"/><Relationship Id="rId25" Type="http://schemas.openxmlformats.org/officeDocument/2006/relationships/hyperlink" Target="https://agriculture.ec.europa.eu/document/download/171329ff-0f50-4fa5-946f-aea11032172e_en?filename=strategic-dialogue-report-2024_en.pdf" TargetMode="External"/><Relationship Id="rId33" Type="http://schemas.openxmlformats.org/officeDocument/2006/relationships/hyperlink" Target="https://eur-lex.europa.eu/legal-content/PL/TXT/HTML/?uri=CELEX:52019DC0352&amp;from=EN" TargetMode="External"/><Relationship Id="rId38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academic.oup.com/ije/advance-article-abstract/doi/10.1093/ije/dyaa066/5827818?redirectedFrom=fulltext" TargetMode="External"/><Relationship Id="rId20" Type="http://schemas.openxmlformats.org/officeDocument/2006/relationships/hyperlink" Target="https://journals.plos.org/plosone/article?id=10.1371/journal.pone.0219610" TargetMode="External"/><Relationship Id="rId29" Type="http://schemas.openxmlformats.org/officeDocument/2006/relationships/hyperlink" Target="https://ec.europa.eu/commission/presscorner/detail/pl/ip_22_7834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fsa.onlinelibrary.wiley.com/doi/abs/10.2903/j.efsa.2018.5263" TargetMode="External"/><Relationship Id="rId32" Type="http://schemas.openxmlformats.org/officeDocument/2006/relationships/hyperlink" Target="https://eur-lex.europa.eu/legal-content/PL/TXT/?uri=CELEX:52019DC0352&amp;qid=1743764921930" TargetMode="External"/><Relationship Id="rId37" Type="http://schemas.openxmlformats.org/officeDocument/2006/relationships/hyperlink" Target="https://commission.europa.eu/document/2c64e540-c07a-4376-a1da-368d289f4afe_en" TargetMode="External"/><Relationship Id="rId40" Type="http://schemas.openxmlformats.org/officeDocument/2006/relationships/hyperlink" Target="https://tillymetz.lu/wp-content/uploads/2020/09/Co-signed-letter-MEP-Metz.pdf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enveurope.springeropen.com/articles/10.1186/2190-4715-24-24" TargetMode="External"/><Relationship Id="rId23" Type="http://schemas.openxmlformats.org/officeDocument/2006/relationships/hyperlink" Target="https://www.testbiotech.org/en/resource/high-levels-residues-spraying-glyphosate-found-soybeans-argentina/" TargetMode="External"/><Relationship Id="rId28" Type="http://schemas.openxmlformats.org/officeDocument/2006/relationships/hyperlink" Target="https://ec.europa.eu/commission/presscorner/detail/pl/ip_22_7834" TargetMode="External"/><Relationship Id="rId36" Type="http://schemas.openxmlformats.org/officeDocument/2006/relationships/hyperlink" Target="https://op.europa.eu/pl/publication-detail/-/publication/c1d3ef3e-d07e-4229-91e5-41001b47dba8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academic.oup.com/ije/advance-article/doi/10.1093/ije/dyz017/5382278" TargetMode="External"/><Relationship Id="rId31" Type="http://schemas.openxmlformats.org/officeDocument/2006/relationships/hyperlink" Target="https://www.un.org/sustainabledevelopment/biodiversity/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ncbi.nlm.nih.gov/pubmed/26296738" TargetMode="External"/><Relationship Id="rId22" Type="http://schemas.openxmlformats.org/officeDocument/2006/relationships/hyperlink" Target="https://www.ncbi.nlm.nih.gov/pubmed/24491722" TargetMode="External"/><Relationship Id="rId27" Type="http://schemas.openxmlformats.org/officeDocument/2006/relationships/hyperlink" Target="https://indicators.report/targets/3-9/" TargetMode="External"/><Relationship Id="rId30" Type="http://schemas.openxmlformats.org/officeDocument/2006/relationships/hyperlink" Target="https://eur-lex.europa.eu/legal-content/PL/TXT/?uri=CELEX:52019DC0352&amp;qid=1743760403889" TargetMode="External"/><Relationship Id="rId35" Type="http://schemas.openxmlformats.org/officeDocument/2006/relationships/hyperlink" Target="http://www.isaaa.org/resources/publications/briefs/53/download/isaaa-brief-53-20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E27AA-3358-4B8A-B847-8B06D03F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2522</Words>
  <Characters>15822</Characters>
  <Application>Microsoft Office Word</Application>
  <DocSecurity>0</DocSecurity>
  <Lines>687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2025-06-04T09:34:00Z</dcterms:created>
  <dcterms:modified xsi:type="dcterms:W3CDTF">2025-06-04T09:34:00Z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B10-0244/2025</vt:lpwstr>
  </property>
  <property fmtid="{D5CDD505-2E9C-101B-9397-08002B2CF9AE}" pid="4" name="&lt;Type&gt;">
    <vt:lpwstr>RR</vt:lpwstr>
  </property>
</Properties>
</file>