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4B07" w:rsidTr="0010095E">
        <w:trPr>
          <w:trHeight w:hRule="exact" w:val="1418"/>
        </w:trPr>
        <w:tc>
          <w:tcPr>
            <w:tcW w:w="6804" w:type="dxa"/>
            <w:shd w:val="clear" w:color="auto" w:fill="auto"/>
            <w:vAlign w:val="center"/>
          </w:tcPr>
          <w:p w:rsidR="00751A4A" w:rsidRPr="00174B07" w:rsidRDefault="005814C9" w:rsidP="0010095E">
            <w:pPr>
              <w:pStyle w:val="EPName"/>
            </w:pPr>
            <w:r w:rsidRPr="00174B07">
              <w:t>Európsky parlament</w:t>
            </w:r>
          </w:p>
          <w:p w:rsidR="00751A4A" w:rsidRPr="00174B07" w:rsidRDefault="005F1B17" w:rsidP="005F1B17">
            <w:pPr>
              <w:pStyle w:val="EPTerm"/>
              <w:rPr>
                <w:rStyle w:val="HideTWBExt"/>
                <w:noProof w:val="0"/>
                <w:vanish w:val="0"/>
                <w:color w:val="auto"/>
              </w:rPr>
            </w:pPr>
            <w:r w:rsidRPr="00174B07">
              <w:t>2024</w:t>
            </w:r>
            <w:r w:rsidR="00817416" w:rsidRPr="00174B07">
              <w:t>-202</w:t>
            </w:r>
            <w:r w:rsidRPr="00174B07">
              <w:t>9</w:t>
            </w:r>
          </w:p>
        </w:tc>
        <w:tc>
          <w:tcPr>
            <w:tcW w:w="2268" w:type="dxa"/>
            <w:shd w:val="clear" w:color="auto" w:fill="auto"/>
          </w:tcPr>
          <w:p w:rsidR="00751A4A" w:rsidRPr="00174B07" w:rsidRDefault="00187494" w:rsidP="0010095E">
            <w:pPr>
              <w:pStyle w:val="EPLogo"/>
            </w:pPr>
            <w:r w:rsidRPr="00174B0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74B07" w:rsidRDefault="00D058B8" w:rsidP="004C5D52">
      <w:pPr>
        <w:pStyle w:val="LineTop"/>
      </w:pPr>
    </w:p>
    <w:p w:rsidR="00680577" w:rsidRPr="00174B07" w:rsidRDefault="005814C9" w:rsidP="00680577">
      <w:pPr>
        <w:pStyle w:val="EPBodyTA1"/>
      </w:pPr>
      <w:r w:rsidRPr="00174B07">
        <w:t>PRIJATÉ TEXTY</w:t>
      </w:r>
    </w:p>
    <w:p w:rsidR="00D058B8" w:rsidRPr="00174B07" w:rsidRDefault="00D058B8" w:rsidP="00D058B8">
      <w:pPr>
        <w:pStyle w:val="LineBottom"/>
      </w:pPr>
    </w:p>
    <w:p w:rsidR="005814C9" w:rsidRPr="00174B07" w:rsidRDefault="005814C9" w:rsidP="005814C9">
      <w:pPr>
        <w:pStyle w:val="ATHeading1"/>
      </w:pPr>
      <w:bookmarkStart w:id="0" w:name="TANumber"/>
      <w:r w:rsidRPr="00174B07">
        <w:t>P10_TA(2025)0</w:t>
      </w:r>
      <w:r w:rsidR="00174B07" w:rsidRPr="00174B07">
        <w:t>106</w:t>
      </w:r>
      <w:bookmarkEnd w:id="0"/>
    </w:p>
    <w:p w:rsidR="005814C9" w:rsidRPr="00174B07" w:rsidRDefault="00D81674" w:rsidP="005814C9">
      <w:pPr>
        <w:pStyle w:val="ATHeading2"/>
      </w:pPr>
      <w:bookmarkStart w:id="1" w:name="title"/>
      <w:r w:rsidRPr="00174B07">
        <w:t>G</w:t>
      </w:r>
      <w:r w:rsidR="005814C9" w:rsidRPr="00174B07">
        <w:t>eneticky modifikovaná sója MON</w:t>
      </w:r>
      <w:r w:rsidRPr="00174B07">
        <w:t xml:space="preserve"> </w:t>
      </w:r>
      <w:r w:rsidR="005814C9" w:rsidRPr="00174B07">
        <w:t>87705</w:t>
      </w:r>
      <w:r w:rsidRPr="00174B07">
        <w:t xml:space="preserve"> </w:t>
      </w:r>
      <w:r w:rsidR="005814C9" w:rsidRPr="00174B07">
        <w:t>×</w:t>
      </w:r>
      <w:r w:rsidRPr="00174B07">
        <w:t xml:space="preserve"> </w:t>
      </w:r>
      <w:r w:rsidR="005814C9" w:rsidRPr="00174B07">
        <w:t>MON 87708</w:t>
      </w:r>
      <w:r w:rsidRPr="00174B07">
        <w:t xml:space="preserve"> </w:t>
      </w:r>
      <w:r w:rsidR="005814C9" w:rsidRPr="00174B07">
        <w:t>×</w:t>
      </w:r>
      <w:r w:rsidRPr="00174B07">
        <w:t xml:space="preserve"> </w:t>
      </w:r>
      <w:r w:rsidR="005814C9" w:rsidRPr="00174B07">
        <w:t>MON 89788</w:t>
      </w:r>
      <w:bookmarkEnd w:id="1"/>
    </w:p>
    <w:p w:rsidR="005814C9" w:rsidRPr="00174B07" w:rsidRDefault="005814C9" w:rsidP="005814C9">
      <w:pPr>
        <w:rPr>
          <w:i/>
          <w:vanish/>
        </w:rPr>
      </w:pPr>
      <w:r w:rsidRPr="00174B07">
        <w:rPr>
          <w:i/>
        </w:rPr>
        <w:fldChar w:fldCharType="begin"/>
      </w:r>
      <w:r w:rsidRPr="00174B07">
        <w:rPr>
          <w:i/>
        </w:rPr>
        <w:instrText xml:space="preserve"> TC"(</w:instrText>
      </w:r>
      <w:bookmarkStart w:id="2" w:name="DocNumber"/>
      <w:r w:rsidRPr="00174B07">
        <w:rPr>
          <w:i/>
        </w:rPr>
        <w:instrText>B10-0244/2025</w:instrText>
      </w:r>
      <w:bookmarkEnd w:id="2"/>
      <w:r w:rsidRPr="00174B07">
        <w:rPr>
          <w:i/>
        </w:rPr>
        <w:instrText xml:space="preserve">)"\l3 \n&gt; \* MERGEFORMAT </w:instrText>
      </w:r>
      <w:r w:rsidRPr="00174B07">
        <w:rPr>
          <w:i/>
        </w:rPr>
        <w:fldChar w:fldCharType="end"/>
      </w:r>
    </w:p>
    <w:p w:rsidR="005814C9" w:rsidRPr="00174B07" w:rsidRDefault="005814C9" w:rsidP="005814C9">
      <w:pPr>
        <w:rPr>
          <w:vanish/>
        </w:rPr>
      </w:pPr>
      <w:bookmarkStart w:id="3" w:name="PE"/>
      <w:r w:rsidRPr="00174B07">
        <w:rPr>
          <w:vanish/>
        </w:rPr>
        <w:t>PE772.013</w:t>
      </w:r>
      <w:bookmarkEnd w:id="3"/>
    </w:p>
    <w:p w:rsidR="005814C9" w:rsidRPr="00174B07" w:rsidRDefault="005814C9" w:rsidP="005814C9">
      <w:pPr>
        <w:pStyle w:val="ATHeading3"/>
      </w:pPr>
      <w:bookmarkStart w:id="4" w:name="Sujet"/>
      <w:r w:rsidRPr="00174B07">
        <w:t xml:space="preserve">Uznesenie Európskeho parlamentu z </w:t>
      </w:r>
      <w:r w:rsidR="00D81674" w:rsidRPr="00174B07">
        <w:t>8</w:t>
      </w:r>
      <w:r w:rsidRPr="00174B07">
        <w:t>. mája 2025 o návrhu vykonávacieho rozhodnutia Komisie, ktorým sa podľa nariadenia Európskeho parlamentu a Rady (ES) č. 1829/2003 povoľuje umiestniť na trh produkty, ktoré obsahujú geneticky modifikovanú sóju MON 87705 × MON 87708 × MON 89788, sú z nej zložené alebo vyrobené</w:t>
      </w:r>
      <w:bookmarkEnd w:id="4"/>
      <w:r w:rsidRPr="00174B07">
        <w:t xml:space="preserve"> </w:t>
      </w:r>
      <w:bookmarkStart w:id="5" w:name="References"/>
      <w:r w:rsidRPr="00174B07">
        <w:t>(D105678/0</w:t>
      </w:r>
      <w:r w:rsidR="00D81674" w:rsidRPr="00174B07">
        <w:t>3</w:t>
      </w:r>
      <w:r w:rsidRPr="00174B07">
        <w:t xml:space="preserve"> – 2025/2647(RSP))</w:t>
      </w:r>
      <w:bookmarkEnd w:id="5"/>
    </w:p>
    <w:p w:rsidR="00EF7F30" w:rsidRPr="00174B07" w:rsidRDefault="00EF7F30" w:rsidP="00EF7F30">
      <w:pPr>
        <w:pStyle w:val="EPComma"/>
      </w:pPr>
      <w:bookmarkStart w:id="6" w:name="TextBodyBegin"/>
      <w:bookmarkEnd w:id="6"/>
      <w:r w:rsidRPr="00174B07">
        <w:rPr>
          <w:i/>
          <w:iCs/>
        </w:rPr>
        <w:t>Európsky parlament</w:t>
      </w:r>
      <w:r w:rsidRPr="00174B07">
        <w:t>,</w:t>
      </w:r>
    </w:p>
    <w:p w:rsidR="00EF7F30" w:rsidRPr="00174B07" w:rsidRDefault="00EF7F30" w:rsidP="00EF7F30">
      <w:pPr>
        <w:pStyle w:val="NormalHanging12a"/>
      </w:pPr>
      <w:r w:rsidRPr="00174B07">
        <w:t>–</w:t>
      </w:r>
      <w:r w:rsidRPr="00174B07">
        <w:tab/>
        <w:t>so zreteľom na návrh vykonávacieho rozhodnutia Komisie, ktorým sa podľa nariadenia Európskeho parlamentu a Rady (ES) č. 1829/2003 (D105678/03) povoľuje umiestniť na trh produkty, ktoré obsahujú geneticky modifikovanú sóju MON 87705 × MON 87708 × MON 89788, sú z nej zložené alebo vyrobené,</w:t>
      </w:r>
    </w:p>
    <w:p w:rsidR="00EF7F30" w:rsidRPr="00174B07" w:rsidRDefault="00EF7F30" w:rsidP="00EF7F30">
      <w:pPr>
        <w:pStyle w:val="NormalHanging12a"/>
      </w:pPr>
      <w:r w:rsidRPr="00174B07">
        <w:t>–</w:t>
      </w:r>
      <w:r w:rsidRPr="00174B07">
        <w:tab/>
        <w:t>so zreteľom na nariadenie Európskeho parlamentu a Rady (ES) č. 1829/2003 z 22. septembra 2003 o geneticky modifikovaných potravinách a krmivách</w:t>
      </w:r>
      <w:r w:rsidRPr="00174B07">
        <w:rPr>
          <w:rStyle w:val="FootnoteReference"/>
        </w:rPr>
        <w:footnoteReference w:id="1"/>
      </w:r>
      <w:r w:rsidRPr="00174B07">
        <w:t>, a najmä na jeho článok 7 ods. 3 a článok 19 ods. 3,</w:t>
      </w:r>
    </w:p>
    <w:p w:rsidR="00EF7F30" w:rsidRPr="00174B07" w:rsidRDefault="00EF7F30" w:rsidP="00EF7F30">
      <w:pPr>
        <w:pStyle w:val="NormalHanging12a"/>
        <w:rPr>
          <w:szCs w:val="24"/>
        </w:rPr>
      </w:pPr>
      <w:r w:rsidRPr="00174B07">
        <w:t>–</w:t>
      </w:r>
      <w:r w:rsidRPr="00174B07">
        <w:tab/>
        <w:t>so zreteľom na hlasovani</w:t>
      </w:r>
      <w:r w:rsidRPr="00174B07">
        <w:rPr>
          <w:shd w:val="clear" w:color="auto" w:fill="FFFFFF"/>
        </w:rPr>
        <w:t>e Stáleho výboru pre rastliny, zvieratá, potraviny a krmivá podľa článku 35 nariadenia (ES) č. 1829/2003, ktoré sa konalo 28. februára 2025 a na ktorom sa rozhodlo, že sa nevydá žiadne stanovisko</w:t>
      </w:r>
      <w:r w:rsidRPr="00174B07">
        <w:t>,</w:t>
      </w:r>
    </w:p>
    <w:p w:rsidR="00EF7F30" w:rsidRPr="00174B07" w:rsidRDefault="00EF7F30" w:rsidP="00EF7F30">
      <w:pPr>
        <w:pStyle w:val="NormalHanging12a"/>
      </w:pPr>
      <w:r w:rsidRPr="00174B07">
        <w:t>–</w:t>
      </w:r>
      <w:r w:rsidRPr="00174B07">
        <w:tab/>
        <w:t>so zreteľom na článok 11 nariadenia Európskeho parlamentu a Rady (EÚ) č. 182/2011 zo 16. februára 2011, ktorým sa ustanovujú pravidlá a všeobecné zásady mechanizmu, na základe ktorého členské štáty kontrolujú vykonávanie vykonávacích právomocí Komisie</w:t>
      </w:r>
      <w:r w:rsidRPr="00174B07">
        <w:rPr>
          <w:rStyle w:val="FootnoteReference"/>
        </w:rPr>
        <w:footnoteReference w:id="2"/>
      </w:r>
      <w:r w:rsidRPr="00174B07">
        <w:t>,</w:t>
      </w:r>
    </w:p>
    <w:p w:rsidR="00EF7F30" w:rsidRPr="00174B07" w:rsidRDefault="00EF7F30" w:rsidP="00EF7F30">
      <w:pPr>
        <w:pStyle w:val="NormalHanging12a"/>
      </w:pPr>
      <w:r w:rsidRPr="00174B07">
        <w:t>–</w:t>
      </w:r>
      <w:r w:rsidRPr="00174B07">
        <w:tab/>
        <w:t>so zreteľom na stanovisko, ktoré prijal Európsky úrad pre bezpečnosť potravín (EFSA) 2. apríla 2020 a ktoré bolo uverejnené 18. mája 2020</w:t>
      </w:r>
      <w:r w:rsidRPr="00174B07">
        <w:rPr>
          <w:rStyle w:val="FootnoteReference"/>
        </w:rPr>
        <w:footnoteReference w:id="3"/>
      </w:r>
      <w:r w:rsidRPr="00174B07">
        <w:t>,</w:t>
      </w:r>
    </w:p>
    <w:p w:rsidR="00EF7F30" w:rsidRPr="00174B07" w:rsidRDefault="00EF7F30" w:rsidP="00EF7F30">
      <w:pPr>
        <w:pStyle w:val="NormalHanging12a"/>
        <w:rPr>
          <w:szCs w:val="24"/>
        </w:rPr>
      </w:pPr>
      <w:r w:rsidRPr="00174B07">
        <w:rPr>
          <w:rFonts w:ascii="Symbol" w:hAnsi="Symbol"/>
        </w:rPr>
        <w:t></w:t>
      </w:r>
      <w:r w:rsidRPr="00174B07">
        <w:rPr>
          <w:rFonts w:ascii="Symbol" w:hAnsi="Symbol"/>
        </w:rPr>
        <w:tab/>
      </w:r>
      <w:r w:rsidRPr="00174B07">
        <w:rPr>
          <w:shd w:val="clear" w:color="auto" w:fill="FFFFFF"/>
        </w:rPr>
        <w:t xml:space="preserve">so zreteľom na svoje predchádzajúce uznesenia, v ktorých namieta proti povoľovaniu </w:t>
      </w:r>
      <w:r w:rsidRPr="00174B07">
        <w:rPr>
          <w:shd w:val="clear" w:color="auto" w:fill="FFFFFF"/>
        </w:rPr>
        <w:lastRenderedPageBreak/>
        <w:t>geneticky modifikovaných organizmov (ďalej len „GMO“)</w:t>
      </w:r>
      <w:r w:rsidRPr="00174B07">
        <w:rPr>
          <w:rStyle w:val="FootnoteReference"/>
          <w:szCs w:val="24"/>
          <w:shd w:val="clear" w:color="auto" w:fill="FFFFFF"/>
        </w:rPr>
        <w:footnoteReference w:id="4"/>
      </w:r>
      <w:r w:rsidRPr="00174B07">
        <w:rPr>
          <w:shd w:val="clear" w:color="auto" w:fill="FFFFFF"/>
        </w:rPr>
        <w:t>,</w:t>
      </w:r>
    </w:p>
    <w:p w:rsidR="00EF7F30" w:rsidRPr="00174B07" w:rsidRDefault="00EF7F30" w:rsidP="00EF7F30">
      <w:pPr>
        <w:pStyle w:val="NormalHanging12a"/>
      </w:pPr>
      <w:r w:rsidRPr="00174B07">
        <w:lastRenderedPageBreak/>
        <w:t>–</w:t>
      </w:r>
      <w:r w:rsidRPr="00174B07">
        <w:tab/>
        <w:t>so zreteľom na článok 115 ods. 2 a 3 rokovacieho poriadku,</w:t>
      </w:r>
    </w:p>
    <w:p w:rsidR="00EF7F30" w:rsidRPr="00174B07" w:rsidRDefault="00EF7F30" w:rsidP="00EF7F30">
      <w:pPr>
        <w:pStyle w:val="NormalHanging12a"/>
      </w:pPr>
      <w:r w:rsidRPr="00174B07">
        <w:t>–</w:t>
      </w:r>
      <w:r w:rsidRPr="00174B07">
        <w:tab/>
        <w:t>so zreteľom na návrh uznesenia Výboru pre životné prostredie, klímu a bezpečnosť potravín,</w:t>
      </w:r>
    </w:p>
    <w:p w:rsidR="00EF7F30" w:rsidRPr="00174B07" w:rsidRDefault="00EF7F30" w:rsidP="00EF7F30">
      <w:pPr>
        <w:pStyle w:val="NormalHanging12a"/>
      </w:pPr>
      <w:r w:rsidRPr="00174B07">
        <w:t>A.</w:t>
      </w:r>
      <w:r w:rsidRPr="00174B07">
        <w:tab/>
        <w:t xml:space="preserve">keďže spoločnosť </w:t>
      </w:r>
      <w:proofErr w:type="spellStart"/>
      <w:r w:rsidRPr="00174B07">
        <w:t>Monsanto</w:t>
      </w:r>
      <w:proofErr w:type="spellEnd"/>
      <w:r w:rsidRPr="00174B07">
        <w:t xml:space="preserve"> </w:t>
      </w:r>
      <w:proofErr w:type="spellStart"/>
      <w:r w:rsidRPr="00174B07">
        <w:t>Europe</w:t>
      </w:r>
      <w:proofErr w:type="spellEnd"/>
      <w:r w:rsidRPr="00174B07">
        <w:t xml:space="preserve"> S.A./N.V. predložila 11. septembra 2015 v mene spoločnosti </w:t>
      </w:r>
      <w:proofErr w:type="spellStart"/>
      <w:r w:rsidRPr="00174B07">
        <w:t>Monsanto</w:t>
      </w:r>
      <w:proofErr w:type="spellEnd"/>
      <w:r w:rsidRPr="00174B07">
        <w:t xml:space="preserve"> </w:t>
      </w:r>
      <w:proofErr w:type="spellStart"/>
      <w:r w:rsidRPr="00174B07">
        <w:t>Company</w:t>
      </w:r>
      <w:proofErr w:type="spellEnd"/>
      <w:r w:rsidRPr="00174B07">
        <w:t xml:space="preserve"> so sídlom v Spojených štátoch amerických príslušnému vnútroštátnemu orgánu Holandska v súlade s článkami 5 a 17 nariadenia (ES) č. 1829/2003 žiadosť o umiestnenie na trh potravín, zložiek potravín a krmív, ktoré obsahujú geneticky modifikovanú sóju </w:t>
      </w:r>
      <w:bookmarkStart w:id="8" w:name="_Hlk183685905"/>
      <w:r w:rsidRPr="00174B07">
        <w:t>MON 87705 × MON 87708 × MON 89788</w:t>
      </w:r>
      <w:bookmarkEnd w:id="8"/>
      <w:r w:rsidRPr="00174B07">
        <w:t xml:space="preserve"> (ďalej len „geneticky modifikovaná sója“), sú z nej zložené alebo vyrobené (ďalej len „žiadosť“). keďže žiadosť sa týkala aj umiestnenia produktov, ktoré obsahujú geneticky modifikovanú sóju alebo sú z nej zložené, na trh na iné účely ako potraviny a krmivá, s výnimkou pestovania;</w:t>
      </w:r>
    </w:p>
    <w:p w:rsidR="00EF7F30" w:rsidRPr="00174B07" w:rsidRDefault="00EF7F30" w:rsidP="00EF7F30">
      <w:pPr>
        <w:pStyle w:val="NormalHanging12a"/>
      </w:pPr>
      <w:r w:rsidRPr="00174B07">
        <w:t xml:space="preserve">B. </w:t>
      </w:r>
      <w:r w:rsidRPr="00174B07">
        <w:tab/>
        <w:t>keďže úrad EFSA prijal 2. apríla 2020 kladné stanovisko ku geneticky modifikovanej sóji, ktoré bolo uverejnené 18. mája 2020; keďže úrad EFSA zvážil všetky otázky a pripomienky, ktoré členské štáty vzniesli v rámci konzultácie s príslušnými vnútroštátnymi orgánmi podľa článku 6 ods. 4 a článku 18 ods. 4 nariadenia (ES) č. 1829/2003;</w:t>
      </w:r>
    </w:p>
    <w:p w:rsidR="00EF7F30" w:rsidRPr="00174B07" w:rsidRDefault="00EF7F30" w:rsidP="00EF7F30">
      <w:pPr>
        <w:pStyle w:val="NormalHanging12a"/>
      </w:pPr>
      <w:r w:rsidRPr="00174B07">
        <w:t>C.</w:t>
      </w:r>
      <w:r w:rsidRPr="00174B07">
        <w:tab/>
        <w:t>keďže úrad EFSA však nebol schopný dokončiť posúdenie rizika a dospieť k záveru o bezpečnosti geneticky modifikovanej sóje z dôvodu absencie 90-dňovej štúdie o geneticky modifikovanej sóji a absencie plánu monitorovania po umiestnení na trh, ktorý by zohľadňoval zmenený profil mastných kyselín v geneticky modifikovanej sóji;</w:t>
      </w:r>
    </w:p>
    <w:p w:rsidR="00EF7F30" w:rsidRPr="00174B07" w:rsidRDefault="00EF7F30" w:rsidP="00EF7F30">
      <w:pPr>
        <w:pStyle w:val="NormalHanging12a"/>
      </w:pPr>
      <w:r w:rsidRPr="00174B07">
        <w:t xml:space="preserve">D. </w:t>
      </w:r>
      <w:r w:rsidRPr="00174B07">
        <w:tab/>
        <w:t>keďže 3. októbra 2024 úrad EFSA prijal vyhlásenie, ktoré bolo uverejnené 28. októbra 2024 a ktorým doplnil svoje vedecké stanovisko z 2. apríla 2020, na základe dodatočných údajov poskytnutých žiadateľom</w:t>
      </w:r>
      <w:r w:rsidRPr="00174B07">
        <w:rPr>
          <w:rStyle w:val="FootnoteReference"/>
        </w:rPr>
        <w:footnoteReference w:id="5"/>
      </w:r>
      <w:r w:rsidRPr="00174B07">
        <w:t xml:space="preserve">, úrad EFSA dospel k záveru, že geneticky modifikovaná sója opísaná v žiadosti je rovnako bezpečná ako jej konvenčný náprotivok a testované referenčné odrody geneticky nemodifikovanej sóje, pokiaľ ide o jej potenciálne účinky na zdravie ľudí a zvierat a na životné prostredie. Úrad EFSA tiež dospel k záveru, že konzumácia geneticky modifikovanej </w:t>
      </w:r>
      <w:bookmarkStart w:id="9" w:name="_Hlk183443299"/>
      <w:r w:rsidRPr="00174B07">
        <w:t xml:space="preserve">sóje </w:t>
      </w:r>
      <w:bookmarkEnd w:id="9"/>
      <w:r w:rsidRPr="00174B07">
        <w:t xml:space="preserve">nepredstavuje nutričné </w:t>
      </w:r>
      <w:r w:rsidRPr="00174B07">
        <w:lastRenderedPageBreak/>
        <w:t>riziko;</w:t>
      </w:r>
    </w:p>
    <w:p w:rsidR="00EF7F30" w:rsidRPr="00174B07" w:rsidRDefault="00EF7F30" w:rsidP="00EF7F30">
      <w:pPr>
        <w:pStyle w:val="NormalHanging12a"/>
        <w:rPr>
          <w:color w:val="000000"/>
        </w:rPr>
      </w:pPr>
      <w:r w:rsidRPr="00174B07">
        <w:t>E.</w:t>
      </w:r>
      <w:r w:rsidRPr="00174B07">
        <w:tab/>
        <w:t xml:space="preserve">keďže </w:t>
      </w:r>
      <w:r w:rsidRPr="00174B07">
        <w:rPr>
          <w:color w:val="000000"/>
        </w:rPr>
        <w:t xml:space="preserve">geneticky modifikovaná sója bola upravená tak, aby bola tolerantná voči herbicídom na báze </w:t>
      </w:r>
      <w:proofErr w:type="spellStart"/>
      <w:r w:rsidRPr="00174B07">
        <w:rPr>
          <w:color w:val="000000"/>
        </w:rPr>
        <w:t>glyfozátu</w:t>
      </w:r>
      <w:proofErr w:type="spellEnd"/>
      <w:r w:rsidRPr="00174B07">
        <w:rPr>
          <w:color w:val="000000"/>
        </w:rPr>
        <w:t xml:space="preserve"> a </w:t>
      </w:r>
      <w:proofErr w:type="spellStart"/>
      <w:r w:rsidRPr="00174B07">
        <w:rPr>
          <w:color w:val="000000"/>
        </w:rPr>
        <w:t>dikamby</w:t>
      </w:r>
      <w:proofErr w:type="spellEnd"/>
      <w:r w:rsidRPr="00174B07">
        <w:rPr>
          <w:color w:val="000000"/>
        </w:rPr>
        <w:t xml:space="preserve"> a aby sa zmenil jej profil mastných kyselín</w:t>
      </w:r>
      <w:r w:rsidRPr="00174B07">
        <w:t>;</w:t>
      </w:r>
    </w:p>
    <w:p w:rsidR="00EF7F30" w:rsidRPr="00174B07" w:rsidRDefault="00EF7F30" w:rsidP="00EF7F30">
      <w:pPr>
        <w:pStyle w:val="NormalHanging12a"/>
        <w:ind w:left="284" w:hanging="284"/>
        <w:rPr>
          <w:b/>
          <w:i/>
        </w:rPr>
      </w:pPr>
      <w:r w:rsidRPr="00174B07">
        <w:rPr>
          <w:b/>
          <w:i/>
        </w:rPr>
        <w:t>Nedostatočné posúdenie doplnkového herbicídu</w:t>
      </w:r>
    </w:p>
    <w:p w:rsidR="00EF7F30" w:rsidRPr="00174B07" w:rsidRDefault="00EF7F30" w:rsidP="00EF7F30">
      <w:pPr>
        <w:pStyle w:val="NormalHanging12a"/>
        <w:ind w:left="720" w:hanging="720"/>
      </w:pPr>
      <w:r w:rsidRPr="00174B07">
        <w:t>F.</w:t>
      </w:r>
      <w:r w:rsidRPr="00174B07">
        <w:tab/>
        <w:t>keďže vykonávacie nariadenie Komisie (EÚ) č. 503/2013</w:t>
      </w:r>
      <w:r w:rsidRPr="00174B07">
        <w:rPr>
          <w:rStyle w:val="FootnoteReference"/>
        </w:rPr>
        <w:footnoteReference w:id="6"/>
      </w:r>
      <w:r w:rsidRPr="00174B07">
        <w:t xml:space="preserve"> si vyžaduje posúdenie, či očakávané poľnohospodárske postupy ovplyvňujú výsledok skúmaných parametrov; keďže podľa uvedeného vykonávacieho nariadenia sa to týka najmä rastlín tolerantných voči herbicídom;</w:t>
      </w:r>
    </w:p>
    <w:p w:rsidR="00EF7F30" w:rsidRPr="00174B07" w:rsidRDefault="00EF7F30" w:rsidP="00EF7F30">
      <w:pPr>
        <w:pStyle w:val="NormalHanging12a"/>
        <w:ind w:left="720" w:hanging="720"/>
      </w:pPr>
      <w:r w:rsidRPr="00174B07">
        <w:t>G.</w:t>
      </w:r>
      <w:r w:rsidRPr="00174B07">
        <w:tab/>
        <w:t>keďže veľká väčšina geneticky modifikovaných plodín je geneticky modifikovaná tak, aby boli tolerantné voči jednému alebo viacerým „doplnkovým“ herbicídom, ktoré sa môžu používať počas pestovania geneticky modifikovanej plodiny bez toho, aby uhynula, ako by to bolo v prípade plodiny, ktorá nie je tolerantná voči herbicídom; keďže viaceré štúdie preukázali, že geneticky modifikované plodiny odolné voči herbicídom vedú k zvýšenému používaniu doplnkových herbicídov, čo je z veľkej časti spôsobené výskytom buriny odolnej voči herbicídom</w:t>
      </w:r>
      <w:r w:rsidRPr="00174B07">
        <w:rPr>
          <w:rStyle w:val="FootnoteReference"/>
        </w:rPr>
        <w:footnoteReference w:id="7"/>
      </w:r>
      <w:r w:rsidRPr="00174B07">
        <w:t>;</w:t>
      </w:r>
    </w:p>
    <w:p w:rsidR="00EF7F30" w:rsidRPr="00174B07" w:rsidRDefault="00EF7F30" w:rsidP="00EF7F30">
      <w:pPr>
        <w:pStyle w:val="NormalHanging12a"/>
        <w:ind w:left="720" w:hanging="720"/>
      </w:pPr>
      <w:r w:rsidRPr="00174B07">
        <w:t>H.</w:t>
      </w:r>
      <w:r w:rsidRPr="00174B07">
        <w:tab/>
        <w:t>keďže geneticky modifikované plodiny tolerantné voči herbicídom zaväzujú poľnohospodárov k systému boja proti burine, ktorý je do veľkej miery alebo úplne závislý od herbicídov; keďže zvýšená závislosť od doplnkových herbicídov v poľnohospodárskych podnikoch, v ktorých sa sadia geneticky modifikované plodiny, urýchľuje vznik a šírenie buriny odolnej voči týmto herbicídom, čo vyvoláva potrebu ešte väčšieho používania herbicídov, čo je začarovaný kruh neustáleho používania čoraz väčšieho množstva herbicídov;</w:t>
      </w:r>
    </w:p>
    <w:p w:rsidR="00EF7F30" w:rsidRPr="00174B07" w:rsidRDefault="00EF7F30" w:rsidP="00EF7F30">
      <w:pPr>
        <w:pStyle w:val="NormalHanging12a"/>
        <w:ind w:left="720" w:hanging="720"/>
      </w:pPr>
      <w:r w:rsidRPr="00174B07">
        <w:t>I.</w:t>
      </w:r>
      <w:r w:rsidRPr="00174B07">
        <w:tab/>
        <w:t>keďže nepriaznivé vplyvy vyplývajúce z nadmerného používania herbicídov povedú k zhoršeniu zdravia pôdy, kvality vody a biodiverzity nad zemou a pod ňou, ako aj k zvýšenej expozícii ľudí a zvierat herbicídom, a to potenciálne aj prostredníctvom zvýšeného množstva rezíduí herbicídov v potravinách a krmivách;</w:t>
      </w:r>
    </w:p>
    <w:p w:rsidR="00EF7F30" w:rsidRPr="00174B07" w:rsidRDefault="00EF7F30" w:rsidP="00EF7F30">
      <w:pPr>
        <w:pStyle w:val="NormalHanging12a"/>
        <w:ind w:left="720" w:hanging="720"/>
        <w:rPr>
          <w:szCs w:val="24"/>
        </w:rPr>
      </w:pPr>
      <w:r w:rsidRPr="00174B07">
        <w:t xml:space="preserve">J. </w:t>
      </w:r>
      <w:r w:rsidRPr="00174B07">
        <w:tab/>
        <w:t xml:space="preserve">keďže </w:t>
      </w:r>
      <w:proofErr w:type="spellStart"/>
      <w:r w:rsidRPr="00174B07">
        <w:t>dikamba</w:t>
      </w:r>
      <w:proofErr w:type="spellEnd"/>
      <w:r w:rsidRPr="00174B07">
        <w:t xml:space="preserve"> je veľmi nestála, čo znamená, že po aplikácii má sklon preniknúť do ovzdušia, kde ju unáša vietor, až kým nespadne na zem, čím vystavuje ľudí a necieľové rastliny, vinič, stromy a kríky potenciálnym a vážnym škodám, najmä ak k expozícii dochádza počas niekoľkých rokov; </w:t>
      </w:r>
    </w:p>
    <w:p w:rsidR="00EF7F30" w:rsidRPr="00174B07" w:rsidRDefault="00EF7F30" w:rsidP="00EF7F30">
      <w:pPr>
        <w:pStyle w:val="NormalHanging12a"/>
        <w:ind w:left="720" w:hanging="720"/>
      </w:pPr>
      <w:r w:rsidRPr="00174B07">
        <w:lastRenderedPageBreak/>
        <w:t>K.</w:t>
      </w:r>
      <w:r w:rsidRPr="00174B07">
        <w:tab/>
      </w:r>
      <w:r w:rsidRPr="00174B07">
        <w:rPr>
          <w:shd w:val="clear" w:color="auto" w:fill="FFFFFF"/>
        </w:rPr>
        <w:t xml:space="preserve">keďže v štúdii vedcov vlády Spojených štátov z roku 2020 bola uverejnená v odborne recenzovanom časopise International </w:t>
      </w:r>
      <w:proofErr w:type="spellStart"/>
      <w:r w:rsidRPr="00174B07">
        <w:rPr>
          <w:shd w:val="clear" w:color="auto" w:fill="FFFFFF"/>
        </w:rPr>
        <w:t>Journal</w:t>
      </w:r>
      <w:proofErr w:type="spellEnd"/>
      <w:r w:rsidRPr="00174B07">
        <w:rPr>
          <w:shd w:val="clear" w:color="auto" w:fill="FFFFFF"/>
        </w:rPr>
        <w:t xml:space="preserve"> of </w:t>
      </w:r>
      <w:proofErr w:type="spellStart"/>
      <w:r w:rsidRPr="00174B07">
        <w:rPr>
          <w:shd w:val="clear" w:color="auto" w:fill="FFFFFF"/>
        </w:rPr>
        <w:t>Epidemiology</w:t>
      </w:r>
      <w:proofErr w:type="spellEnd"/>
      <w:r w:rsidRPr="00174B07">
        <w:t xml:space="preserve"> sa konštatuje, že rozšírené používanie </w:t>
      </w:r>
      <w:proofErr w:type="spellStart"/>
      <w:r w:rsidRPr="00174B07">
        <w:t>dikamby</w:t>
      </w:r>
      <w:proofErr w:type="spellEnd"/>
      <w:r w:rsidRPr="00174B07">
        <w:t xml:space="preserve"> zvýšilo medzi aplikátormi riziko vzniku rakoviny pečene a </w:t>
      </w:r>
      <w:proofErr w:type="spellStart"/>
      <w:r w:rsidRPr="00174B07">
        <w:t>vnútropečňových</w:t>
      </w:r>
      <w:proofErr w:type="spellEnd"/>
      <w:r w:rsidRPr="00174B07">
        <w:t xml:space="preserve"> žlčovodov; </w:t>
      </w:r>
    </w:p>
    <w:p w:rsidR="00EF7F30" w:rsidRPr="00174B07" w:rsidRDefault="00EF7F30" w:rsidP="00EF7F30">
      <w:pPr>
        <w:pStyle w:val="NormalHanging12a"/>
        <w:ind w:left="720" w:hanging="720"/>
      </w:pPr>
      <w:r w:rsidRPr="00174B07">
        <w:t>L.</w:t>
      </w:r>
      <w:r w:rsidRPr="00174B07">
        <w:tab/>
        <w:t xml:space="preserve">keďže v štúdii z roku 2020 sa uvádza, že schválenie geneticky modifikovaných plodín tolerantných voči </w:t>
      </w:r>
      <w:proofErr w:type="spellStart"/>
      <w:r w:rsidRPr="00174B07">
        <w:t>dikambe</w:t>
      </w:r>
      <w:proofErr w:type="spellEnd"/>
      <w:r w:rsidRPr="00174B07">
        <w:t xml:space="preserve"> podľa očakávaní povedie v nasledujúcich rokoch k zvýšenému využívaniu </w:t>
      </w:r>
      <w:proofErr w:type="spellStart"/>
      <w:r w:rsidRPr="00174B07">
        <w:t>dikamby</w:t>
      </w:r>
      <w:proofErr w:type="spellEnd"/>
      <w:r w:rsidRPr="00174B07">
        <w:t xml:space="preserve"> v poľnohospodárstve</w:t>
      </w:r>
      <w:r w:rsidRPr="00174B07">
        <w:rPr>
          <w:vertAlign w:val="superscript"/>
        </w:rPr>
        <w:footnoteReference w:id="8"/>
      </w:r>
      <w:r w:rsidRPr="00174B07">
        <w:t xml:space="preserve">, a keďže systém údajov združenia </w:t>
      </w:r>
      <w:proofErr w:type="spellStart"/>
      <w:r w:rsidRPr="00174B07">
        <w:t>Heartland</w:t>
      </w:r>
      <w:proofErr w:type="spellEnd"/>
      <w:r w:rsidRPr="00174B07">
        <w:t xml:space="preserve"> </w:t>
      </w:r>
      <w:proofErr w:type="spellStart"/>
      <w:r w:rsidRPr="00174B07">
        <w:t>Health</w:t>
      </w:r>
      <w:proofErr w:type="spellEnd"/>
      <w:r w:rsidRPr="00174B07">
        <w:t xml:space="preserve"> </w:t>
      </w:r>
      <w:proofErr w:type="spellStart"/>
      <w:r w:rsidRPr="00174B07">
        <w:t>Research</w:t>
      </w:r>
      <w:proofErr w:type="spellEnd"/>
      <w:r w:rsidRPr="00174B07">
        <w:t xml:space="preserve"> Alliance o používaní pesticídov potvrdzuje, že je to tak, keďže používanie </w:t>
      </w:r>
      <w:proofErr w:type="spellStart"/>
      <w:r w:rsidRPr="00174B07">
        <w:t>dikamby</w:t>
      </w:r>
      <w:proofErr w:type="spellEnd"/>
      <w:r w:rsidRPr="00174B07">
        <w:t xml:space="preserve"> v stredozápade Spojených štátov v porovnaní s obdobím pred desiatimi rokmi je desaťnásobné</w:t>
      </w:r>
      <w:r w:rsidRPr="00174B07">
        <w:rPr>
          <w:vertAlign w:val="superscript"/>
        </w:rPr>
        <w:footnoteReference w:id="9"/>
      </w:r>
      <w:r w:rsidRPr="00174B07">
        <w:t>;</w:t>
      </w:r>
    </w:p>
    <w:p w:rsidR="00EF7F30" w:rsidRPr="00174B07" w:rsidRDefault="00EF7F30" w:rsidP="00EF7F30">
      <w:pPr>
        <w:pStyle w:val="NormalHanging12a"/>
        <w:ind w:left="720" w:hanging="720"/>
      </w:pPr>
      <w:r w:rsidRPr="00174B07">
        <w:t>M.</w:t>
      </w:r>
      <w:r w:rsidRPr="00174B07">
        <w:tab/>
        <w:t xml:space="preserve">keďže naďalej pretrvávajú otázky v súvislosti s karcinogenitou </w:t>
      </w:r>
      <w:proofErr w:type="spellStart"/>
      <w:r w:rsidRPr="00174B07">
        <w:t>glyfozátu</w:t>
      </w:r>
      <w:proofErr w:type="spellEnd"/>
      <w:r w:rsidRPr="00174B07">
        <w:t xml:space="preserve">; keďže úrad EFSA v novembri 2015 dospel k záveru, že </w:t>
      </w:r>
      <w:proofErr w:type="spellStart"/>
      <w:r w:rsidRPr="00174B07">
        <w:t>glyfozát</w:t>
      </w:r>
      <w:proofErr w:type="spellEnd"/>
      <w:r w:rsidRPr="00174B07">
        <w:t xml:space="preserve"> pravdepodobne nie je karcinogénny, a Európska chemická agentúra v marci 2017 dospela k záveru, že klasifikácia nie je odôvodnená; keďže Medzinárodná agentúra pre výskum rakoviny, špecializovaná agentúra Svetovej zdravotníckej organizácie pre rakovinu, v roku 2015 klasifikovala </w:t>
      </w:r>
      <w:proofErr w:type="spellStart"/>
      <w:r w:rsidRPr="00174B07">
        <w:t>glyfozát</w:t>
      </w:r>
      <w:proofErr w:type="spellEnd"/>
      <w:r w:rsidRPr="00174B07">
        <w:t xml:space="preserve"> ako pravdepodobný karcinogén pre ľudí; keďže viaceré nedávne vedecké recenzované štúdie potvrdzujú karcinogénny potenciál </w:t>
      </w:r>
      <w:proofErr w:type="spellStart"/>
      <w:r w:rsidRPr="00174B07">
        <w:t>glyfozátu</w:t>
      </w:r>
      <w:proofErr w:type="spellEnd"/>
      <w:r w:rsidRPr="00174B07">
        <w:rPr>
          <w:szCs w:val="24"/>
          <w:vertAlign w:val="superscript"/>
        </w:rPr>
        <w:footnoteReference w:id="10"/>
      </w:r>
      <w:r w:rsidRPr="00174B07">
        <w:t>;</w:t>
      </w:r>
    </w:p>
    <w:p w:rsidR="00EF7F30" w:rsidRPr="00174B07" w:rsidRDefault="00EF7F30" w:rsidP="00EF7F30">
      <w:pPr>
        <w:pStyle w:val="NormalHanging12a"/>
        <w:ind w:left="720" w:hanging="720"/>
      </w:pPr>
      <w:r w:rsidRPr="00174B07">
        <w:t>N.</w:t>
      </w:r>
      <w:r w:rsidRPr="00174B07">
        <w:tab/>
        <w:t>keďže v recenzovanej štúdii sa uvádza zistenie, že </w:t>
      </w:r>
      <w:proofErr w:type="spellStart"/>
      <w:r w:rsidRPr="00174B07">
        <w:t>glyfozát</w:t>
      </w:r>
      <w:proofErr w:type="spellEnd"/>
      <w:r w:rsidRPr="00174B07">
        <w:t xml:space="preserve"> sa hromadí v geneticky modifikovanej sóji, čo negatívne ovplyvňuje jej nutričné zloženie v porovnaní so sójou, ktorá nie je geneticky modifikovaná</w:t>
      </w:r>
      <w:r w:rsidRPr="00174B07">
        <w:rPr>
          <w:vertAlign w:val="superscript"/>
        </w:rPr>
        <w:footnoteReference w:id="11"/>
      </w:r>
      <w:r w:rsidRPr="00174B07">
        <w:t xml:space="preserve">; keďže v rámci pilotného projektu, ktorý sa uskutočnil v Argentíne, sa zistilo prekvapivo vysoké množstvo rezíduí </w:t>
      </w:r>
      <w:proofErr w:type="spellStart"/>
      <w:r w:rsidRPr="00174B07">
        <w:t>glyfozátu</w:t>
      </w:r>
      <w:proofErr w:type="spellEnd"/>
      <w:r w:rsidRPr="00174B07">
        <w:t xml:space="preserve"> v GM sóji</w:t>
      </w:r>
      <w:r w:rsidRPr="00174B07">
        <w:rPr>
          <w:vertAlign w:val="superscript"/>
        </w:rPr>
        <w:footnoteReference w:id="12"/>
      </w:r>
      <w:r w:rsidRPr="00174B07">
        <w:t>;</w:t>
      </w:r>
    </w:p>
    <w:p w:rsidR="00EF7F30" w:rsidRPr="00174B07" w:rsidRDefault="00EF7F30" w:rsidP="00EF7F30">
      <w:pPr>
        <w:pStyle w:val="NormalHanging12a"/>
        <w:ind w:left="720" w:hanging="720"/>
      </w:pPr>
      <w:r w:rsidRPr="00174B07">
        <w:t>O.</w:t>
      </w:r>
      <w:r w:rsidRPr="00174B07">
        <w:tab/>
        <w:t>keďže v geneticky modifikovaných rastlinách môže samotná genetická modifikácia ovplyvňovať spôsob, akým rastlina metabolizuje doplnkové herbicídy, a zloženie, a teda aj toxicitu produktov rozpadu (</w:t>
      </w:r>
      <w:proofErr w:type="spellStart"/>
      <w:r w:rsidRPr="00174B07">
        <w:t>metabolitov</w:t>
      </w:r>
      <w:proofErr w:type="spellEnd"/>
      <w:r w:rsidRPr="00174B07">
        <w:t>)</w:t>
      </w:r>
      <w:r w:rsidRPr="00174B07">
        <w:rPr>
          <w:szCs w:val="24"/>
          <w:vertAlign w:val="superscript"/>
        </w:rPr>
        <w:footnoteReference w:id="13"/>
      </w:r>
      <w:r w:rsidRPr="00174B07">
        <w:t>;</w:t>
      </w:r>
    </w:p>
    <w:p w:rsidR="00EF7F30" w:rsidRPr="00174B07" w:rsidRDefault="00EF7F30" w:rsidP="00EF7F30">
      <w:pPr>
        <w:pStyle w:val="NormalHanging12a"/>
        <w:ind w:left="720" w:hanging="720"/>
      </w:pPr>
      <w:r w:rsidRPr="00174B07">
        <w:lastRenderedPageBreak/>
        <w:t>P.</w:t>
      </w:r>
      <w:r w:rsidRPr="00174B07">
        <w:tab/>
        <w:t xml:space="preserve">keďže posudzovanie rezíduí herbicídov a ich </w:t>
      </w:r>
      <w:proofErr w:type="spellStart"/>
      <w:r w:rsidRPr="00174B07">
        <w:t>metabolitov</w:t>
      </w:r>
      <w:proofErr w:type="spellEnd"/>
      <w:r w:rsidRPr="00174B07">
        <w:t xml:space="preserve"> v geneticky modifikovaných rastlinách je mimo pôsobnosti panelu úradu EFSA pre GMO, a preto sa v rámci postupu povoľovania GMO nevykonáva;</w:t>
      </w:r>
    </w:p>
    <w:p w:rsidR="00EF7F30" w:rsidRPr="00174B07" w:rsidRDefault="00EF7F30" w:rsidP="00D81674">
      <w:pPr>
        <w:pStyle w:val="NormalHanging12a"/>
        <w:ind w:left="0" w:firstLine="0"/>
        <w:rPr>
          <w:b/>
          <w:i/>
        </w:rPr>
      </w:pPr>
      <w:r w:rsidRPr="00174B07">
        <w:rPr>
          <w:b/>
          <w:i/>
        </w:rPr>
        <w:t>Zabezpečenie rovnakých podmienok na celosvetovej úrovni a dodržiavanie medzinárodných záväzkov Únie</w:t>
      </w:r>
    </w:p>
    <w:p w:rsidR="00EF7F30" w:rsidRPr="00174B07" w:rsidRDefault="00EF7F30" w:rsidP="00EF7F30">
      <w:pPr>
        <w:pStyle w:val="NormalHanging12a"/>
        <w:ind w:left="720" w:hanging="720"/>
      </w:pPr>
      <w:r w:rsidRPr="00174B07">
        <w:t>Q.</w:t>
      </w:r>
      <w:r w:rsidRPr="00174B07">
        <w:tab/>
        <w:t>keďže pestovanie geneticky modifikovanej sóje nie je v Únii povolené;</w:t>
      </w:r>
    </w:p>
    <w:p w:rsidR="00EF7F30" w:rsidRPr="00174B07" w:rsidRDefault="00EF7F30" w:rsidP="00EF7F30">
      <w:pPr>
        <w:pStyle w:val="NormalHanging12a"/>
        <w:ind w:left="720" w:hanging="720"/>
      </w:pPr>
      <w:r w:rsidRPr="00174B07">
        <w:t>R.</w:t>
      </w:r>
      <w:r w:rsidRPr="00174B07">
        <w:tab/>
        <w:t>keďže v záveroch strategického dialógu o budúcnosti poľnohospodárstva EÚ</w:t>
      </w:r>
      <w:r w:rsidRPr="00174B07">
        <w:rPr>
          <w:rStyle w:val="FootnoteReference"/>
        </w:rPr>
        <w:footnoteReference w:id="14"/>
      </w:r>
      <w:r w:rsidRPr="00174B07">
        <w:t xml:space="preserve"> sa Komisia vyzýva, aby prehodnotila svoj vlastný prístup k prístupu na trh pre </w:t>
      </w:r>
      <w:proofErr w:type="spellStart"/>
      <w:r w:rsidRPr="00174B07">
        <w:t>agropotravinový</w:t>
      </w:r>
      <w:proofErr w:type="spellEnd"/>
      <w:r w:rsidRPr="00174B07">
        <w:t xml:space="preserve"> dovoz a vývoz vzhľadom na rozdiely medzi normami Únie a jej obchodných partnerov; keďže spravodlivejšie obchodné vzťahy v súlade s cieľmi zdravých potravín a zdravého životného prostredia na celom svete boli jednou z hlavných požiadaviek poľnohospodárov počas demonštrácií v rokoch 2023 a 2024;</w:t>
      </w:r>
    </w:p>
    <w:p w:rsidR="00EF7F30" w:rsidRPr="00174B07" w:rsidRDefault="00EF7F30" w:rsidP="00EF7F30">
      <w:pPr>
        <w:pStyle w:val="NormalHanging12a"/>
        <w:ind w:left="720" w:hanging="720"/>
      </w:pPr>
      <w:r w:rsidRPr="00174B07">
        <w:t>S.</w:t>
      </w:r>
      <w:r w:rsidRPr="00174B07">
        <w:tab/>
        <w:t>keďže v správe osobitného spravodajcu Organizácie Spojených národov (ďalej len „OSN“) pre právo na výživu z roku 2017 sa konštatuje, že najmä v rozvojových krajinách majú nebezpečné pesticídy katastrofálny vplyv na zdravie</w:t>
      </w:r>
      <w:r w:rsidRPr="00174B07">
        <w:rPr>
          <w:rStyle w:val="FootnoteReference"/>
        </w:rPr>
        <w:footnoteReference w:id="15"/>
      </w:r>
      <w:r w:rsidRPr="00174B07">
        <w:t>; keďže podľa cieľa OSN v oblasti udržateľného rozvoja 3.9 sa má do roku 2030 podstatne znížiť počet úmrtí a ochorení spôsobených nebezpečnými chemikáliami a znečistením a kontamináciou ovzdušia, vody a pôdy</w:t>
      </w:r>
      <w:r w:rsidRPr="00174B07">
        <w:rPr>
          <w:rStyle w:val="FootnoteReference"/>
        </w:rPr>
        <w:footnoteReference w:id="16"/>
      </w:r>
      <w:r w:rsidRPr="00174B07">
        <w:t>;</w:t>
      </w:r>
    </w:p>
    <w:p w:rsidR="00EF7F30" w:rsidRPr="00174B07" w:rsidRDefault="00EF7F30" w:rsidP="00EF7F30">
      <w:pPr>
        <w:pStyle w:val="NormalHanging12a"/>
        <w:ind w:left="720" w:hanging="720"/>
      </w:pPr>
      <w:r w:rsidRPr="00174B07">
        <w:t>T.</w:t>
      </w:r>
      <w:r w:rsidRPr="00174B07">
        <w:tab/>
        <w:t xml:space="preserve">keďže globálny rámec pre biodiverzitu z </w:t>
      </w:r>
      <w:proofErr w:type="spellStart"/>
      <w:r w:rsidRPr="00174B07">
        <w:t>Kchun-mingu</w:t>
      </w:r>
      <w:proofErr w:type="spellEnd"/>
      <w:r w:rsidRPr="00174B07">
        <w:t xml:space="preserve"> a Montrealu (ďalej len „rámec z </w:t>
      </w:r>
      <w:proofErr w:type="spellStart"/>
      <w:r w:rsidRPr="00174B07">
        <w:t>Kchun-mingu</w:t>
      </w:r>
      <w:proofErr w:type="spellEnd"/>
      <w:r w:rsidRPr="00174B07">
        <w:t xml:space="preserve"> a Montrealu“), dohodnutý na 15. konferencii zmluvných strán Dohovoru OSN o biologickej diverzite (CBD OSN) v decembri 2022, zahŕňa globálny cieľ znížiť riziko používania pesticídov do roku 2030 aspoň o 50 %</w:t>
      </w:r>
      <w:r w:rsidRPr="00174B07">
        <w:rPr>
          <w:rStyle w:val="FootnoteReference"/>
        </w:rPr>
        <w:footnoteReference w:id="17"/>
      </w:r>
      <w:r w:rsidRPr="00174B07">
        <w:t>;</w:t>
      </w:r>
    </w:p>
    <w:p w:rsidR="00EF7F30" w:rsidRPr="00174B07" w:rsidRDefault="00EF7F30" w:rsidP="00EF7F30">
      <w:pPr>
        <w:pStyle w:val="NormalHanging12a"/>
        <w:ind w:left="720" w:hanging="720"/>
      </w:pPr>
      <w:r w:rsidRPr="00174B07">
        <w:t>U.</w:t>
      </w:r>
      <w:r w:rsidRPr="00174B07">
        <w:tab/>
        <w:t>keďže v nariadení (ES) č. 1829/2003 sa uvádza, že geneticky modifikované potraviny alebo krmivá nesmú mať nepriaznivé účinky na ľudské zdravie, zdravie zvierat alebo na životné prostredie, a vyžaduje sa, aby Komisia pri príprave svojho rozhodnutia vzala do úvahy všetky relevantné ustanovenia práva Únie a iné oprávnené skutočnosti, ktoré sú podstatné na prerokovanie záležitosti; keďže medzi takéto oprávnené skutočnosti by mali patriť záväzky Únie vyplývajúce z cieľov OSN v oblasti udržateľného rozvoja a Dohovoru OSN o biologickej diverzite;</w:t>
      </w:r>
    </w:p>
    <w:p w:rsidR="00EF7F30" w:rsidRPr="00174B07" w:rsidRDefault="00EF7F30" w:rsidP="00EF7F30">
      <w:pPr>
        <w:pStyle w:val="NormalHanging12a"/>
        <w:ind w:left="720" w:hanging="720"/>
      </w:pPr>
      <w:r w:rsidRPr="00174B07">
        <w:t>V.</w:t>
      </w:r>
      <w:r w:rsidRPr="00174B07">
        <w:tab/>
        <w:t xml:space="preserve">keďže povolenie Únie pre geneticky modifikovanú sóju by nebolo v súlade s </w:t>
      </w:r>
      <w:r w:rsidRPr="00174B07">
        <w:lastRenderedPageBreak/>
        <w:t>medzinárodnými záväzkami v oblasti znižovania množstva pesticídov</w:t>
      </w:r>
      <w:r w:rsidRPr="00174B07">
        <w:rPr>
          <w:vertAlign w:val="superscript"/>
        </w:rPr>
        <w:footnoteReference w:id="18"/>
      </w:r>
      <w:r w:rsidRPr="00174B07">
        <w:t xml:space="preserve"> vzhľadom na zvýšenú expozíciu ľudí a životného prostredia účinkom herbicídov v krajinách, v ktorých sa pestujú geneticky modifikované plodiny tolerantné voči herbicídom, ako aj na potenciálne súvisiace závažné zdravotné dôsledky;</w:t>
      </w:r>
    </w:p>
    <w:p w:rsidR="00EF7F30" w:rsidRPr="00174B07" w:rsidRDefault="00EF7F30" w:rsidP="00EF7F30">
      <w:pPr>
        <w:pStyle w:val="NormalHanging12a"/>
        <w:ind w:left="720" w:hanging="720"/>
      </w:pPr>
      <w:r w:rsidRPr="00174B07">
        <w:t>W.</w:t>
      </w:r>
      <w:r w:rsidRPr="00174B07">
        <w:tab/>
        <w:t>keďže odlesňovanie patrí medzi hlavné príčiny poklesu biodiverzity; keďže emisie z využívania pôdy a zmeny vo využívaní pôdy, najmä z dôvodu odlesňovania, sú druhou najvýznamnejšou príčinou zmeny klímy po spaľovaní fosílnych palív</w:t>
      </w:r>
      <w:r w:rsidRPr="00174B07">
        <w:rPr>
          <w:szCs w:val="24"/>
          <w:vertAlign w:val="superscript"/>
        </w:rPr>
        <w:footnoteReference w:id="19"/>
      </w:r>
      <w:r w:rsidRPr="00174B07">
        <w:t>; keďže Parížska dohoda a globálny strategický plán pre biodiverzitu na roky 2011 – 2020 prijatý v rámci Dohovoru OSN o biologickej diverzite a ciele v oblasti biodiverzity z </w:t>
      </w:r>
      <w:proofErr w:type="spellStart"/>
      <w:r w:rsidRPr="00174B07">
        <w:t>Aiči</w:t>
      </w:r>
      <w:proofErr w:type="spellEnd"/>
      <w:r w:rsidRPr="00174B07">
        <w:t xml:space="preserve"> podporujú úsilie o udržateľné obhospodarovanie lesov, ich ochranu a obnovu</w:t>
      </w:r>
      <w:r w:rsidRPr="00174B07">
        <w:rPr>
          <w:szCs w:val="24"/>
          <w:vertAlign w:val="superscript"/>
        </w:rPr>
        <w:footnoteReference w:id="20"/>
      </w:r>
      <w:r w:rsidRPr="00174B07">
        <w:t>; keďže cieľ OSN v oblasti udržateľného rozvoja 15 zahŕňa cieľ zastaviť odlesňovanie do roku 2020</w:t>
      </w:r>
      <w:r w:rsidRPr="00174B07">
        <w:rPr>
          <w:szCs w:val="24"/>
          <w:vertAlign w:val="superscript"/>
        </w:rPr>
        <w:footnoteReference w:id="21"/>
      </w:r>
      <w:r w:rsidRPr="00174B07">
        <w:t>; keďže lesy zohrávajú multifunkčnú úlohu, ktorá podporuje dosiahnutie väčšiny cieľov OSN v oblasti udržateľného rozvoja</w:t>
      </w:r>
      <w:r w:rsidRPr="00174B07">
        <w:rPr>
          <w:szCs w:val="24"/>
          <w:vertAlign w:val="superscript"/>
        </w:rPr>
        <w:footnoteReference w:id="22"/>
      </w:r>
      <w:r w:rsidRPr="00174B07">
        <w:t>;</w:t>
      </w:r>
    </w:p>
    <w:p w:rsidR="00EF7F30" w:rsidRPr="00174B07" w:rsidRDefault="00EF7F30" w:rsidP="00EF7F30">
      <w:pPr>
        <w:pStyle w:val="NormalHanging12a"/>
        <w:ind w:left="720" w:hanging="720"/>
      </w:pPr>
      <w:r w:rsidRPr="00174B07">
        <w:t>X.</w:t>
      </w:r>
      <w:r w:rsidRPr="00174B07">
        <w:tab/>
        <w:t xml:space="preserve">keďže lesné požiare v </w:t>
      </w:r>
      <w:proofErr w:type="spellStart"/>
      <w:r w:rsidRPr="00174B07">
        <w:t>Amazónii</w:t>
      </w:r>
      <w:proofErr w:type="spellEnd"/>
      <w:r w:rsidRPr="00174B07">
        <w:t xml:space="preserve"> sú spôsobené vysokou mierou odlesňovania; keďže Komisia v oznámení z roku 2019 vyjadrila svoju ambíciu chrániť a obnoviť svetové lesy</w:t>
      </w:r>
      <w:r w:rsidRPr="00174B07">
        <w:rPr>
          <w:vertAlign w:val="superscript"/>
        </w:rPr>
        <w:footnoteReference w:id="23"/>
      </w:r>
      <w:r w:rsidRPr="00174B07">
        <w:t>; keďže globálna ochrana biodiverzity vrátane lesov je kľúčovým cieľom stratégie EÚ v oblasti biodiverzity</w:t>
      </w:r>
      <w:r w:rsidRPr="00174B07">
        <w:rPr>
          <w:vertAlign w:val="superscript"/>
        </w:rPr>
        <w:footnoteReference w:id="24"/>
      </w:r>
      <w:r w:rsidRPr="00174B07">
        <w:t>;</w:t>
      </w:r>
    </w:p>
    <w:p w:rsidR="00EF7F30" w:rsidRPr="00174B07" w:rsidRDefault="00EF7F30" w:rsidP="00EF7F30">
      <w:pPr>
        <w:pStyle w:val="NormalHanging12a"/>
        <w:ind w:left="720" w:hanging="720"/>
      </w:pPr>
      <w:r w:rsidRPr="00174B07">
        <w:t>Y.</w:t>
      </w:r>
      <w:r w:rsidRPr="00174B07">
        <w:tab/>
        <w:t xml:space="preserve">keďže produkcia sóje je hlavnou hnacou silou odlesňovania v lesoch </w:t>
      </w:r>
      <w:proofErr w:type="spellStart"/>
      <w:r w:rsidRPr="00174B07">
        <w:t>Amazónie</w:t>
      </w:r>
      <w:proofErr w:type="spellEnd"/>
      <w:r w:rsidRPr="00174B07">
        <w:t xml:space="preserve">, </w:t>
      </w:r>
      <w:proofErr w:type="spellStart"/>
      <w:r w:rsidRPr="00174B07">
        <w:t>Cerrado</w:t>
      </w:r>
      <w:proofErr w:type="spellEnd"/>
      <w:r w:rsidRPr="00174B07">
        <w:t xml:space="preserve"> a Gran Chaco v Južnej Amerike; keďže 97 % sóje pestovanej v Brazílii a 100 % sóje pestovanej v Argentíne je geneticky modifikovaná sója</w:t>
      </w:r>
      <w:r w:rsidRPr="00174B07">
        <w:rPr>
          <w:szCs w:val="24"/>
          <w:vertAlign w:val="superscript"/>
        </w:rPr>
        <w:footnoteReference w:id="25"/>
      </w:r>
      <w:r w:rsidRPr="00174B07">
        <w:t>;</w:t>
      </w:r>
    </w:p>
    <w:p w:rsidR="00EF7F30" w:rsidRPr="00174B07" w:rsidRDefault="00EF7F30" w:rsidP="00EF7F30">
      <w:pPr>
        <w:pStyle w:val="NormalHanging12a"/>
        <w:ind w:left="720" w:hanging="720"/>
        <w:rPr>
          <w:szCs w:val="24"/>
        </w:rPr>
      </w:pPr>
      <w:r w:rsidRPr="00174B07">
        <w:t>Z.</w:t>
      </w:r>
      <w:r w:rsidRPr="00174B07">
        <w:tab/>
        <w:t xml:space="preserve">keďže Komisia analýzou zistila, že v Únii je dovoz sóje faktorom, ktorý historicky najviac prispieva ku globálnemu odlesňovaniu a súvisiacim emisiám, keď má takmer </w:t>
      </w:r>
      <w:r w:rsidRPr="00174B07">
        <w:lastRenderedPageBreak/>
        <w:t>polovičný podiel na odlesňovaní spojenom s celkovým dovozom do Únie</w:t>
      </w:r>
      <w:r w:rsidRPr="00174B07">
        <w:rPr>
          <w:szCs w:val="24"/>
          <w:vertAlign w:val="superscript"/>
        </w:rPr>
        <w:footnoteReference w:id="26"/>
      </w:r>
      <w:r w:rsidRPr="00174B07">
        <w:t>;</w:t>
      </w:r>
    </w:p>
    <w:p w:rsidR="00EF7F30" w:rsidRPr="00174B07" w:rsidRDefault="00EF7F30" w:rsidP="00EF7F30">
      <w:pPr>
        <w:pStyle w:val="NormalHanging12a"/>
        <w:ind w:left="284" w:hanging="284"/>
        <w:rPr>
          <w:b/>
          <w:i/>
        </w:rPr>
      </w:pPr>
      <w:r w:rsidRPr="00174B07">
        <w:rPr>
          <w:b/>
          <w:i/>
        </w:rPr>
        <w:t>Zníženie závislosti od dovážaných krmív</w:t>
      </w:r>
    </w:p>
    <w:p w:rsidR="00EF7F30" w:rsidRPr="00174B07" w:rsidRDefault="00EF7F30" w:rsidP="00EF7F30">
      <w:pPr>
        <w:pStyle w:val="NormalHanging12a"/>
        <w:ind w:left="720" w:hanging="720"/>
      </w:pPr>
      <w:r w:rsidRPr="00174B07">
        <w:t>AA.</w:t>
      </w:r>
      <w:r w:rsidRPr="00174B07">
        <w:tab/>
        <w:t xml:space="preserve">keďže jedným z ponaučení z krízy spôsobenej ochorením COVID-19 a zo stále prebiehajúcej vojny na Ukrajine je potreba, aby Únia ukončila závislosť od niektorých kritických materiálov; keďže v poverovacom liste komisárovi </w:t>
      </w:r>
      <w:proofErr w:type="spellStart"/>
      <w:r w:rsidRPr="00174B07">
        <w:t>Christophovi</w:t>
      </w:r>
      <w:proofErr w:type="spellEnd"/>
      <w:r w:rsidRPr="00174B07">
        <w:t xml:space="preserve"> </w:t>
      </w:r>
      <w:proofErr w:type="spellStart"/>
      <w:r w:rsidRPr="00174B07">
        <w:t>Hansenovi</w:t>
      </w:r>
      <w:proofErr w:type="spellEnd"/>
      <w:r w:rsidRPr="00174B07">
        <w:t xml:space="preserve"> ho predsedníčka Komisie </w:t>
      </w:r>
      <w:proofErr w:type="spellStart"/>
      <w:r w:rsidRPr="00174B07">
        <w:t>Ursula</w:t>
      </w:r>
      <w:proofErr w:type="spellEnd"/>
      <w:r w:rsidRPr="00174B07">
        <w:t xml:space="preserve"> von der </w:t>
      </w:r>
      <w:proofErr w:type="spellStart"/>
      <w:r w:rsidRPr="00174B07">
        <w:t>Leyenová</w:t>
      </w:r>
      <w:proofErr w:type="spellEnd"/>
      <w:r w:rsidRPr="00174B07">
        <w:t xml:space="preserve"> žiada o to, aby preskúmal spôsoby, ako znížiť dovoz kritických komodít</w:t>
      </w:r>
      <w:r w:rsidRPr="00174B07">
        <w:rPr>
          <w:rStyle w:val="FootnoteReference"/>
        </w:rPr>
        <w:footnoteReference w:id="27"/>
      </w:r>
      <w:r w:rsidRPr="00174B07">
        <w:t xml:space="preserve">; </w:t>
      </w:r>
    </w:p>
    <w:p w:rsidR="00EF7F30" w:rsidRPr="00174B07" w:rsidRDefault="00EF7F30" w:rsidP="00EF7F30">
      <w:pPr>
        <w:pStyle w:val="NormalHanging12a"/>
        <w:ind w:left="720" w:hanging="720"/>
      </w:pPr>
      <w:r w:rsidRPr="00174B07">
        <w:t>AB.</w:t>
      </w:r>
      <w:r w:rsidRPr="00174B07">
        <w:tab/>
        <w:t>keďže obchodné dohody stimulujú dovoz potravín a krmív, ktoré obsahujú GMO, sú z nich zložené alebo vyrobené, do Únie; keďže Brazília a Argentína patria medzi najväčších svetových výrobcov GMO a používateľov pesticídov vrátane GMO a pesticídov, ktoré sú v Únii zakázané zo zdravotných alebo environmentálnych dôvodov;</w:t>
      </w:r>
    </w:p>
    <w:p w:rsidR="00EF7F30" w:rsidRPr="00174B07" w:rsidRDefault="00EF7F30" w:rsidP="00EF7F30">
      <w:pPr>
        <w:pStyle w:val="NormalHanging12a"/>
        <w:ind w:left="284" w:hanging="284"/>
        <w:rPr>
          <w:b/>
          <w:i/>
        </w:rPr>
      </w:pPr>
      <w:r w:rsidRPr="00174B07">
        <w:rPr>
          <w:b/>
          <w:i/>
        </w:rPr>
        <w:t>Nedemokratické rozhodovanie</w:t>
      </w:r>
    </w:p>
    <w:p w:rsidR="00EF7F30" w:rsidRPr="00174B07" w:rsidRDefault="00EF7F30" w:rsidP="00EF7F30">
      <w:pPr>
        <w:pStyle w:val="NormalHanging12a"/>
        <w:ind w:left="720" w:hanging="720"/>
      </w:pPr>
      <w:r w:rsidRPr="00174B07">
        <w:t>AC.</w:t>
      </w:r>
      <w:r w:rsidRPr="00174B07">
        <w:tab/>
        <w:t xml:space="preserve">keďže Európsky parlament vo svojom ôsmom volebnom období prijal celkovo 36 uznesení, v ktorých namietal proti tomu, aby sa GMO uvádzali na trh na použitie v potravinách a krmivách (33 uznesení) a aby sa GMO v Únii pestovali (tri uznesenia); keďže Európsky parlament vo svojom deviatom volebnom období prijal 38 námietok proti uvádzaniu GMO na trh, a v súčasnom desiatom volebnom období prijal už ďalších desať uznesení na rovnakú tému; </w:t>
      </w:r>
    </w:p>
    <w:p w:rsidR="00EF7F30" w:rsidRPr="00174B07" w:rsidRDefault="00EF7F30" w:rsidP="00EF7F30">
      <w:pPr>
        <w:pStyle w:val="NormalHanging12a"/>
        <w:ind w:left="720" w:hanging="720"/>
      </w:pPr>
      <w:r w:rsidRPr="00174B07">
        <w:t>AD.</w:t>
      </w:r>
      <w:r w:rsidRPr="00174B07">
        <w:tab/>
        <w:t>keďže Komisia naďalej povoľuje GMO, hoci si sama uvedomuje nedostatky z hľadiska demokracie, nízku podporu členských štátov a námietky Európskeho parlamentu;</w:t>
      </w:r>
    </w:p>
    <w:p w:rsidR="00EF7F30" w:rsidRPr="00174B07" w:rsidRDefault="00EF7F30" w:rsidP="00EF7F30">
      <w:pPr>
        <w:pStyle w:val="NormalHanging12a"/>
        <w:ind w:left="720" w:hanging="720"/>
      </w:pPr>
      <w:r w:rsidRPr="00174B07">
        <w:t>AE.</w:t>
      </w:r>
      <w:r w:rsidRPr="00174B07">
        <w:tab/>
        <w:t>keďže nie je potrebná žiadna zmena právnych predpisov, aby Komisia nemala možnosť povoľovať GMO, ak sa v odvolacom výbore nedosiahne kvalifikovaná väčšina členských štátov v prospech povolenia</w:t>
      </w:r>
      <w:r w:rsidRPr="00174B07">
        <w:rPr>
          <w:rStyle w:val="FootnoteReference"/>
        </w:rPr>
        <w:footnoteReference w:id="28"/>
      </w:r>
      <w:r w:rsidRPr="00174B07">
        <w:t>;</w:t>
      </w:r>
    </w:p>
    <w:p w:rsidR="00EF7F30" w:rsidRPr="00174B07" w:rsidRDefault="00EF7F30" w:rsidP="00EF7F30">
      <w:pPr>
        <w:pStyle w:val="NormalHanging12a"/>
        <w:ind w:left="720" w:hanging="720"/>
      </w:pPr>
      <w:r w:rsidRPr="00174B07">
        <w:t>AF.</w:t>
      </w:r>
      <w:r w:rsidRPr="00174B07">
        <w:tab/>
        <w:t xml:space="preserve">keďže Stály výbor pre rastliny, zvieratá, potraviny a krmivá uvedený v článku 35 nariadenia (ES) č. 1829/2003 pri hlasovaní 28. februára 2025 nezaujal žiadne stanovisko, čo znamená, že povolenie nepodporila kvalifikovaná väčšina členských </w:t>
      </w:r>
      <w:r w:rsidRPr="00174B07">
        <w:lastRenderedPageBreak/>
        <w:t xml:space="preserve">štátov;  </w:t>
      </w:r>
    </w:p>
    <w:p w:rsidR="00EF7F30" w:rsidRPr="00174B07" w:rsidRDefault="00EF7F30" w:rsidP="00EF7F30">
      <w:pPr>
        <w:pStyle w:val="NormalHanging12a"/>
        <w:ind w:left="720" w:hanging="720"/>
      </w:pPr>
      <w:r w:rsidRPr="00174B07">
        <w:t>1.</w:t>
      </w:r>
      <w:r w:rsidRPr="00174B07">
        <w:tab/>
        <w:t>domnieva sa, že návrh vykonávacieho rozhodnutia Komisie prekračuje rámec vykonávacích právomocí stanovených v nariadení (ES) č. 1829/2003;</w:t>
      </w:r>
    </w:p>
    <w:p w:rsidR="00EF7F30" w:rsidRPr="00174B07" w:rsidRDefault="00EF7F30" w:rsidP="00EF7F30">
      <w:pPr>
        <w:pStyle w:val="NormalHanging12a"/>
        <w:ind w:left="720" w:hanging="720"/>
      </w:pPr>
      <w:r w:rsidRPr="00174B07">
        <w:t>2.</w:t>
      </w:r>
      <w:r w:rsidRPr="00174B07">
        <w:tab/>
        <w:t>domnieva sa, že návrh vykonávacieho rozhodnutia Komisie nie je v súlade s právom Únie, pretože nie je zlučiteľný s cieľom nariadenia (ES) č. 1829/2003, ktorým je podľa všeobecných zásad uvedených v nariadení Európskeho parlamentu a Rady (ES) č. 178/2002</w:t>
      </w:r>
      <w:r w:rsidRPr="00174B07">
        <w:rPr>
          <w:rStyle w:val="FootnoteReference"/>
        </w:rPr>
        <w:footnoteReference w:id="29"/>
      </w:r>
      <w:r w:rsidRPr="00174B07">
        <w:t xml:space="preserve"> poskytovať základ na zabezpečenie vysokej miery ochrany ľudského života a zdravia, zdravia a dobrých životných podmienok zvierat, životného prostredia a záujmov spotrebiteľov v súvislosti s geneticky modifikovanými potravinami a krmivami a súčasne zabezpečovať efektívne fungovanie vnútorného trhu;</w:t>
      </w:r>
    </w:p>
    <w:p w:rsidR="00EF7F30" w:rsidRPr="00174B07" w:rsidRDefault="00EF7F30" w:rsidP="00EF7F30">
      <w:pPr>
        <w:pStyle w:val="NormalHanging12a"/>
        <w:ind w:left="720" w:hanging="720"/>
      </w:pPr>
      <w:r w:rsidRPr="00174B07">
        <w:t>3.</w:t>
      </w:r>
      <w:r w:rsidRPr="00174B07">
        <w:tab/>
        <w:t>žiada Komisiu, aby stiahla svoj návrh vykonávacieho rozhodnutia a aby predložila výboru nový návrh;</w:t>
      </w:r>
    </w:p>
    <w:p w:rsidR="00EF7F30" w:rsidRPr="00174B07" w:rsidRDefault="00EF7F30" w:rsidP="00EF7F30">
      <w:pPr>
        <w:pStyle w:val="NormalHanging12a"/>
        <w:ind w:left="720" w:hanging="720"/>
      </w:pPr>
      <w:r w:rsidRPr="00174B07">
        <w:t>4.</w:t>
      </w:r>
      <w:r w:rsidRPr="00174B07">
        <w:tab/>
        <w:t>vyzýva Komisiu, aby v súlade s prístupom „Jedno zdravie“ nepovoľovala geneticky modifikované plodiny tolerantné voči herbicídom, pretože by to viedlo k zvýšenému používaniu doplnkových herbicídov, a tým k zvýšenému riziku pre biodiverzitu, bezpečnosť potravín a zdravie pracovníkov;</w:t>
      </w:r>
    </w:p>
    <w:p w:rsidR="00EF7F30" w:rsidRPr="00174B07" w:rsidRDefault="00EF7F30" w:rsidP="00EF7F30">
      <w:pPr>
        <w:pStyle w:val="NormalHanging12a"/>
        <w:ind w:left="720" w:hanging="720"/>
      </w:pPr>
      <w:r w:rsidRPr="00174B07">
        <w:t>5.</w:t>
      </w:r>
      <w:r w:rsidRPr="00174B07">
        <w:tab/>
        <w:t>v tejto súvislosti zdôrazňuje, že povolenie dovozu akýchkoľvek geneticky modifikovaných rastlín, ktoré sú tolerantné voči herbicídom, na použitie v potravinách a krmivách nie je v súlade s medzinárodnými záväzkami Únie vyplývajúcimi okrem iného z cieľov OSN v oblasti udržateľného rozvoja a z Dohovoru OSN o biologickej diverzite vrátane nedávno prijatého rámca z </w:t>
      </w:r>
      <w:proofErr w:type="spellStart"/>
      <w:r w:rsidRPr="00174B07">
        <w:t>Kchun-mingu</w:t>
      </w:r>
      <w:proofErr w:type="spellEnd"/>
      <w:r w:rsidRPr="00174B07">
        <w:t xml:space="preserve"> a Montrealu</w:t>
      </w:r>
      <w:r w:rsidRPr="00174B07">
        <w:rPr>
          <w:rStyle w:val="FootnoteReference"/>
        </w:rPr>
        <w:footnoteReference w:id="30"/>
      </w:r>
      <w:r w:rsidRPr="00174B07">
        <w:t>;</w:t>
      </w:r>
    </w:p>
    <w:p w:rsidR="00EF7F30" w:rsidRPr="00174B07" w:rsidRDefault="00EF7F30" w:rsidP="00EF7F30">
      <w:pPr>
        <w:pStyle w:val="NormalHanging12a"/>
        <w:ind w:left="720" w:hanging="720"/>
      </w:pPr>
      <w:r w:rsidRPr="00174B07">
        <w:t>6.</w:t>
      </w:r>
      <w:r w:rsidRPr="00174B07">
        <w:tab/>
        <w:t>očakáva, že Komisia urýchlene splní svoj záväzok predložiť návrh na zabezpečenie toho, aby sa nebezpečné chemické látky zakázané v Únii nevyrábali na vývoz, a svoj záväzok zabezpečiť reciprocitu lepším zosúladením našich domácich výrobných noriem s normami uplatňovanými na dovoz, najmä v prípade pesticídov;</w:t>
      </w:r>
    </w:p>
    <w:p w:rsidR="00EF7F30" w:rsidRPr="00174B07" w:rsidRDefault="00EF7F30" w:rsidP="00EF7F30">
      <w:pPr>
        <w:pStyle w:val="NormalHanging12a"/>
        <w:ind w:left="720" w:hanging="720"/>
      </w:pPr>
      <w:r w:rsidRPr="00174B07">
        <w:t>7.</w:t>
      </w:r>
      <w:r w:rsidRPr="00174B07">
        <w:tab/>
        <w:t>vyzýva Komisiu, aby pri rokovaniach o dohodách o voľnom obchode zabezpečila približovanie noriem medzi Úniou a jej partnermi s cieľom splniť bezpečnostné normy Únie;</w:t>
      </w:r>
    </w:p>
    <w:p w:rsidR="00EF7F30" w:rsidRPr="00174B07" w:rsidRDefault="00EF7F30" w:rsidP="00EF7F30">
      <w:pPr>
        <w:pStyle w:val="NormalHanging12a"/>
        <w:ind w:left="720" w:hanging="720"/>
      </w:pPr>
      <w:r w:rsidRPr="00174B07">
        <w:t xml:space="preserve">8. </w:t>
      </w:r>
      <w:r w:rsidRPr="00174B07">
        <w:tab/>
        <w:t>víta skutočnosť, že Komisia v liste z 11. septembra 2020 adresovanom poslancom konečne uznala, že pri rozhodovaní o povoleniach pre GMO treba zohľadňovať otázku udržateľnosti</w:t>
      </w:r>
      <w:r w:rsidRPr="00174B07">
        <w:rPr>
          <w:rStyle w:val="FootnoteReference"/>
        </w:rPr>
        <w:footnoteReference w:id="31"/>
      </w:r>
      <w:r w:rsidRPr="00174B07">
        <w:t>; vyjadruje však hlboké sklamanie nad tým, že Komisia naďalej povoľuje dovoz GMO do Únie napriek neprestajným námietkam Európskeho parlamentu a väčšiny členských štátov hlasujúcich proti;</w:t>
      </w:r>
    </w:p>
    <w:p w:rsidR="00EF7F30" w:rsidRPr="00174B07" w:rsidRDefault="00EF7F30" w:rsidP="00EF7F30">
      <w:pPr>
        <w:pStyle w:val="NormalHanging12a"/>
        <w:ind w:left="720" w:hanging="720"/>
      </w:pPr>
      <w:r w:rsidRPr="00174B07">
        <w:lastRenderedPageBreak/>
        <w:t>9.</w:t>
      </w:r>
      <w:r w:rsidRPr="00174B07">
        <w:tab/>
        <w:t>opätovne naliehavo vyzýva Komisiu, aby zohľadnila záväzky Únie vyplývajúce z medzinárodných dohôd, ako sú Parížska dohoda o zmene klímy, Dohovor OSN o biologickej diverzite a ciele OSN v oblasti udržateľného rozvoja; opakuje svoju výzvu, aby bola k návrhom vykonávacích aktov priložená dôvodová správa, v ktorej sa vysvetlí, ako sa v nich dodržiava zásada „nespôsobovať škodu“</w:t>
      </w:r>
      <w:r w:rsidRPr="00174B07">
        <w:rPr>
          <w:rStyle w:val="FootnoteReference"/>
        </w:rPr>
        <w:footnoteReference w:id="32"/>
      </w:r>
      <w:r w:rsidRPr="00174B07">
        <w:t xml:space="preserve">; </w:t>
      </w:r>
    </w:p>
    <w:p w:rsidR="00E365E1" w:rsidRPr="00174B07" w:rsidRDefault="00EF7F30" w:rsidP="00D81674">
      <w:pPr>
        <w:widowControl/>
        <w:ind w:left="720" w:hanging="720"/>
      </w:pPr>
      <w:r w:rsidRPr="00174B07">
        <w:t>10.</w:t>
      </w:r>
      <w:r w:rsidRPr="00174B07">
        <w:tab/>
        <w:t>poveruje svoju predsedníčku, aby postúpila toto uznesenie Rade, Komisii a vládam a parlamentom členských štátov.</w:t>
      </w:r>
    </w:p>
    <w:sectPr w:rsidR="00E365E1" w:rsidRPr="00174B07" w:rsidSect="00C735A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14C9" w:rsidRPr="00C735AD" w:rsidRDefault="005814C9">
      <w:r w:rsidRPr="00C735AD">
        <w:separator/>
      </w:r>
    </w:p>
  </w:endnote>
  <w:endnote w:type="continuationSeparator" w:id="0">
    <w:p w:rsidR="005814C9" w:rsidRPr="00C735AD" w:rsidRDefault="005814C9">
      <w:r w:rsidRPr="00C735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35A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35A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35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14C9" w:rsidRPr="00C735AD" w:rsidRDefault="005814C9">
      <w:r w:rsidRPr="00C735AD">
        <w:separator/>
      </w:r>
    </w:p>
  </w:footnote>
  <w:footnote w:type="continuationSeparator" w:id="0">
    <w:p w:rsidR="005814C9" w:rsidRPr="00C735AD" w:rsidRDefault="005814C9">
      <w:r w:rsidRPr="00C735AD">
        <w:continuationSeparator/>
      </w:r>
    </w:p>
  </w:footnote>
  <w:footnote w:id="1">
    <w:p w:rsidR="00EF7F30" w:rsidRPr="00C735AD" w:rsidRDefault="00EF7F30" w:rsidP="00C735AD">
      <w:pPr>
        <w:pStyle w:val="FootnoteText"/>
        <w:ind w:left="567" w:hanging="567"/>
        <w:rPr>
          <w:sz w:val="24"/>
          <w:lang w:val="sk-SK"/>
        </w:rPr>
      </w:pPr>
      <w:r w:rsidRPr="00C735AD">
        <w:rPr>
          <w:rStyle w:val="FootnoteReference"/>
          <w:sz w:val="24"/>
          <w:lang w:val="sk-SK"/>
        </w:rPr>
        <w:footnoteRef/>
      </w:r>
      <w:r w:rsidR="00C735AD" w:rsidRPr="00C735AD">
        <w:rPr>
          <w:sz w:val="24"/>
          <w:lang w:val="sk-SK"/>
        </w:rPr>
        <w:t xml:space="preserve"> </w:t>
      </w:r>
      <w:r w:rsidR="00C735AD" w:rsidRPr="00C735AD">
        <w:rPr>
          <w:sz w:val="24"/>
          <w:lang w:val="sk-SK"/>
        </w:rPr>
        <w:tab/>
      </w:r>
      <w:r w:rsidRPr="00C735AD">
        <w:rPr>
          <w:sz w:val="24"/>
          <w:lang w:val="sk-SK"/>
        </w:rPr>
        <w:t xml:space="preserve">Ú. v. EÚ L 268, 18.10.2003, s. 1, ELI: </w:t>
      </w:r>
      <w:hyperlink r:id="rId1" w:history="1">
        <w:r w:rsidR="00D81674" w:rsidRPr="005324FB">
          <w:rPr>
            <w:rStyle w:val="Hyperlink"/>
            <w:sz w:val="24"/>
            <w:lang w:val="fi-FI"/>
          </w:rPr>
          <w:t>http://data.europa.eu/eli/reg/2003/1829/oj</w:t>
        </w:r>
      </w:hyperlink>
      <w:r w:rsidRPr="00C735AD">
        <w:rPr>
          <w:rStyle w:val="Hyperlink"/>
          <w:color w:val="000000" w:themeColor="text1"/>
          <w:sz w:val="24"/>
          <w:lang w:val="sk-SK"/>
        </w:rPr>
        <w:t>.</w:t>
      </w:r>
    </w:p>
  </w:footnote>
  <w:footnote w:id="2">
    <w:p w:rsidR="00EF7F30" w:rsidRPr="00C735AD" w:rsidRDefault="00EF7F30" w:rsidP="00C735AD">
      <w:pPr>
        <w:pStyle w:val="FootnoteText"/>
        <w:ind w:left="567" w:hanging="567"/>
        <w:rPr>
          <w:sz w:val="24"/>
          <w:lang w:val="sk-SK"/>
        </w:rPr>
      </w:pPr>
      <w:r w:rsidRPr="00C735AD">
        <w:rPr>
          <w:rStyle w:val="FootnoteReference"/>
          <w:sz w:val="24"/>
          <w:lang w:val="sk-SK"/>
        </w:rPr>
        <w:footnoteRef/>
      </w:r>
      <w:r w:rsidR="00C735AD" w:rsidRPr="00C735AD">
        <w:rPr>
          <w:sz w:val="24"/>
          <w:lang w:val="sk-SK"/>
        </w:rPr>
        <w:t xml:space="preserve"> </w:t>
      </w:r>
      <w:r w:rsidR="00C735AD" w:rsidRPr="00C735AD">
        <w:rPr>
          <w:sz w:val="24"/>
          <w:lang w:val="sk-SK"/>
        </w:rPr>
        <w:tab/>
      </w:r>
      <w:r w:rsidRPr="00C735AD">
        <w:rPr>
          <w:sz w:val="24"/>
          <w:lang w:val="sk-SK"/>
        </w:rPr>
        <w:t xml:space="preserve">Ú. v. </w:t>
      </w:r>
      <w:r w:rsidRPr="00C735AD">
        <w:rPr>
          <w:sz w:val="24"/>
          <w:lang w:val="sk-SK"/>
        </w:rPr>
        <w:t xml:space="preserve">EÚ L 55, </w:t>
      </w:r>
      <w:r w:rsidR="002D306F">
        <w:rPr>
          <w:sz w:val="24"/>
          <w:lang w:val="sk-SK"/>
        </w:rPr>
        <w:t>28</w:t>
      </w:r>
      <w:r w:rsidRPr="00C735AD">
        <w:rPr>
          <w:sz w:val="24"/>
          <w:lang w:val="sk-SK"/>
        </w:rPr>
        <w:t>.</w:t>
      </w:r>
      <w:r w:rsidR="002D306F">
        <w:rPr>
          <w:sz w:val="24"/>
          <w:lang w:val="sk-SK"/>
        </w:rPr>
        <w:t>2</w:t>
      </w:r>
      <w:r w:rsidRPr="00C735AD">
        <w:rPr>
          <w:sz w:val="24"/>
          <w:lang w:val="sk-SK"/>
        </w:rPr>
        <w:t>.201</w:t>
      </w:r>
      <w:r w:rsidR="002D306F">
        <w:rPr>
          <w:sz w:val="24"/>
          <w:lang w:val="sk-SK"/>
        </w:rPr>
        <w:t>1</w:t>
      </w:r>
      <w:bookmarkStart w:id="7" w:name="_GoBack"/>
      <w:bookmarkEnd w:id="7"/>
      <w:r w:rsidRPr="00C735AD">
        <w:rPr>
          <w:sz w:val="24"/>
          <w:lang w:val="sk-SK"/>
        </w:rPr>
        <w:t>, s. 13, ELI:</w:t>
      </w:r>
      <w:r w:rsidRPr="00C735AD">
        <w:rPr>
          <w:rStyle w:val="Hyperlink"/>
          <w:sz w:val="24"/>
          <w:lang w:val="sk-SK"/>
        </w:rPr>
        <w:t xml:space="preserve"> </w:t>
      </w:r>
      <w:hyperlink r:id="rId2" w:history="1">
        <w:r w:rsidR="00D81674" w:rsidRPr="005324FB">
          <w:rPr>
            <w:rStyle w:val="Hyperlink"/>
            <w:sz w:val="24"/>
            <w:lang w:val="fi-FI"/>
          </w:rPr>
          <w:t>http://data.europa.eu/eli/reg/2011/182/oj</w:t>
        </w:r>
      </w:hyperlink>
      <w:r w:rsidRPr="00C735AD">
        <w:rPr>
          <w:rStyle w:val="Hyperlink"/>
          <w:sz w:val="24"/>
          <w:lang w:val="sk-SK"/>
        </w:rPr>
        <w:t>.</w:t>
      </w:r>
    </w:p>
  </w:footnote>
  <w:footnote w:id="3">
    <w:p w:rsidR="00EF7F30" w:rsidRPr="00C735AD" w:rsidRDefault="00EF7F30" w:rsidP="00C735AD">
      <w:pPr>
        <w:pStyle w:val="FootnoteText"/>
        <w:ind w:left="567" w:hanging="567"/>
        <w:rPr>
          <w:color w:val="000000" w:themeColor="text1"/>
          <w:sz w:val="24"/>
          <w:lang w:val="sk-SK"/>
        </w:rPr>
      </w:pPr>
      <w:r w:rsidRPr="00C735AD">
        <w:rPr>
          <w:rStyle w:val="FootnoteReference"/>
          <w:color w:val="000000" w:themeColor="text1"/>
          <w:sz w:val="24"/>
          <w:lang w:val="sk-SK"/>
        </w:rPr>
        <w:footnoteRef/>
      </w:r>
      <w:r w:rsidR="00C735AD" w:rsidRPr="00C735AD">
        <w:rPr>
          <w:sz w:val="24"/>
          <w:lang w:val="sk-SK"/>
        </w:rPr>
        <w:t xml:space="preserve"> </w:t>
      </w:r>
      <w:r w:rsidR="00C735AD" w:rsidRPr="00C735AD">
        <w:rPr>
          <w:sz w:val="24"/>
          <w:lang w:val="sk-SK"/>
        </w:rPr>
        <w:tab/>
      </w:r>
      <w:r w:rsidRPr="00C735AD">
        <w:rPr>
          <w:sz w:val="24"/>
          <w:lang w:val="sk-SK"/>
        </w:rPr>
        <w:t>Vedecké stanovisko panelu EFSA pre geneticky modifikované organizmy k posúdeniu geneticky modifikovanej sóje MON 87705 × MON 87708 × MON 89788 na použitie v potravinách alebo krmivách, podľa nariadenia (ES) č. </w:t>
      </w:r>
      <w:r w:rsidRPr="00C735AD">
        <w:rPr>
          <w:sz w:val="24"/>
          <w:lang w:val="sk-SK"/>
        </w:rPr>
        <w:t xml:space="preserve">1829/2003 (žiadosť EFSA-GMO-NL-2015-126), vestník EFSA 2020;18(5):e06111, </w:t>
      </w:r>
      <w:hyperlink r:id="rId3" w:history="1">
        <w:r w:rsidR="00D81674" w:rsidRPr="00174B07">
          <w:rPr>
            <w:rStyle w:val="Hyperlink"/>
            <w:sz w:val="24"/>
            <w:lang w:val="sk-SK"/>
          </w:rPr>
          <w:t>https://doi.org/10.2903/j.efsa.2020.6111</w:t>
        </w:r>
      </w:hyperlink>
      <w:r w:rsidRPr="00C735AD">
        <w:rPr>
          <w:rStyle w:val="Hyperlink"/>
          <w:sz w:val="24"/>
          <w:lang w:val="sk-SK"/>
        </w:rPr>
        <w:t>.</w:t>
      </w:r>
    </w:p>
  </w:footnote>
  <w:footnote w:id="4">
    <w:p w:rsidR="00EF7F30" w:rsidRPr="00C735AD" w:rsidRDefault="00EF7F30" w:rsidP="00C735AD">
      <w:pPr>
        <w:pStyle w:val="FootnoteText"/>
        <w:ind w:left="567" w:hanging="567"/>
        <w:rPr>
          <w:color w:val="000000" w:themeColor="text1"/>
          <w:sz w:val="24"/>
          <w:vertAlign w:val="superscript"/>
          <w:lang w:val="sk-SK"/>
        </w:rPr>
      </w:pPr>
      <w:r w:rsidRPr="00C735AD">
        <w:rPr>
          <w:rStyle w:val="FootnoteReference"/>
          <w:sz w:val="24"/>
          <w:lang w:val="sk-SK"/>
        </w:rPr>
        <w:footnoteRef/>
      </w:r>
      <w:r w:rsidR="00C735AD" w:rsidRPr="00C735AD">
        <w:rPr>
          <w:sz w:val="24"/>
          <w:lang w:val="sk-SK"/>
        </w:rPr>
        <w:t xml:space="preserve"> </w:t>
      </w:r>
      <w:r w:rsidR="00C735AD" w:rsidRPr="00C735AD">
        <w:rPr>
          <w:sz w:val="24"/>
          <w:lang w:val="sk-SK"/>
        </w:rPr>
        <w:tab/>
      </w:r>
      <w:r w:rsidRPr="00C735AD">
        <w:rPr>
          <w:sz w:val="24"/>
          <w:lang w:val="sk-SK"/>
        </w:rPr>
        <w:t>Európsky parlament prijal vo svojom ôsmom volebnom období 36 uznesení a v deviatom volebnom období 38 uznesení, v ktorých namieta proti povoľovaniu GMO.</w:t>
      </w:r>
      <w:r w:rsidRPr="00C735AD">
        <w:rPr>
          <w:color w:val="000000" w:themeColor="text1"/>
          <w:sz w:val="24"/>
          <w:lang w:val="sk-SK"/>
        </w:rPr>
        <w:t xml:space="preserve"> Okrem toho Európsky parlament počas desiateho volebného obdobia prijal tieto uznesenia:</w:t>
      </w:r>
    </w:p>
    <w:p w:rsidR="00EF7F30" w:rsidRPr="00C735AD" w:rsidRDefault="00C735AD" w:rsidP="00C735AD">
      <w:pPr>
        <w:pStyle w:val="FootnoteText"/>
        <w:ind w:left="567" w:hanging="567"/>
        <w:rPr>
          <w:color w:val="000000" w:themeColor="text1"/>
          <w:sz w:val="24"/>
          <w:vertAlign w:val="superscript"/>
          <w:lang w:val="sk-SK"/>
        </w:rPr>
      </w:pPr>
      <w:r w:rsidRPr="00C735AD">
        <w:rPr>
          <w:color w:val="000000" w:themeColor="text1"/>
          <w:sz w:val="24"/>
          <w:lang w:val="sk-SK"/>
        </w:rPr>
        <w:t xml:space="preserve"> </w:t>
      </w:r>
      <w:r w:rsidRPr="00C735AD">
        <w:rPr>
          <w:color w:val="000000" w:themeColor="text1"/>
          <w:sz w:val="24"/>
          <w:lang w:val="sk-SK"/>
        </w:rPr>
        <w:tab/>
      </w:r>
      <w:r w:rsidR="00EF7F30" w:rsidRPr="00C735AD">
        <w:rPr>
          <w:color w:val="000000" w:themeColor="text1"/>
          <w:sz w:val="24"/>
          <w:lang w:val="sk-SK"/>
        </w:rPr>
        <w:t>–</w:t>
      </w:r>
      <w:r w:rsidR="00EF7F30" w:rsidRPr="00C735AD">
        <w:rPr>
          <w:color w:val="000000" w:themeColor="text1"/>
          <w:sz w:val="24"/>
          <w:lang w:val="sk-SK"/>
        </w:rPr>
        <w:tab/>
        <w:t xml:space="preserve">Uznesenie Európskeho parlamentu z 26. novembra 2024 o vykonávacom rozhodnutí Komisie (EÚ) 2024/2628 o obnovení povolenia umiestniť na trh výrobky, ktoré obsahujú geneticky modifikovanú kukuricu MON 89034 × 1507 × NK603, sú z nej zložené alebo vyrobené, podľa nariadenia Európskeho parlamentu a Rady (ES) č. 1829/2003 (Ú. v. </w:t>
      </w:r>
      <w:r w:rsidR="00EF7F30" w:rsidRPr="00C735AD">
        <w:rPr>
          <w:color w:val="000000" w:themeColor="text1"/>
          <w:sz w:val="24"/>
          <w:lang w:val="sk-SK"/>
        </w:rPr>
        <w:t xml:space="preserve">EÚ C, C/2025/1797, 4.4.2025, ELI: </w:t>
      </w:r>
      <w:hyperlink r:id="rId4" w:history="1">
        <w:r w:rsidR="00D81674" w:rsidRPr="00174B07">
          <w:rPr>
            <w:rStyle w:val="Hyperlink"/>
            <w:sz w:val="24"/>
            <w:lang w:val="sk-SK"/>
          </w:rPr>
          <w:t>http://data.europa.eu/eli/C/2025/1797/oj</w:t>
        </w:r>
      </w:hyperlink>
      <w:r w:rsidR="00EF7F30" w:rsidRPr="00C735AD">
        <w:rPr>
          <w:color w:val="000000" w:themeColor="text1"/>
          <w:sz w:val="24"/>
          <w:lang w:val="sk-SK"/>
        </w:rPr>
        <w:t>).</w:t>
      </w:r>
    </w:p>
    <w:p w:rsidR="00EF7F30" w:rsidRPr="00C735AD" w:rsidRDefault="00C735AD" w:rsidP="00C735AD">
      <w:pPr>
        <w:pStyle w:val="FootnoteText"/>
        <w:ind w:left="567" w:hanging="567"/>
        <w:rPr>
          <w:color w:val="000000" w:themeColor="text1"/>
          <w:sz w:val="24"/>
          <w:vertAlign w:val="superscript"/>
          <w:lang w:val="sk-SK"/>
        </w:rPr>
      </w:pPr>
      <w:r w:rsidRPr="00C735AD">
        <w:rPr>
          <w:color w:val="000000" w:themeColor="text1"/>
          <w:sz w:val="24"/>
          <w:lang w:val="sk-SK"/>
        </w:rPr>
        <w:t xml:space="preserve"> </w:t>
      </w:r>
      <w:r w:rsidRPr="00C735AD">
        <w:rPr>
          <w:color w:val="000000" w:themeColor="text1"/>
          <w:sz w:val="24"/>
          <w:lang w:val="sk-SK"/>
        </w:rPr>
        <w:tab/>
      </w:r>
      <w:r w:rsidR="00EF7F30" w:rsidRPr="00C735AD">
        <w:rPr>
          <w:color w:val="000000" w:themeColor="text1"/>
          <w:sz w:val="24"/>
          <w:lang w:val="sk-SK"/>
        </w:rPr>
        <w:t>–</w:t>
      </w:r>
      <w:r w:rsidR="00EF7F30" w:rsidRPr="00C735AD">
        <w:rPr>
          <w:color w:val="000000" w:themeColor="text1"/>
          <w:sz w:val="24"/>
          <w:lang w:val="sk-SK"/>
        </w:rPr>
        <w:tab/>
        <w:t xml:space="preserve">Uznesenie Európskeho parlamentu z 26. novembra 2024 o vykonávacom rozhodnutí Komisie (EÚ) 2024/2627, ktorým sa podľa nariadenia Európskeho parlamentu a Rady (ES) č. 1829/2003 povoľuje umiestniť na trh výrobky, ktoré obsahujú geneticky modifikovanú bavlnu COT102, sú z nej zložené alebo vyrobené (Ú. v. EÚ C, C/2025/1798, 4.4.2025, ELI: </w:t>
      </w:r>
      <w:hyperlink r:id="rId5" w:history="1">
        <w:r w:rsidR="00D81674" w:rsidRPr="00174B07">
          <w:rPr>
            <w:rStyle w:val="Hyperlink"/>
            <w:sz w:val="24"/>
            <w:lang w:val="sk-SK"/>
          </w:rPr>
          <w:t>http://data.europa.eu/eli/C/2025/1798/oj</w:t>
        </w:r>
      </w:hyperlink>
      <w:r w:rsidR="00EF7F30" w:rsidRPr="00C735AD">
        <w:rPr>
          <w:color w:val="000000" w:themeColor="text1"/>
          <w:sz w:val="24"/>
          <w:lang w:val="sk-SK"/>
        </w:rPr>
        <w:t>).</w:t>
      </w:r>
    </w:p>
    <w:p w:rsidR="00EF7F30" w:rsidRPr="00C735AD" w:rsidRDefault="00C735AD" w:rsidP="00C735AD">
      <w:pPr>
        <w:pStyle w:val="FootnoteText"/>
        <w:ind w:left="567" w:hanging="567"/>
        <w:rPr>
          <w:color w:val="000000" w:themeColor="text1"/>
          <w:sz w:val="24"/>
          <w:vertAlign w:val="superscript"/>
          <w:lang w:val="sk-SK"/>
        </w:rPr>
      </w:pPr>
      <w:r w:rsidRPr="00C735AD">
        <w:rPr>
          <w:color w:val="000000" w:themeColor="text1"/>
          <w:sz w:val="24"/>
          <w:lang w:val="sk-SK"/>
        </w:rPr>
        <w:t xml:space="preserve"> </w:t>
      </w:r>
      <w:r w:rsidRPr="00C735AD">
        <w:rPr>
          <w:color w:val="000000" w:themeColor="text1"/>
          <w:sz w:val="24"/>
          <w:lang w:val="sk-SK"/>
        </w:rPr>
        <w:tab/>
      </w:r>
      <w:r w:rsidR="00EF7F30" w:rsidRPr="00C735AD">
        <w:rPr>
          <w:color w:val="000000" w:themeColor="text1"/>
          <w:sz w:val="24"/>
          <w:lang w:val="sk-SK"/>
        </w:rPr>
        <w:t>–</w:t>
      </w:r>
      <w:r w:rsidR="00EF7F30" w:rsidRPr="00C735AD">
        <w:rPr>
          <w:color w:val="000000" w:themeColor="text1"/>
          <w:sz w:val="24"/>
          <w:lang w:val="sk-SK"/>
        </w:rPr>
        <w:tab/>
        <w:t xml:space="preserve">Uznesenie Európskeho parlamentu z 26. novembra 2024 o vykonávacom rozhodnutí Komisie (EÚ) 2024/2629, ktorým sa podľa nariadenia Európskeho parlamentu a Rady (ES) č. 1829/2003 obnovuje povolenie umiestňovať na trh výrobky, ktoré obsahujú geneticky modifikovanú kukuricu MON 89034 × 1507 × MON 88017 × 59122 a osem jej čiastkových kombinácií, sú z nich zložené alebo vyrobené (Ú. v. EÚ C, C/2025/1799, 4.4.2025, ELI: </w:t>
      </w:r>
      <w:hyperlink r:id="rId6" w:history="1">
        <w:r w:rsidR="00D81674" w:rsidRPr="00174B07">
          <w:rPr>
            <w:rStyle w:val="Hyperlink"/>
            <w:sz w:val="24"/>
            <w:lang w:val="sk-SK"/>
          </w:rPr>
          <w:t>http://data.europa.eu/eli/C/2025/1799/oj</w:t>
        </w:r>
      </w:hyperlink>
      <w:r w:rsidR="00EF7F30" w:rsidRPr="00C735AD">
        <w:rPr>
          <w:color w:val="000000" w:themeColor="text1"/>
          <w:sz w:val="24"/>
          <w:lang w:val="sk-SK"/>
        </w:rPr>
        <w:t>).</w:t>
      </w:r>
    </w:p>
    <w:p w:rsidR="00EF7F30" w:rsidRPr="00C735AD" w:rsidRDefault="00C735AD" w:rsidP="00C735AD">
      <w:pPr>
        <w:pStyle w:val="FootnoteText"/>
        <w:ind w:left="567" w:hanging="567"/>
        <w:rPr>
          <w:color w:val="000000" w:themeColor="text1"/>
          <w:sz w:val="24"/>
          <w:vertAlign w:val="superscript"/>
          <w:lang w:val="sk-SK"/>
        </w:rPr>
      </w:pPr>
      <w:r w:rsidRPr="00C735AD">
        <w:rPr>
          <w:color w:val="000000" w:themeColor="text1"/>
          <w:sz w:val="24"/>
          <w:lang w:val="sk-SK"/>
        </w:rPr>
        <w:t xml:space="preserve"> </w:t>
      </w:r>
      <w:r w:rsidRPr="00C735AD">
        <w:rPr>
          <w:color w:val="000000" w:themeColor="text1"/>
          <w:sz w:val="24"/>
          <w:lang w:val="sk-SK"/>
        </w:rPr>
        <w:tab/>
      </w:r>
      <w:r w:rsidR="00EF7F30" w:rsidRPr="00C735AD">
        <w:rPr>
          <w:color w:val="000000" w:themeColor="text1"/>
          <w:sz w:val="24"/>
          <w:lang w:val="sk-SK"/>
        </w:rPr>
        <w:t>–</w:t>
      </w:r>
      <w:r w:rsidR="00EF7F30" w:rsidRPr="00C735AD">
        <w:rPr>
          <w:color w:val="000000" w:themeColor="text1"/>
          <w:sz w:val="24"/>
          <w:lang w:val="sk-SK"/>
        </w:rPr>
        <w:tab/>
        <w:t xml:space="preserve">Uznesenie Európskeho parlamentu z 26. novembra 2024 o vykonávacom rozhodnutí Komisie (EÚ) 2024/1828, ktorým sa podľa nariadenia Európskeho parlamentu a Rady (ES) č. 1829/2003 obnovuje povolenie umiestňovať na trh krmivá, ktoré obsahujú geneticky modifikovanú kukuricu MON 810 alebo sú z nej zložené, a potraviny a krmivá vyrobené z geneticky modifikovanej kukurice MON 810 a ktorým sa zrušuje vykonávacie rozhodnutie Komisie (EÚ) 2017/1207 (Ú. v. EÚ C, C/2025/1800, 4.4.2025, ELI: </w:t>
      </w:r>
      <w:hyperlink r:id="rId7" w:history="1">
        <w:r w:rsidR="00D81674" w:rsidRPr="00174B07">
          <w:rPr>
            <w:rStyle w:val="Hyperlink"/>
            <w:sz w:val="24"/>
            <w:lang w:val="sk-SK"/>
          </w:rPr>
          <w:t>http://data.europa.eu/eli/C/2025/1800/oj</w:t>
        </w:r>
      </w:hyperlink>
      <w:r w:rsidR="00EF7F30" w:rsidRPr="00C735AD">
        <w:rPr>
          <w:color w:val="000000" w:themeColor="text1"/>
          <w:sz w:val="24"/>
          <w:lang w:val="sk-SK"/>
        </w:rPr>
        <w:t>).</w:t>
      </w:r>
    </w:p>
    <w:p w:rsidR="00EF7F30" w:rsidRPr="00C735AD" w:rsidRDefault="00C735AD" w:rsidP="00C735AD">
      <w:pPr>
        <w:pStyle w:val="FootnoteText"/>
        <w:ind w:left="567" w:hanging="567"/>
        <w:rPr>
          <w:color w:val="000000" w:themeColor="text1"/>
          <w:sz w:val="24"/>
          <w:vertAlign w:val="superscript"/>
          <w:lang w:val="sk-SK"/>
        </w:rPr>
      </w:pPr>
      <w:r w:rsidRPr="00C735AD">
        <w:rPr>
          <w:color w:val="000000" w:themeColor="text1"/>
          <w:sz w:val="24"/>
          <w:lang w:val="sk-SK"/>
        </w:rPr>
        <w:t xml:space="preserve"> </w:t>
      </w:r>
      <w:r w:rsidRPr="00C735AD">
        <w:rPr>
          <w:color w:val="000000" w:themeColor="text1"/>
          <w:sz w:val="24"/>
          <w:lang w:val="sk-SK"/>
        </w:rPr>
        <w:tab/>
      </w:r>
      <w:r w:rsidR="00EF7F30" w:rsidRPr="00C735AD">
        <w:rPr>
          <w:color w:val="000000" w:themeColor="text1"/>
          <w:sz w:val="24"/>
          <w:lang w:val="sk-SK"/>
        </w:rPr>
        <w:t>–</w:t>
      </w:r>
      <w:r w:rsidR="00EF7F30" w:rsidRPr="00C735AD">
        <w:rPr>
          <w:color w:val="000000" w:themeColor="text1"/>
          <w:sz w:val="24"/>
          <w:lang w:val="sk-SK"/>
        </w:rPr>
        <w:tab/>
        <w:t xml:space="preserve">Uznesenie Európskeho parlamentu z 26. novembra 2024 o vykonávacom rozhodnutí Komisie (EÚ) 2024/1822, ktorým sa podľa nariadenia Európskeho parlamentu a Rady (ES) č. 1829/2003 povoľuje umiestniť na trh výrobky, ktoré obsahujú geneticky modifikovanú kukuricu DP915635, sú z nej zložené alebo vyrobené (Ú. v. EÚ C, C/2025/1801, 4.4.2025, ELI: </w:t>
      </w:r>
      <w:hyperlink r:id="rId8" w:history="1">
        <w:r w:rsidR="00D81674" w:rsidRPr="00174B07">
          <w:rPr>
            <w:rStyle w:val="Hyperlink"/>
            <w:sz w:val="24"/>
            <w:lang w:val="sk-SK"/>
          </w:rPr>
          <w:t>http://data.europa.eu/eli/C/2025/1801/oj</w:t>
        </w:r>
      </w:hyperlink>
      <w:r w:rsidR="00EF7F30" w:rsidRPr="00C735AD">
        <w:rPr>
          <w:color w:val="000000" w:themeColor="text1"/>
          <w:sz w:val="24"/>
          <w:lang w:val="sk-SK"/>
        </w:rPr>
        <w:t>).</w:t>
      </w:r>
    </w:p>
    <w:p w:rsidR="00EF7F30" w:rsidRPr="00C735AD" w:rsidRDefault="00C735AD" w:rsidP="00C735AD">
      <w:pPr>
        <w:pStyle w:val="FootnoteText"/>
        <w:ind w:left="567" w:hanging="567"/>
        <w:rPr>
          <w:color w:val="000000" w:themeColor="text1"/>
          <w:sz w:val="24"/>
          <w:vertAlign w:val="superscript"/>
          <w:lang w:val="sk-SK"/>
        </w:rPr>
      </w:pPr>
      <w:r w:rsidRPr="00C735AD">
        <w:rPr>
          <w:color w:val="000000" w:themeColor="text1"/>
          <w:sz w:val="24"/>
          <w:lang w:val="sk-SK"/>
        </w:rPr>
        <w:t xml:space="preserve"> </w:t>
      </w:r>
      <w:r w:rsidRPr="00C735AD">
        <w:rPr>
          <w:color w:val="000000" w:themeColor="text1"/>
          <w:sz w:val="24"/>
          <w:lang w:val="sk-SK"/>
        </w:rPr>
        <w:tab/>
      </w:r>
      <w:r w:rsidR="00EF7F30" w:rsidRPr="00C735AD">
        <w:rPr>
          <w:color w:val="000000" w:themeColor="text1"/>
          <w:sz w:val="24"/>
          <w:lang w:val="sk-SK"/>
        </w:rPr>
        <w:t>–</w:t>
      </w:r>
      <w:r w:rsidR="00EF7F30" w:rsidRPr="00C735AD">
        <w:rPr>
          <w:color w:val="000000" w:themeColor="text1"/>
          <w:sz w:val="24"/>
          <w:lang w:val="sk-SK"/>
        </w:rPr>
        <w:tab/>
        <w:t xml:space="preserve">Uznesenie Európskeho parlamentu z 26. novembra 2024 o vykonávacom rozhodnutí Komisie (EÚ) 2024/1826, ktorým sa podľa nariadenia Európskeho parlamentu a Rady (ES) č. 1829/2003 povoľuje umiestniť na trh výrobky, ktoré obsahujú geneticky modifikovanú kukuricu DP23211, sú z nej zložené alebo vyrobené (Ú. v. EÚ C, C/2025/1802, 4.4.2025, ELI: </w:t>
      </w:r>
      <w:hyperlink r:id="rId9" w:history="1">
        <w:r w:rsidR="00D81674" w:rsidRPr="00174B07">
          <w:rPr>
            <w:rStyle w:val="Hyperlink"/>
            <w:sz w:val="24"/>
            <w:lang w:val="sk-SK"/>
          </w:rPr>
          <w:t>http://data.europa.eu/eli/C/2025/1802/oj</w:t>
        </w:r>
      </w:hyperlink>
      <w:r w:rsidR="00EF7F30" w:rsidRPr="00C735AD">
        <w:rPr>
          <w:color w:val="000000" w:themeColor="text1"/>
          <w:sz w:val="24"/>
          <w:lang w:val="sk-SK"/>
        </w:rPr>
        <w:t>).</w:t>
      </w:r>
    </w:p>
    <w:p w:rsidR="00EF7F30" w:rsidRPr="00C735AD" w:rsidRDefault="00C735AD" w:rsidP="00C735AD">
      <w:pPr>
        <w:pStyle w:val="FootnoteText"/>
        <w:ind w:left="567" w:hanging="567"/>
        <w:rPr>
          <w:color w:val="000000" w:themeColor="text1"/>
          <w:sz w:val="24"/>
          <w:vertAlign w:val="superscript"/>
          <w:lang w:val="sk-SK"/>
        </w:rPr>
      </w:pPr>
      <w:r w:rsidRPr="00C735AD">
        <w:rPr>
          <w:color w:val="000000" w:themeColor="text1"/>
          <w:sz w:val="24"/>
          <w:lang w:val="sk-SK"/>
        </w:rPr>
        <w:t xml:space="preserve"> </w:t>
      </w:r>
      <w:r w:rsidRPr="00C735AD">
        <w:rPr>
          <w:color w:val="000000" w:themeColor="text1"/>
          <w:sz w:val="24"/>
          <w:lang w:val="sk-SK"/>
        </w:rPr>
        <w:tab/>
      </w:r>
      <w:r w:rsidR="00EF7F30" w:rsidRPr="00C735AD">
        <w:rPr>
          <w:color w:val="000000" w:themeColor="text1"/>
          <w:sz w:val="24"/>
          <w:lang w:val="sk-SK"/>
        </w:rPr>
        <w:t>–</w:t>
      </w:r>
      <w:r w:rsidR="00EF7F30" w:rsidRPr="00C735AD">
        <w:rPr>
          <w:color w:val="000000" w:themeColor="text1"/>
          <w:sz w:val="24"/>
          <w:lang w:val="sk-SK"/>
        </w:rPr>
        <w:tab/>
        <w:t xml:space="preserve">Uznesenie Európskeho parlamentu z 26. novembra 2024 o vykonávacom rozhodnutí Komisie (EÚ) 2024/2618, ktorým sa podľa nariadenia Európskeho parlamentu a Rady (ES) č. 1829/2003 povoľuje umiestniť na trh produkty, ktoré obsahujú geneticky modifikovanú kukuricu DP202216, sú z nej zložené alebo vyrobené (Ú. v. EÚ C, C/2025/1803, 4.4.2025, ELI: </w:t>
      </w:r>
      <w:hyperlink r:id="rId10" w:history="1">
        <w:r w:rsidR="00D81674" w:rsidRPr="00174B07">
          <w:rPr>
            <w:rStyle w:val="Hyperlink"/>
            <w:sz w:val="24"/>
            <w:lang w:val="sk-SK"/>
          </w:rPr>
          <w:t>http://data.europa.eu/eli/C/2025/1803/oj</w:t>
        </w:r>
      </w:hyperlink>
      <w:r w:rsidR="00EF7F30" w:rsidRPr="00C735AD">
        <w:rPr>
          <w:color w:val="000000" w:themeColor="text1"/>
          <w:sz w:val="24"/>
          <w:lang w:val="sk-SK"/>
        </w:rPr>
        <w:t>).</w:t>
      </w:r>
    </w:p>
    <w:p w:rsidR="00EF7F30" w:rsidRPr="00C735AD" w:rsidRDefault="00C735AD" w:rsidP="00C735AD">
      <w:pPr>
        <w:pStyle w:val="FootnoteText"/>
        <w:ind w:left="567" w:hanging="567"/>
        <w:rPr>
          <w:color w:val="000000" w:themeColor="text1"/>
          <w:sz w:val="24"/>
          <w:vertAlign w:val="superscript"/>
          <w:lang w:val="sk-SK"/>
        </w:rPr>
      </w:pPr>
      <w:r w:rsidRPr="00C735AD">
        <w:rPr>
          <w:color w:val="000000" w:themeColor="text1"/>
          <w:sz w:val="24"/>
          <w:lang w:val="sk-SK"/>
        </w:rPr>
        <w:t xml:space="preserve"> </w:t>
      </w:r>
      <w:r w:rsidRPr="00C735AD">
        <w:rPr>
          <w:color w:val="000000" w:themeColor="text1"/>
          <w:sz w:val="24"/>
          <w:lang w:val="sk-SK"/>
        </w:rPr>
        <w:tab/>
      </w:r>
      <w:r w:rsidR="00EF7F30" w:rsidRPr="00C735AD">
        <w:rPr>
          <w:color w:val="000000" w:themeColor="text1"/>
          <w:sz w:val="24"/>
          <w:lang w:val="sk-SK"/>
        </w:rPr>
        <w:t>–</w:t>
      </w:r>
      <w:r w:rsidR="00EF7F30" w:rsidRPr="00C735AD">
        <w:rPr>
          <w:color w:val="000000" w:themeColor="text1"/>
          <w:sz w:val="24"/>
          <w:lang w:val="sk-SK"/>
        </w:rPr>
        <w:tab/>
        <w:t xml:space="preserve">Uznesenie Európskeho parlamentu z 26. novembra 2024 o návrhu vykonávacieho rozhodnutia Komisie, ktorým sa podľa nariadenia Európskeho parlamentu a Rady (ES) č. 1829/2003 povoľuje umiestniť na trh produkty, ktoré obsahujú geneticky modifikovanú kukuricu MON 94804, sú z nej zložené alebo vyrobené (Ú. v. EÚ C, C/2025/1804, 4.4.2025, ELI: </w:t>
      </w:r>
      <w:hyperlink r:id="rId11" w:history="1">
        <w:r w:rsidR="00D81674" w:rsidRPr="00174B07">
          <w:rPr>
            <w:rStyle w:val="Hyperlink"/>
            <w:sz w:val="24"/>
            <w:lang w:val="sk-SK"/>
          </w:rPr>
          <w:t>http://data.europa.eu/eli/C/2025/1804/oj</w:t>
        </w:r>
      </w:hyperlink>
      <w:r w:rsidR="00EF7F30" w:rsidRPr="00C735AD">
        <w:rPr>
          <w:color w:val="000000" w:themeColor="text1"/>
          <w:sz w:val="24"/>
          <w:lang w:val="sk-SK"/>
        </w:rPr>
        <w:t>).</w:t>
      </w:r>
    </w:p>
    <w:p w:rsidR="00EF7F30" w:rsidRPr="00C735AD" w:rsidRDefault="00C735AD" w:rsidP="00C735AD">
      <w:pPr>
        <w:pStyle w:val="FootnoteText"/>
        <w:ind w:left="567" w:hanging="567"/>
        <w:rPr>
          <w:sz w:val="24"/>
          <w:vertAlign w:val="superscript"/>
          <w:lang w:val="sk-SK"/>
        </w:rPr>
      </w:pPr>
      <w:r w:rsidRPr="00C735AD">
        <w:rPr>
          <w:color w:val="000000" w:themeColor="text1"/>
          <w:sz w:val="24"/>
          <w:lang w:val="sk-SK"/>
        </w:rPr>
        <w:t xml:space="preserve"> </w:t>
      </w:r>
      <w:r w:rsidRPr="00C735AD">
        <w:rPr>
          <w:color w:val="000000" w:themeColor="text1"/>
          <w:sz w:val="24"/>
          <w:lang w:val="sk-SK"/>
        </w:rPr>
        <w:tab/>
      </w:r>
      <w:r w:rsidR="00EF7F30" w:rsidRPr="00C735AD">
        <w:rPr>
          <w:color w:val="000000" w:themeColor="text1"/>
          <w:sz w:val="24"/>
          <w:lang w:val="sk-SK"/>
        </w:rPr>
        <w:t>–</w:t>
      </w:r>
      <w:r w:rsidR="00EF7F30" w:rsidRPr="00C735AD">
        <w:rPr>
          <w:color w:val="000000" w:themeColor="text1"/>
          <w:sz w:val="24"/>
          <w:lang w:val="sk-SK"/>
        </w:rPr>
        <w:tab/>
      </w:r>
      <w:r w:rsidR="00EF7F30" w:rsidRPr="00C735AD">
        <w:rPr>
          <w:sz w:val="24"/>
          <w:lang w:val="sk-SK"/>
        </w:rPr>
        <w:t>Uznesenie Európskeho parlamentu z 12. februára 2025 o návrhu vykonávacieho rozhodnutia Komisie, ktorým sa podľa nariadenia Európskeho parlamentu a Rady (ES) č. 1829/2003 povoľuje umiestniť na trh produkty, ktoré obsahujú geneticky modifikovanú kukuricu DP910521, sú z nej zložené alebo vyrobené (P10_TA(2025)0014).</w:t>
      </w:r>
    </w:p>
    <w:p w:rsidR="00EF7F30" w:rsidRPr="00C735AD" w:rsidRDefault="00C735AD" w:rsidP="00C735AD">
      <w:pPr>
        <w:pStyle w:val="FootnoteText"/>
        <w:ind w:left="567" w:hanging="567"/>
        <w:rPr>
          <w:sz w:val="24"/>
          <w:lang w:val="sk-SK"/>
        </w:rPr>
      </w:pPr>
      <w:r w:rsidRPr="00C735AD">
        <w:rPr>
          <w:color w:val="000000" w:themeColor="text1"/>
          <w:sz w:val="24"/>
          <w:lang w:val="sk-SK"/>
        </w:rPr>
        <w:t xml:space="preserve"> </w:t>
      </w:r>
      <w:r w:rsidRPr="00C735AD">
        <w:rPr>
          <w:color w:val="000000" w:themeColor="text1"/>
          <w:sz w:val="24"/>
          <w:lang w:val="sk-SK"/>
        </w:rPr>
        <w:tab/>
      </w:r>
      <w:r w:rsidR="00EF7F30" w:rsidRPr="00C735AD">
        <w:rPr>
          <w:color w:val="000000" w:themeColor="text1"/>
          <w:sz w:val="24"/>
          <w:lang w:val="sk-SK"/>
        </w:rPr>
        <w:t>–</w:t>
      </w:r>
      <w:r w:rsidR="00EF7F30" w:rsidRPr="00C735AD">
        <w:rPr>
          <w:color w:val="000000" w:themeColor="text1"/>
          <w:sz w:val="24"/>
          <w:lang w:val="sk-SK"/>
        </w:rPr>
        <w:tab/>
        <w:t>Uznesenie Európskeho parlamentu z 12. februára 2025 o návrhu vykonávacieho rozhodnutia Komisie, ktorým sa podľa nariadenia Európskeho parlamentu a Rady (ES) č. 1829/2003 povoľuje umiestniť na trh produkty, ktoré obsahujú geneticky modifikovanú kukuricu MON 95275, sú z nej zložené alebo vyrobené (P10_TA(2025)0015).</w:t>
      </w:r>
    </w:p>
  </w:footnote>
  <w:footnote w:id="5">
    <w:p w:rsidR="00EF7F30" w:rsidRPr="00C735AD" w:rsidRDefault="00EF7F30" w:rsidP="00C735AD">
      <w:pPr>
        <w:pStyle w:val="FootnoteText"/>
        <w:ind w:left="567" w:hanging="567"/>
        <w:rPr>
          <w:sz w:val="24"/>
          <w:lang w:val="sk-SK"/>
        </w:rPr>
      </w:pPr>
      <w:r w:rsidRPr="00C735AD">
        <w:rPr>
          <w:rStyle w:val="FootnoteReference"/>
          <w:sz w:val="24"/>
          <w:lang w:val="sk-SK"/>
        </w:rPr>
        <w:footnoteRef/>
      </w:r>
      <w:r w:rsidR="00C735AD" w:rsidRPr="00C735AD">
        <w:rPr>
          <w:sz w:val="24"/>
          <w:lang w:val="sk-SK"/>
        </w:rPr>
        <w:t xml:space="preserve"> </w:t>
      </w:r>
      <w:r w:rsidR="00C735AD" w:rsidRPr="00C735AD">
        <w:rPr>
          <w:sz w:val="24"/>
          <w:lang w:val="sk-SK"/>
        </w:rPr>
        <w:tab/>
      </w:r>
      <w:r w:rsidRPr="00C735AD">
        <w:rPr>
          <w:sz w:val="24"/>
          <w:lang w:val="sk-SK"/>
        </w:rPr>
        <w:t>Panel úradu EFSA pre GMO, „</w:t>
      </w:r>
      <w:proofErr w:type="spellStart"/>
      <w:r w:rsidRPr="00C735AD">
        <w:rPr>
          <w:sz w:val="24"/>
          <w:lang w:val="sk-SK"/>
        </w:rPr>
        <w:t>Statement</w:t>
      </w:r>
      <w:proofErr w:type="spellEnd"/>
      <w:r w:rsidRPr="00C735AD">
        <w:rPr>
          <w:sz w:val="24"/>
          <w:lang w:val="sk-SK"/>
        </w:rPr>
        <w:t xml:space="preserve"> </w:t>
      </w:r>
      <w:proofErr w:type="spellStart"/>
      <w:r w:rsidRPr="00C735AD">
        <w:rPr>
          <w:sz w:val="24"/>
          <w:lang w:val="sk-SK"/>
        </w:rPr>
        <w:t>complementing</w:t>
      </w:r>
      <w:proofErr w:type="spellEnd"/>
      <w:r w:rsidRPr="00C735AD">
        <w:rPr>
          <w:sz w:val="24"/>
          <w:lang w:val="sk-SK"/>
        </w:rPr>
        <w:t xml:space="preserve"> </w:t>
      </w:r>
      <w:proofErr w:type="spellStart"/>
      <w:r w:rsidRPr="00C735AD">
        <w:rPr>
          <w:sz w:val="24"/>
          <w:lang w:val="sk-SK"/>
        </w:rPr>
        <w:t>the</w:t>
      </w:r>
      <w:proofErr w:type="spellEnd"/>
      <w:r w:rsidRPr="00C735AD">
        <w:rPr>
          <w:sz w:val="24"/>
          <w:lang w:val="sk-SK"/>
        </w:rPr>
        <w:t xml:space="preserve"> EFSA </w:t>
      </w:r>
      <w:proofErr w:type="spellStart"/>
      <w:r w:rsidRPr="00C735AD">
        <w:rPr>
          <w:sz w:val="24"/>
          <w:lang w:val="sk-SK"/>
        </w:rPr>
        <w:t>Scientific</w:t>
      </w:r>
      <w:proofErr w:type="spellEnd"/>
      <w:r w:rsidRPr="00C735AD">
        <w:rPr>
          <w:sz w:val="24"/>
          <w:lang w:val="sk-SK"/>
        </w:rPr>
        <w:t xml:space="preserve"> </w:t>
      </w:r>
      <w:proofErr w:type="spellStart"/>
      <w:r w:rsidRPr="00C735AD">
        <w:rPr>
          <w:sz w:val="24"/>
          <w:lang w:val="sk-SK"/>
        </w:rPr>
        <w:t>Opinion</w:t>
      </w:r>
      <w:proofErr w:type="spellEnd"/>
      <w:r w:rsidRPr="00C735AD">
        <w:rPr>
          <w:sz w:val="24"/>
          <w:lang w:val="sk-SK"/>
        </w:rPr>
        <w:t xml:space="preserve"> on </w:t>
      </w:r>
      <w:proofErr w:type="spellStart"/>
      <w:r w:rsidRPr="00C735AD">
        <w:rPr>
          <w:sz w:val="24"/>
          <w:lang w:val="sk-SK"/>
        </w:rPr>
        <w:t>application</w:t>
      </w:r>
      <w:proofErr w:type="spellEnd"/>
      <w:r w:rsidRPr="00C735AD">
        <w:rPr>
          <w:sz w:val="24"/>
          <w:lang w:val="sk-SK"/>
        </w:rPr>
        <w:t xml:space="preserve"> (EFSA-GMO-NL-2015-126) </w:t>
      </w:r>
      <w:proofErr w:type="spellStart"/>
      <w:r w:rsidRPr="00C735AD">
        <w:rPr>
          <w:sz w:val="24"/>
          <w:lang w:val="sk-SK"/>
        </w:rPr>
        <w:t>for</w:t>
      </w:r>
      <w:proofErr w:type="spellEnd"/>
      <w:r w:rsidRPr="00C735AD">
        <w:rPr>
          <w:sz w:val="24"/>
          <w:lang w:val="sk-SK"/>
        </w:rPr>
        <w:t xml:space="preserve"> </w:t>
      </w:r>
      <w:proofErr w:type="spellStart"/>
      <w:r w:rsidRPr="00C735AD">
        <w:rPr>
          <w:sz w:val="24"/>
          <w:lang w:val="sk-SK"/>
        </w:rPr>
        <w:t>authorisation</w:t>
      </w:r>
      <w:proofErr w:type="spellEnd"/>
      <w:r w:rsidRPr="00C735AD">
        <w:rPr>
          <w:sz w:val="24"/>
          <w:lang w:val="sk-SK"/>
        </w:rPr>
        <w:t xml:space="preserve"> of </w:t>
      </w:r>
      <w:proofErr w:type="spellStart"/>
      <w:r w:rsidRPr="00C735AD">
        <w:rPr>
          <w:sz w:val="24"/>
          <w:lang w:val="sk-SK"/>
        </w:rPr>
        <w:t>food</w:t>
      </w:r>
      <w:proofErr w:type="spellEnd"/>
      <w:r w:rsidRPr="00C735AD">
        <w:rPr>
          <w:sz w:val="24"/>
          <w:lang w:val="sk-SK"/>
        </w:rPr>
        <w:t xml:space="preserve"> and </w:t>
      </w:r>
      <w:proofErr w:type="spellStart"/>
      <w:r w:rsidRPr="00C735AD">
        <w:rPr>
          <w:sz w:val="24"/>
          <w:lang w:val="sk-SK"/>
        </w:rPr>
        <w:t>feed</w:t>
      </w:r>
      <w:proofErr w:type="spellEnd"/>
      <w:r w:rsidRPr="00C735AD">
        <w:rPr>
          <w:sz w:val="24"/>
          <w:lang w:val="sk-SK"/>
        </w:rPr>
        <w:t xml:space="preserve"> </w:t>
      </w:r>
      <w:proofErr w:type="spellStart"/>
      <w:r w:rsidRPr="00C735AD">
        <w:rPr>
          <w:sz w:val="24"/>
          <w:lang w:val="sk-SK"/>
        </w:rPr>
        <w:t>containing</w:t>
      </w:r>
      <w:proofErr w:type="spellEnd"/>
      <w:r w:rsidRPr="00C735AD">
        <w:rPr>
          <w:sz w:val="24"/>
          <w:lang w:val="sk-SK"/>
        </w:rPr>
        <w:t xml:space="preserve">, </w:t>
      </w:r>
      <w:proofErr w:type="spellStart"/>
      <w:r w:rsidRPr="00C735AD">
        <w:rPr>
          <w:sz w:val="24"/>
          <w:lang w:val="sk-SK"/>
        </w:rPr>
        <w:t>consisting</w:t>
      </w:r>
      <w:proofErr w:type="spellEnd"/>
      <w:r w:rsidRPr="00C735AD">
        <w:rPr>
          <w:sz w:val="24"/>
          <w:lang w:val="sk-SK"/>
        </w:rPr>
        <w:t xml:space="preserve"> of and </w:t>
      </w:r>
      <w:proofErr w:type="spellStart"/>
      <w:r w:rsidRPr="00C735AD">
        <w:rPr>
          <w:sz w:val="24"/>
          <w:lang w:val="sk-SK"/>
        </w:rPr>
        <w:t>produced</w:t>
      </w:r>
      <w:proofErr w:type="spellEnd"/>
      <w:r w:rsidRPr="00C735AD">
        <w:rPr>
          <w:sz w:val="24"/>
          <w:lang w:val="sk-SK"/>
        </w:rPr>
        <w:t xml:space="preserve"> </w:t>
      </w:r>
      <w:proofErr w:type="spellStart"/>
      <w:r w:rsidRPr="00C735AD">
        <w:rPr>
          <w:sz w:val="24"/>
          <w:lang w:val="sk-SK"/>
        </w:rPr>
        <w:t>from</w:t>
      </w:r>
      <w:proofErr w:type="spellEnd"/>
      <w:r w:rsidRPr="00C735AD">
        <w:rPr>
          <w:sz w:val="24"/>
          <w:lang w:val="sk-SK"/>
        </w:rPr>
        <w:t xml:space="preserve"> </w:t>
      </w:r>
      <w:proofErr w:type="spellStart"/>
      <w:r w:rsidRPr="00C735AD">
        <w:rPr>
          <w:sz w:val="24"/>
          <w:lang w:val="sk-SK"/>
        </w:rPr>
        <w:t>genetically</w:t>
      </w:r>
      <w:proofErr w:type="spellEnd"/>
      <w:r w:rsidRPr="00C735AD">
        <w:rPr>
          <w:sz w:val="24"/>
          <w:lang w:val="sk-SK"/>
        </w:rPr>
        <w:t xml:space="preserve"> </w:t>
      </w:r>
      <w:proofErr w:type="spellStart"/>
      <w:r w:rsidRPr="00C735AD">
        <w:rPr>
          <w:sz w:val="24"/>
          <w:lang w:val="sk-SK"/>
        </w:rPr>
        <w:t>modified</w:t>
      </w:r>
      <w:proofErr w:type="spellEnd"/>
      <w:r w:rsidRPr="00C735AD">
        <w:rPr>
          <w:sz w:val="24"/>
          <w:lang w:val="sk-SK"/>
        </w:rPr>
        <w:t xml:space="preserve"> </w:t>
      </w:r>
      <w:proofErr w:type="spellStart"/>
      <w:r w:rsidRPr="00C735AD">
        <w:rPr>
          <w:sz w:val="24"/>
          <w:lang w:val="sk-SK"/>
        </w:rPr>
        <w:t>soybean</w:t>
      </w:r>
      <w:proofErr w:type="spellEnd"/>
      <w:r w:rsidRPr="00C735AD">
        <w:rPr>
          <w:sz w:val="24"/>
          <w:lang w:val="sk-SK"/>
        </w:rPr>
        <w:t xml:space="preserve"> MON 87705 × MON 87708 × MON 89788 [Vyhlásenie, ktorým sa dopĺňa vedecké stanovisko EFSA k žiadosti (EFSA-GMO-NL-2010 – 85) o povolenie potravín a krmív, ktoré obsahujú geneticky modifikovanú sóju MON 87705 × MON 87708 × MON 89788, sú z nej zložené a vyrobené]“. </w:t>
      </w:r>
      <w:r w:rsidRPr="00C735AD">
        <w:rPr>
          <w:sz w:val="24"/>
          <w:lang w:val="sk-SK"/>
        </w:rPr>
        <w:t xml:space="preserve">EFSA </w:t>
      </w:r>
      <w:proofErr w:type="spellStart"/>
      <w:r w:rsidRPr="00C735AD">
        <w:rPr>
          <w:sz w:val="24"/>
          <w:lang w:val="sk-SK"/>
        </w:rPr>
        <w:t>Journal</w:t>
      </w:r>
      <w:proofErr w:type="spellEnd"/>
      <w:r w:rsidRPr="00C735AD">
        <w:rPr>
          <w:sz w:val="24"/>
          <w:lang w:val="sk-SK"/>
        </w:rPr>
        <w:t xml:space="preserve"> (Vestník EFSA) 2024;22(10):e9061, </w:t>
      </w:r>
      <w:hyperlink r:id="rId12" w:history="1">
        <w:r w:rsidR="00D81674" w:rsidRPr="00174B07">
          <w:rPr>
            <w:rStyle w:val="Hyperlink"/>
            <w:rFonts w:eastAsiaTheme="majorEastAsia"/>
            <w:sz w:val="24"/>
            <w:lang w:val="sk-SK"/>
          </w:rPr>
          <w:t>https://doi.org/10.2903/j.efsa.2024.9061</w:t>
        </w:r>
      </w:hyperlink>
      <w:r w:rsidRPr="00C735AD">
        <w:rPr>
          <w:sz w:val="24"/>
          <w:lang w:val="sk-SK"/>
        </w:rPr>
        <w:t>.</w:t>
      </w:r>
    </w:p>
  </w:footnote>
  <w:footnote w:id="6">
    <w:p w:rsidR="00EF7F30" w:rsidRPr="00C735AD" w:rsidRDefault="00EF7F30" w:rsidP="00C735AD">
      <w:pPr>
        <w:pStyle w:val="FootnoteText"/>
        <w:ind w:left="567" w:hanging="567"/>
        <w:rPr>
          <w:sz w:val="24"/>
          <w:lang w:val="sk-SK"/>
        </w:rPr>
      </w:pPr>
      <w:r w:rsidRPr="00C735AD">
        <w:rPr>
          <w:rStyle w:val="FootnoteReference"/>
          <w:sz w:val="24"/>
          <w:lang w:val="sk-SK"/>
        </w:rPr>
        <w:footnoteRef/>
      </w:r>
      <w:r w:rsidR="00C735AD" w:rsidRPr="00C735AD">
        <w:rPr>
          <w:sz w:val="24"/>
          <w:lang w:val="sk-SK"/>
        </w:rPr>
        <w:t xml:space="preserve"> </w:t>
      </w:r>
      <w:r w:rsidR="00C735AD" w:rsidRPr="00C735AD">
        <w:rPr>
          <w:sz w:val="24"/>
          <w:lang w:val="sk-SK"/>
        </w:rPr>
        <w:tab/>
      </w:r>
      <w:r w:rsidRPr="00C735AD">
        <w:rPr>
          <w:sz w:val="24"/>
          <w:lang w:val="sk-SK"/>
        </w:rPr>
        <w:t>Vykonávacie nariadenie Komisie (EÚ) č. 503/2013 z 3. apríla 2013, ktoré sa týka žiadostí o povolenie geneticky modifikovaných potravín a krmív v súlade s nariadením Európskeho parlamentu a Rady (ES) č. 1829/2003 a ktorým sa menia a dopĺňajú nariadenia Komisie (ES) č. 641/2004 a (ES) č. 1981/2006 (Ú. v. EÚ L 157, 8.6.2013, s. </w:t>
      </w:r>
      <w:r w:rsidRPr="00C735AD">
        <w:rPr>
          <w:sz w:val="24"/>
          <w:lang w:val="sk-SK"/>
        </w:rPr>
        <w:t>1, ELI:</w:t>
      </w:r>
      <w:r w:rsidRPr="00C735AD">
        <w:rPr>
          <w:color w:val="000000" w:themeColor="text1"/>
          <w:sz w:val="24"/>
          <w:lang w:val="sk-SK"/>
        </w:rPr>
        <w:t xml:space="preserve"> </w:t>
      </w:r>
      <w:hyperlink r:id="rId13" w:tgtFrame="Gives access to this document through its ELI URI." w:history="1">
        <w:r w:rsidR="00D81674" w:rsidRPr="00174B07">
          <w:rPr>
            <w:rStyle w:val="Hyperlink"/>
            <w:color w:val="0070C0"/>
            <w:sz w:val="24"/>
            <w:lang w:val="sk-SK"/>
          </w:rPr>
          <w:t>http://data.europa.eu/eli/reg_impl/2013/503/oj</w:t>
        </w:r>
      </w:hyperlink>
      <w:r w:rsidRPr="00C735AD">
        <w:rPr>
          <w:rStyle w:val="Hyperlink"/>
          <w:color w:val="000000" w:themeColor="text1"/>
          <w:sz w:val="24"/>
          <w:lang w:val="sk-SK"/>
        </w:rPr>
        <w:t>).</w:t>
      </w:r>
    </w:p>
  </w:footnote>
  <w:footnote w:id="7">
    <w:p w:rsidR="00EF7F30" w:rsidRPr="00C735AD" w:rsidRDefault="00EF7F30" w:rsidP="00C735AD">
      <w:pPr>
        <w:pStyle w:val="FootnoteText"/>
        <w:ind w:left="567" w:hanging="567"/>
        <w:rPr>
          <w:sz w:val="24"/>
          <w:lang w:val="sk-SK"/>
        </w:rPr>
      </w:pPr>
      <w:r w:rsidRPr="00C735AD">
        <w:rPr>
          <w:rStyle w:val="FootnoteReference"/>
          <w:sz w:val="24"/>
          <w:lang w:val="sk-SK"/>
        </w:rPr>
        <w:footnoteRef/>
      </w:r>
      <w:r w:rsidR="00C735AD" w:rsidRPr="00C735AD">
        <w:rPr>
          <w:sz w:val="24"/>
          <w:lang w:val="sk-SK"/>
        </w:rPr>
        <w:t xml:space="preserve"> </w:t>
      </w:r>
      <w:r w:rsidR="00C735AD" w:rsidRPr="00C735AD">
        <w:rPr>
          <w:sz w:val="24"/>
          <w:lang w:val="sk-SK"/>
        </w:rPr>
        <w:tab/>
      </w:r>
      <w:r w:rsidRPr="00C735AD">
        <w:rPr>
          <w:sz w:val="24"/>
          <w:lang w:val="sk-SK"/>
        </w:rPr>
        <w:t xml:space="preserve">Pozri napríklad </w:t>
      </w:r>
      <w:proofErr w:type="spellStart"/>
      <w:r w:rsidRPr="00C735AD">
        <w:rPr>
          <w:sz w:val="24"/>
          <w:lang w:val="sk-SK"/>
        </w:rPr>
        <w:t>Bonny</w:t>
      </w:r>
      <w:proofErr w:type="spellEnd"/>
      <w:r w:rsidRPr="00C735AD">
        <w:rPr>
          <w:sz w:val="24"/>
          <w:lang w:val="sk-SK"/>
        </w:rPr>
        <w:t>, S., „</w:t>
      </w:r>
      <w:proofErr w:type="spellStart"/>
      <w:r w:rsidRPr="00C735AD">
        <w:rPr>
          <w:sz w:val="24"/>
          <w:lang w:val="sk-SK"/>
        </w:rPr>
        <w:t>Genetically</w:t>
      </w:r>
      <w:proofErr w:type="spellEnd"/>
      <w:r w:rsidRPr="00C735AD">
        <w:rPr>
          <w:sz w:val="24"/>
          <w:lang w:val="sk-SK"/>
        </w:rPr>
        <w:t xml:space="preserve"> </w:t>
      </w:r>
      <w:proofErr w:type="spellStart"/>
      <w:r w:rsidRPr="00C735AD">
        <w:rPr>
          <w:sz w:val="24"/>
          <w:lang w:val="sk-SK"/>
        </w:rPr>
        <w:t>Modified</w:t>
      </w:r>
      <w:proofErr w:type="spellEnd"/>
      <w:r w:rsidRPr="00C735AD">
        <w:rPr>
          <w:sz w:val="24"/>
          <w:lang w:val="sk-SK"/>
        </w:rPr>
        <w:t xml:space="preserve"> </w:t>
      </w:r>
      <w:proofErr w:type="spellStart"/>
      <w:r w:rsidRPr="00C735AD">
        <w:rPr>
          <w:sz w:val="24"/>
          <w:lang w:val="sk-SK"/>
        </w:rPr>
        <w:t>Herbicide-Tolerant</w:t>
      </w:r>
      <w:proofErr w:type="spellEnd"/>
      <w:r w:rsidRPr="00C735AD">
        <w:rPr>
          <w:sz w:val="24"/>
          <w:lang w:val="sk-SK"/>
        </w:rPr>
        <w:t xml:space="preserve"> </w:t>
      </w:r>
      <w:proofErr w:type="spellStart"/>
      <w:r w:rsidRPr="00C735AD">
        <w:rPr>
          <w:sz w:val="24"/>
          <w:lang w:val="sk-SK"/>
        </w:rPr>
        <w:t>Crops</w:t>
      </w:r>
      <w:proofErr w:type="spellEnd"/>
      <w:r w:rsidRPr="00C735AD">
        <w:rPr>
          <w:sz w:val="24"/>
          <w:lang w:val="sk-SK"/>
        </w:rPr>
        <w:t xml:space="preserve">, </w:t>
      </w:r>
      <w:proofErr w:type="spellStart"/>
      <w:r w:rsidRPr="00C735AD">
        <w:rPr>
          <w:sz w:val="24"/>
          <w:lang w:val="sk-SK"/>
        </w:rPr>
        <w:t>Weeds</w:t>
      </w:r>
      <w:proofErr w:type="spellEnd"/>
      <w:r w:rsidRPr="00C735AD">
        <w:rPr>
          <w:sz w:val="24"/>
          <w:lang w:val="sk-SK"/>
        </w:rPr>
        <w:t xml:space="preserve"> and </w:t>
      </w:r>
      <w:proofErr w:type="spellStart"/>
      <w:r w:rsidRPr="00C735AD">
        <w:rPr>
          <w:sz w:val="24"/>
          <w:lang w:val="sk-SK"/>
        </w:rPr>
        <w:t>Herbicides</w:t>
      </w:r>
      <w:proofErr w:type="spellEnd"/>
      <w:r w:rsidRPr="00C735AD">
        <w:rPr>
          <w:sz w:val="24"/>
          <w:lang w:val="sk-SK"/>
        </w:rPr>
        <w:t xml:space="preserve">: </w:t>
      </w:r>
      <w:proofErr w:type="spellStart"/>
      <w:r w:rsidRPr="00C735AD">
        <w:rPr>
          <w:sz w:val="24"/>
          <w:lang w:val="sk-SK"/>
        </w:rPr>
        <w:t>Overview</w:t>
      </w:r>
      <w:proofErr w:type="spellEnd"/>
      <w:r w:rsidRPr="00C735AD">
        <w:rPr>
          <w:sz w:val="24"/>
          <w:lang w:val="sk-SK"/>
        </w:rPr>
        <w:t xml:space="preserve"> and </w:t>
      </w:r>
      <w:proofErr w:type="spellStart"/>
      <w:r w:rsidRPr="00C735AD">
        <w:rPr>
          <w:sz w:val="24"/>
          <w:lang w:val="sk-SK"/>
        </w:rPr>
        <w:t>Impact</w:t>
      </w:r>
      <w:proofErr w:type="spellEnd"/>
      <w:r w:rsidRPr="00C735AD">
        <w:rPr>
          <w:sz w:val="24"/>
          <w:lang w:val="sk-SK"/>
        </w:rPr>
        <w:t xml:space="preserve"> (Geneticky modifikované plodiny tolerantné voči herbicídom, burina a herbicídy: prehľad a vplyv)“, </w:t>
      </w:r>
      <w:proofErr w:type="spellStart"/>
      <w:r w:rsidRPr="00C735AD">
        <w:rPr>
          <w:sz w:val="24"/>
          <w:lang w:val="sk-SK"/>
        </w:rPr>
        <w:t>Environmental</w:t>
      </w:r>
      <w:proofErr w:type="spellEnd"/>
      <w:r w:rsidRPr="00C735AD">
        <w:rPr>
          <w:sz w:val="24"/>
          <w:lang w:val="sk-SK"/>
        </w:rPr>
        <w:t xml:space="preserve"> Management, január 2016, 57(1), s. </w:t>
      </w:r>
      <w:r w:rsidRPr="00C735AD">
        <w:rPr>
          <w:sz w:val="24"/>
          <w:lang w:val="sk-SK"/>
        </w:rPr>
        <w:t xml:space="preserve">31 – 48, </w:t>
      </w:r>
      <w:hyperlink r:id="rId14" w:history="1">
        <w:r w:rsidRPr="00C735AD">
          <w:rPr>
            <w:rStyle w:val="Hyperlink"/>
            <w:sz w:val="24"/>
            <w:lang w:val="sk-SK"/>
          </w:rPr>
          <w:t>https://www.ncbi.nlm.nih.gov/pubmed/26296738</w:t>
        </w:r>
      </w:hyperlink>
      <w:r w:rsidRPr="00C735AD">
        <w:rPr>
          <w:rStyle w:val="Hyperlink"/>
          <w:sz w:val="24"/>
          <w:lang w:val="sk-SK"/>
        </w:rPr>
        <w:t>,</w:t>
      </w:r>
      <w:r w:rsidRPr="00C735AD">
        <w:rPr>
          <w:sz w:val="24"/>
          <w:lang w:val="sk-SK"/>
        </w:rPr>
        <w:t xml:space="preserve"> a </w:t>
      </w:r>
      <w:proofErr w:type="spellStart"/>
      <w:r w:rsidRPr="00C735AD">
        <w:rPr>
          <w:sz w:val="24"/>
          <w:lang w:val="sk-SK"/>
        </w:rPr>
        <w:t>Benbrook</w:t>
      </w:r>
      <w:proofErr w:type="spellEnd"/>
      <w:r w:rsidRPr="00C735AD">
        <w:rPr>
          <w:sz w:val="24"/>
          <w:lang w:val="sk-SK"/>
        </w:rPr>
        <w:t xml:space="preserve">, C.M., </w:t>
      </w:r>
      <w:proofErr w:type="spellStart"/>
      <w:r w:rsidRPr="00C735AD">
        <w:rPr>
          <w:sz w:val="24"/>
          <w:lang w:val="sk-SK"/>
        </w:rPr>
        <w:t>Impacts</w:t>
      </w:r>
      <w:proofErr w:type="spellEnd"/>
      <w:r w:rsidRPr="00C735AD">
        <w:rPr>
          <w:sz w:val="24"/>
          <w:lang w:val="sk-SK"/>
        </w:rPr>
        <w:t xml:space="preserve"> of </w:t>
      </w:r>
      <w:proofErr w:type="spellStart"/>
      <w:r w:rsidRPr="00C735AD">
        <w:rPr>
          <w:sz w:val="24"/>
          <w:lang w:val="sk-SK"/>
        </w:rPr>
        <w:t>genetically</w:t>
      </w:r>
      <w:proofErr w:type="spellEnd"/>
      <w:r w:rsidRPr="00C735AD">
        <w:rPr>
          <w:sz w:val="24"/>
          <w:lang w:val="sk-SK"/>
        </w:rPr>
        <w:t xml:space="preserve"> </w:t>
      </w:r>
      <w:proofErr w:type="spellStart"/>
      <w:r w:rsidRPr="00C735AD">
        <w:rPr>
          <w:sz w:val="24"/>
          <w:lang w:val="sk-SK"/>
        </w:rPr>
        <w:t>engineered</w:t>
      </w:r>
      <w:proofErr w:type="spellEnd"/>
      <w:r w:rsidRPr="00C735AD">
        <w:rPr>
          <w:sz w:val="24"/>
          <w:lang w:val="sk-SK"/>
        </w:rPr>
        <w:t xml:space="preserve"> </w:t>
      </w:r>
      <w:proofErr w:type="spellStart"/>
      <w:r w:rsidRPr="00C735AD">
        <w:rPr>
          <w:sz w:val="24"/>
          <w:lang w:val="sk-SK"/>
        </w:rPr>
        <w:t>crops</w:t>
      </w:r>
      <w:proofErr w:type="spellEnd"/>
      <w:r w:rsidRPr="00C735AD">
        <w:rPr>
          <w:sz w:val="24"/>
          <w:lang w:val="sk-SK"/>
        </w:rPr>
        <w:t xml:space="preserve"> on </w:t>
      </w:r>
      <w:proofErr w:type="spellStart"/>
      <w:r w:rsidRPr="00C735AD">
        <w:rPr>
          <w:sz w:val="24"/>
          <w:lang w:val="sk-SK"/>
        </w:rPr>
        <w:t>pesticide</w:t>
      </w:r>
      <w:proofErr w:type="spellEnd"/>
      <w:r w:rsidRPr="00C735AD">
        <w:rPr>
          <w:sz w:val="24"/>
          <w:lang w:val="sk-SK"/>
        </w:rPr>
        <w:t xml:space="preserve"> </w:t>
      </w:r>
      <w:proofErr w:type="spellStart"/>
      <w:r w:rsidRPr="00C735AD">
        <w:rPr>
          <w:sz w:val="24"/>
          <w:lang w:val="sk-SK"/>
        </w:rPr>
        <w:t>use</w:t>
      </w:r>
      <w:proofErr w:type="spellEnd"/>
      <w:r w:rsidRPr="00C735AD">
        <w:rPr>
          <w:sz w:val="24"/>
          <w:lang w:val="sk-SK"/>
        </w:rPr>
        <w:t xml:space="preserve"> in </w:t>
      </w:r>
      <w:proofErr w:type="spellStart"/>
      <w:r w:rsidRPr="00C735AD">
        <w:rPr>
          <w:sz w:val="24"/>
          <w:lang w:val="sk-SK"/>
        </w:rPr>
        <w:t>the</w:t>
      </w:r>
      <w:proofErr w:type="spellEnd"/>
      <w:r w:rsidRPr="00C735AD">
        <w:rPr>
          <w:sz w:val="24"/>
          <w:lang w:val="sk-SK"/>
        </w:rPr>
        <w:t xml:space="preserve"> U.S. – </w:t>
      </w:r>
      <w:proofErr w:type="spellStart"/>
      <w:r w:rsidRPr="00C735AD">
        <w:rPr>
          <w:sz w:val="24"/>
          <w:lang w:val="sk-SK"/>
        </w:rPr>
        <w:t>the</w:t>
      </w:r>
      <w:proofErr w:type="spellEnd"/>
      <w:r w:rsidRPr="00C735AD">
        <w:rPr>
          <w:sz w:val="24"/>
          <w:lang w:val="sk-SK"/>
        </w:rPr>
        <w:t xml:space="preserve"> </w:t>
      </w:r>
      <w:proofErr w:type="spellStart"/>
      <w:r w:rsidRPr="00C735AD">
        <w:rPr>
          <w:sz w:val="24"/>
          <w:lang w:val="sk-SK"/>
        </w:rPr>
        <w:t>first</w:t>
      </w:r>
      <w:proofErr w:type="spellEnd"/>
      <w:r w:rsidRPr="00C735AD">
        <w:rPr>
          <w:sz w:val="24"/>
          <w:lang w:val="sk-SK"/>
        </w:rPr>
        <w:t xml:space="preserve"> </w:t>
      </w:r>
      <w:proofErr w:type="spellStart"/>
      <w:r w:rsidRPr="00C735AD">
        <w:rPr>
          <w:sz w:val="24"/>
          <w:lang w:val="sk-SK"/>
        </w:rPr>
        <w:t>sixteen</w:t>
      </w:r>
      <w:proofErr w:type="spellEnd"/>
      <w:r w:rsidRPr="00C735AD">
        <w:rPr>
          <w:sz w:val="24"/>
          <w:lang w:val="sk-SK"/>
        </w:rPr>
        <w:t xml:space="preserve"> </w:t>
      </w:r>
      <w:proofErr w:type="spellStart"/>
      <w:r w:rsidRPr="00C735AD">
        <w:rPr>
          <w:sz w:val="24"/>
          <w:lang w:val="sk-SK"/>
        </w:rPr>
        <w:t>years</w:t>
      </w:r>
      <w:proofErr w:type="spellEnd"/>
      <w:r w:rsidRPr="00C735AD">
        <w:rPr>
          <w:sz w:val="24"/>
          <w:lang w:val="sk-SK"/>
        </w:rPr>
        <w:t xml:space="preserve"> (Vplyv geneticky modifikovaných plodín na používanie pesticídov v USA – prvých šestnásť rokov), </w:t>
      </w:r>
      <w:proofErr w:type="spellStart"/>
      <w:r w:rsidRPr="00C735AD">
        <w:rPr>
          <w:sz w:val="24"/>
          <w:lang w:val="sk-SK"/>
        </w:rPr>
        <w:t>Environmental</w:t>
      </w:r>
      <w:proofErr w:type="spellEnd"/>
      <w:r w:rsidRPr="00C735AD">
        <w:rPr>
          <w:sz w:val="24"/>
          <w:lang w:val="sk-SK"/>
        </w:rPr>
        <w:t xml:space="preserve"> </w:t>
      </w:r>
      <w:proofErr w:type="spellStart"/>
      <w:r w:rsidRPr="00C735AD">
        <w:rPr>
          <w:sz w:val="24"/>
          <w:lang w:val="sk-SK"/>
        </w:rPr>
        <w:t>Sciences</w:t>
      </w:r>
      <w:proofErr w:type="spellEnd"/>
      <w:r w:rsidRPr="00C735AD">
        <w:rPr>
          <w:sz w:val="24"/>
          <w:lang w:val="sk-SK"/>
        </w:rPr>
        <w:t xml:space="preserve"> </w:t>
      </w:r>
      <w:proofErr w:type="spellStart"/>
      <w:r w:rsidRPr="00C735AD">
        <w:rPr>
          <w:sz w:val="24"/>
          <w:lang w:val="sk-SK"/>
        </w:rPr>
        <w:t>Europe</w:t>
      </w:r>
      <w:proofErr w:type="spellEnd"/>
      <w:r w:rsidRPr="00C735AD">
        <w:rPr>
          <w:sz w:val="24"/>
          <w:lang w:val="sk-SK"/>
        </w:rPr>
        <w:t xml:space="preserve">, 28. septembra 2012, diel 24(1), </w:t>
      </w:r>
      <w:hyperlink r:id="rId15" w:history="1">
        <w:r w:rsidRPr="00C735AD">
          <w:rPr>
            <w:rStyle w:val="Hyperlink"/>
            <w:sz w:val="24"/>
            <w:lang w:val="sk-SK"/>
          </w:rPr>
          <w:t>https://enveurope.springeropen.com/articles/10.1186/2190-4715-24-24</w:t>
        </w:r>
      </w:hyperlink>
      <w:r w:rsidRPr="00C735AD">
        <w:rPr>
          <w:sz w:val="24"/>
          <w:lang w:val="sk-SK"/>
        </w:rPr>
        <w:t xml:space="preserve">.  </w:t>
      </w:r>
    </w:p>
  </w:footnote>
  <w:footnote w:id="8">
    <w:p w:rsidR="00EF7F30" w:rsidRPr="00C735AD" w:rsidRDefault="00EF7F30" w:rsidP="00C735AD">
      <w:pPr>
        <w:pStyle w:val="FootnoteText"/>
        <w:ind w:left="567" w:hanging="567"/>
        <w:rPr>
          <w:sz w:val="24"/>
          <w:lang w:val="sk-SK"/>
        </w:rPr>
      </w:pPr>
      <w:r w:rsidRPr="00C735AD">
        <w:rPr>
          <w:rStyle w:val="FootnoteReference"/>
          <w:rFonts w:eastAsiaTheme="majorEastAsia"/>
          <w:sz w:val="24"/>
          <w:lang w:val="sk-SK"/>
        </w:rPr>
        <w:footnoteRef/>
      </w:r>
      <w:r w:rsidR="00C735AD" w:rsidRPr="00C735AD">
        <w:rPr>
          <w:sz w:val="24"/>
          <w:lang w:val="sk-SK"/>
        </w:rPr>
        <w:t xml:space="preserve"> </w:t>
      </w:r>
      <w:r w:rsidR="00C735AD" w:rsidRPr="00C735AD">
        <w:rPr>
          <w:sz w:val="24"/>
          <w:lang w:val="sk-SK"/>
        </w:rPr>
        <w:tab/>
      </w:r>
      <w:proofErr w:type="spellStart"/>
      <w:r w:rsidRPr="00C735AD">
        <w:rPr>
          <w:sz w:val="24"/>
          <w:lang w:val="sk-SK"/>
        </w:rPr>
        <w:t>Lerro</w:t>
      </w:r>
      <w:proofErr w:type="spellEnd"/>
      <w:r w:rsidRPr="00C735AD">
        <w:rPr>
          <w:sz w:val="24"/>
          <w:lang w:val="sk-SK"/>
        </w:rPr>
        <w:t xml:space="preserve">, C.C., </w:t>
      </w:r>
      <w:proofErr w:type="spellStart"/>
      <w:r w:rsidRPr="00C735AD">
        <w:rPr>
          <w:sz w:val="24"/>
          <w:lang w:val="sk-SK"/>
        </w:rPr>
        <w:t>Hofmann</w:t>
      </w:r>
      <w:proofErr w:type="spellEnd"/>
      <w:r w:rsidRPr="00C735AD">
        <w:rPr>
          <w:sz w:val="24"/>
          <w:lang w:val="sk-SK"/>
        </w:rPr>
        <w:t xml:space="preserve">, J.N., </w:t>
      </w:r>
      <w:proofErr w:type="spellStart"/>
      <w:r w:rsidRPr="00C735AD">
        <w:rPr>
          <w:sz w:val="24"/>
          <w:lang w:val="sk-SK"/>
        </w:rPr>
        <w:t>Andreotti</w:t>
      </w:r>
      <w:proofErr w:type="spellEnd"/>
      <w:r w:rsidRPr="00C735AD">
        <w:rPr>
          <w:sz w:val="24"/>
          <w:lang w:val="sk-SK"/>
        </w:rPr>
        <w:t xml:space="preserve">, G., </w:t>
      </w:r>
      <w:proofErr w:type="spellStart"/>
      <w:r w:rsidRPr="00C735AD">
        <w:rPr>
          <w:sz w:val="24"/>
          <w:lang w:val="sk-SK"/>
        </w:rPr>
        <w:t>Koutros</w:t>
      </w:r>
      <w:proofErr w:type="spellEnd"/>
      <w:r w:rsidRPr="00C735AD">
        <w:rPr>
          <w:sz w:val="24"/>
          <w:lang w:val="sk-SK"/>
        </w:rPr>
        <w:t xml:space="preserve">, S., </w:t>
      </w:r>
      <w:proofErr w:type="spellStart"/>
      <w:r w:rsidRPr="00C735AD">
        <w:rPr>
          <w:sz w:val="24"/>
          <w:lang w:val="sk-SK"/>
        </w:rPr>
        <w:t>Parks</w:t>
      </w:r>
      <w:proofErr w:type="spellEnd"/>
      <w:r w:rsidRPr="00C735AD">
        <w:rPr>
          <w:sz w:val="24"/>
          <w:lang w:val="sk-SK"/>
        </w:rPr>
        <w:t xml:space="preserve">, C.G., </w:t>
      </w:r>
      <w:proofErr w:type="spellStart"/>
      <w:r w:rsidRPr="00C735AD">
        <w:rPr>
          <w:sz w:val="24"/>
          <w:lang w:val="sk-SK"/>
        </w:rPr>
        <w:t>Blair</w:t>
      </w:r>
      <w:proofErr w:type="spellEnd"/>
      <w:r w:rsidRPr="00C735AD">
        <w:rPr>
          <w:sz w:val="24"/>
          <w:lang w:val="sk-SK"/>
        </w:rPr>
        <w:t xml:space="preserve">, A., Albert, P.S., </w:t>
      </w:r>
      <w:proofErr w:type="spellStart"/>
      <w:r w:rsidRPr="00C735AD">
        <w:rPr>
          <w:sz w:val="24"/>
          <w:lang w:val="sk-SK"/>
        </w:rPr>
        <w:t>Lubin</w:t>
      </w:r>
      <w:proofErr w:type="spellEnd"/>
      <w:r w:rsidRPr="00C735AD">
        <w:rPr>
          <w:sz w:val="24"/>
          <w:lang w:val="sk-SK"/>
        </w:rPr>
        <w:t xml:space="preserve">, J.H., </w:t>
      </w:r>
      <w:proofErr w:type="spellStart"/>
      <w:r w:rsidRPr="00C735AD">
        <w:rPr>
          <w:sz w:val="24"/>
          <w:lang w:val="sk-SK"/>
        </w:rPr>
        <w:t>Sandler</w:t>
      </w:r>
      <w:proofErr w:type="spellEnd"/>
      <w:r w:rsidRPr="00C735AD">
        <w:rPr>
          <w:sz w:val="24"/>
          <w:lang w:val="sk-SK"/>
        </w:rPr>
        <w:t xml:space="preserve">, D.P., </w:t>
      </w:r>
      <w:proofErr w:type="spellStart"/>
      <w:r w:rsidRPr="00C735AD">
        <w:rPr>
          <w:sz w:val="24"/>
          <w:lang w:val="sk-SK"/>
        </w:rPr>
        <w:t>Beane</w:t>
      </w:r>
      <w:proofErr w:type="spellEnd"/>
      <w:r w:rsidRPr="00C735AD">
        <w:rPr>
          <w:sz w:val="24"/>
          <w:lang w:val="sk-SK"/>
        </w:rPr>
        <w:t xml:space="preserve"> </w:t>
      </w:r>
      <w:proofErr w:type="spellStart"/>
      <w:r w:rsidRPr="00C735AD">
        <w:rPr>
          <w:sz w:val="24"/>
          <w:lang w:val="sk-SK"/>
        </w:rPr>
        <w:t>Freeman</w:t>
      </w:r>
      <w:proofErr w:type="spellEnd"/>
      <w:r w:rsidRPr="00C735AD">
        <w:rPr>
          <w:sz w:val="24"/>
          <w:lang w:val="sk-SK"/>
        </w:rPr>
        <w:t>, L.E., „</w:t>
      </w:r>
      <w:proofErr w:type="spellStart"/>
      <w:r w:rsidRPr="00C735AD">
        <w:rPr>
          <w:sz w:val="24"/>
          <w:lang w:val="sk-SK"/>
        </w:rPr>
        <w:t>Dicamba</w:t>
      </w:r>
      <w:proofErr w:type="spellEnd"/>
      <w:r w:rsidRPr="00C735AD">
        <w:rPr>
          <w:sz w:val="24"/>
          <w:lang w:val="sk-SK"/>
        </w:rPr>
        <w:t xml:space="preserve"> </w:t>
      </w:r>
      <w:proofErr w:type="spellStart"/>
      <w:r w:rsidRPr="00C735AD">
        <w:rPr>
          <w:sz w:val="24"/>
          <w:lang w:val="sk-SK"/>
        </w:rPr>
        <w:t>use</w:t>
      </w:r>
      <w:proofErr w:type="spellEnd"/>
      <w:r w:rsidRPr="00C735AD">
        <w:rPr>
          <w:sz w:val="24"/>
          <w:lang w:val="sk-SK"/>
        </w:rPr>
        <w:t xml:space="preserve"> and </w:t>
      </w:r>
      <w:proofErr w:type="spellStart"/>
      <w:r w:rsidRPr="00C735AD">
        <w:rPr>
          <w:sz w:val="24"/>
          <w:lang w:val="sk-SK"/>
        </w:rPr>
        <w:t>cancer</w:t>
      </w:r>
      <w:proofErr w:type="spellEnd"/>
      <w:r w:rsidRPr="00C735AD">
        <w:rPr>
          <w:sz w:val="24"/>
          <w:lang w:val="sk-SK"/>
        </w:rPr>
        <w:t xml:space="preserve"> </w:t>
      </w:r>
      <w:proofErr w:type="spellStart"/>
      <w:r w:rsidRPr="00C735AD">
        <w:rPr>
          <w:sz w:val="24"/>
          <w:lang w:val="sk-SK"/>
        </w:rPr>
        <w:t>incidence</w:t>
      </w:r>
      <w:proofErr w:type="spellEnd"/>
      <w:r w:rsidRPr="00C735AD">
        <w:rPr>
          <w:sz w:val="24"/>
          <w:lang w:val="sk-SK"/>
        </w:rPr>
        <w:t xml:space="preserve"> in </w:t>
      </w:r>
      <w:proofErr w:type="spellStart"/>
      <w:r w:rsidRPr="00C735AD">
        <w:rPr>
          <w:sz w:val="24"/>
          <w:lang w:val="sk-SK"/>
        </w:rPr>
        <w:t>the</w:t>
      </w:r>
      <w:proofErr w:type="spellEnd"/>
      <w:r w:rsidRPr="00C735AD">
        <w:rPr>
          <w:sz w:val="24"/>
          <w:lang w:val="sk-SK"/>
        </w:rPr>
        <w:t xml:space="preserve"> </w:t>
      </w:r>
      <w:proofErr w:type="spellStart"/>
      <w:r w:rsidRPr="00C735AD">
        <w:rPr>
          <w:sz w:val="24"/>
          <w:lang w:val="sk-SK"/>
        </w:rPr>
        <w:t>agricultural</w:t>
      </w:r>
      <w:proofErr w:type="spellEnd"/>
      <w:r w:rsidRPr="00C735AD">
        <w:rPr>
          <w:sz w:val="24"/>
          <w:lang w:val="sk-SK"/>
        </w:rPr>
        <w:t xml:space="preserve"> </w:t>
      </w:r>
      <w:proofErr w:type="spellStart"/>
      <w:r w:rsidRPr="00C735AD">
        <w:rPr>
          <w:sz w:val="24"/>
          <w:lang w:val="sk-SK"/>
        </w:rPr>
        <w:t>health</w:t>
      </w:r>
      <w:proofErr w:type="spellEnd"/>
      <w:r w:rsidRPr="00C735AD">
        <w:rPr>
          <w:sz w:val="24"/>
          <w:lang w:val="sk-SK"/>
        </w:rPr>
        <w:t xml:space="preserve"> study: </w:t>
      </w:r>
      <w:proofErr w:type="spellStart"/>
      <w:r w:rsidRPr="00C735AD">
        <w:rPr>
          <w:sz w:val="24"/>
          <w:lang w:val="sk-SK"/>
        </w:rPr>
        <w:t>an</w:t>
      </w:r>
      <w:proofErr w:type="spellEnd"/>
      <w:r w:rsidRPr="00C735AD">
        <w:rPr>
          <w:sz w:val="24"/>
          <w:lang w:val="sk-SK"/>
        </w:rPr>
        <w:t xml:space="preserve"> </w:t>
      </w:r>
      <w:proofErr w:type="spellStart"/>
      <w:r w:rsidRPr="00C735AD">
        <w:rPr>
          <w:sz w:val="24"/>
          <w:lang w:val="sk-SK"/>
        </w:rPr>
        <w:t>updated</w:t>
      </w:r>
      <w:proofErr w:type="spellEnd"/>
      <w:r w:rsidRPr="00C735AD">
        <w:rPr>
          <w:sz w:val="24"/>
          <w:lang w:val="sk-SK"/>
        </w:rPr>
        <w:t xml:space="preserve"> </w:t>
      </w:r>
      <w:proofErr w:type="spellStart"/>
      <w:r w:rsidRPr="00C735AD">
        <w:rPr>
          <w:sz w:val="24"/>
          <w:lang w:val="sk-SK"/>
        </w:rPr>
        <w:t>analysis</w:t>
      </w:r>
      <w:proofErr w:type="spellEnd"/>
      <w:r w:rsidRPr="00C735AD">
        <w:rPr>
          <w:sz w:val="24"/>
          <w:lang w:val="sk-SK"/>
        </w:rPr>
        <w:t xml:space="preserve"> (Používanie </w:t>
      </w:r>
      <w:proofErr w:type="spellStart"/>
      <w:r w:rsidRPr="00C735AD">
        <w:rPr>
          <w:sz w:val="24"/>
          <w:lang w:val="sk-SK"/>
        </w:rPr>
        <w:t>dikamby</w:t>
      </w:r>
      <w:proofErr w:type="spellEnd"/>
      <w:r w:rsidRPr="00C735AD">
        <w:rPr>
          <w:sz w:val="24"/>
          <w:lang w:val="sk-SK"/>
        </w:rPr>
        <w:t xml:space="preserve"> a výskyt rakoviny v štúdii poľnohospodárskeho zdravia: aktualizovaná analýza), International </w:t>
      </w:r>
      <w:proofErr w:type="spellStart"/>
      <w:r w:rsidRPr="00C735AD">
        <w:rPr>
          <w:sz w:val="24"/>
          <w:lang w:val="sk-SK"/>
        </w:rPr>
        <w:t>Journal</w:t>
      </w:r>
      <w:proofErr w:type="spellEnd"/>
      <w:r w:rsidRPr="00C735AD">
        <w:rPr>
          <w:sz w:val="24"/>
          <w:lang w:val="sk-SK"/>
        </w:rPr>
        <w:t xml:space="preserve"> of </w:t>
      </w:r>
      <w:proofErr w:type="spellStart"/>
      <w:r w:rsidRPr="00C735AD">
        <w:rPr>
          <w:sz w:val="24"/>
          <w:lang w:val="sk-SK"/>
        </w:rPr>
        <w:t>Epidemiology</w:t>
      </w:r>
      <w:proofErr w:type="spellEnd"/>
      <w:r w:rsidRPr="00C735AD">
        <w:rPr>
          <w:sz w:val="24"/>
          <w:lang w:val="sk-SK"/>
        </w:rPr>
        <w:t>, august 2020; 49 ods. 4, s. </w:t>
      </w:r>
      <w:r w:rsidRPr="00C735AD">
        <w:rPr>
          <w:sz w:val="24"/>
          <w:lang w:val="sk-SK"/>
        </w:rPr>
        <w:t xml:space="preserve">1326 – 1337, </w:t>
      </w:r>
      <w:hyperlink r:id="rId16" w:history="1">
        <w:r w:rsidRPr="00C735AD">
          <w:rPr>
            <w:rStyle w:val="Hyperlink"/>
            <w:sz w:val="24"/>
            <w:lang w:val="sk-SK"/>
          </w:rPr>
          <w:t>https://academic.oup.com/ije/advance-article-abstract/doi/10.1093/ije/dyaa066/5827818?redirectedFrom=fulltext</w:t>
        </w:r>
      </w:hyperlink>
      <w:r w:rsidRPr="00C735AD">
        <w:rPr>
          <w:rStyle w:val="Hyperlink"/>
          <w:sz w:val="24"/>
          <w:lang w:val="sk-SK"/>
        </w:rPr>
        <w:t>.</w:t>
      </w:r>
    </w:p>
  </w:footnote>
  <w:footnote w:id="9">
    <w:p w:rsidR="00EF7F30" w:rsidRPr="00C735AD" w:rsidRDefault="00EF7F30" w:rsidP="00C735AD">
      <w:pPr>
        <w:pStyle w:val="FootnoteText"/>
        <w:ind w:left="567" w:hanging="567"/>
        <w:rPr>
          <w:sz w:val="24"/>
          <w:lang w:val="sk-SK"/>
        </w:rPr>
      </w:pPr>
      <w:r w:rsidRPr="00C735AD">
        <w:rPr>
          <w:rStyle w:val="FootnoteReference"/>
          <w:rFonts w:eastAsiaTheme="majorEastAsia"/>
          <w:sz w:val="24"/>
          <w:lang w:val="sk-SK"/>
        </w:rPr>
        <w:footnoteRef/>
      </w:r>
      <w:r w:rsidR="00C735AD" w:rsidRPr="00C735AD">
        <w:rPr>
          <w:sz w:val="24"/>
          <w:lang w:val="sk-SK"/>
        </w:rPr>
        <w:t xml:space="preserve"> </w:t>
      </w:r>
      <w:r w:rsidR="00C735AD" w:rsidRPr="00C735AD">
        <w:rPr>
          <w:sz w:val="24"/>
          <w:lang w:val="sk-SK"/>
        </w:rPr>
        <w:tab/>
      </w:r>
      <w:hyperlink r:id="rId17" w:history="1">
        <w:r w:rsidRPr="00C735AD">
          <w:rPr>
            <w:rStyle w:val="Hyperlink"/>
            <w:sz w:val="24"/>
            <w:lang w:val="sk-SK"/>
          </w:rPr>
          <w:t>https://hh-ra.org/projects/measuring-pesticide-use/interactive-herbicide-use-tables/</w:t>
        </w:r>
      </w:hyperlink>
      <w:r w:rsidRPr="00C735AD">
        <w:rPr>
          <w:rStyle w:val="Hyperlink"/>
          <w:sz w:val="24"/>
          <w:lang w:val="sk-SK"/>
        </w:rPr>
        <w:t>.</w:t>
      </w:r>
    </w:p>
  </w:footnote>
  <w:footnote w:id="10">
    <w:p w:rsidR="00EF7F30" w:rsidRPr="00C735AD" w:rsidRDefault="00EF7F30" w:rsidP="00C735AD">
      <w:pPr>
        <w:pStyle w:val="FootnoteText"/>
        <w:ind w:left="567" w:hanging="567"/>
        <w:rPr>
          <w:sz w:val="24"/>
          <w:vertAlign w:val="superscript"/>
          <w:lang w:val="sk-SK"/>
        </w:rPr>
      </w:pPr>
      <w:r w:rsidRPr="00C735AD">
        <w:rPr>
          <w:rStyle w:val="FootnoteReference"/>
          <w:rFonts w:eastAsiaTheme="majorEastAsia"/>
          <w:sz w:val="24"/>
          <w:lang w:val="sk-SK"/>
        </w:rPr>
        <w:footnoteRef/>
      </w:r>
      <w:r w:rsidR="00C735AD" w:rsidRPr="00C735AD">
        <w:rPr>
          <w:sz w:val="24"/>
          <w:lang w:val="sk-SK"/>
        </w:rPr>
        <w:t xml:space="preserve"> </w:t>
      </w:r>
      <w:r w:rsidR="00C735AD" w:rsidRPr="00C735AD">
        <w:rPr>
          <w:sz w:val="24"/>
          <w:lang w:val="sk-SK"/>
        </w:rPr>
        <w:tab/>
      </w:r>
      <w:r w:rsidRPr="00C735AD">
        <w:rPr>
          <w:sz w:val="24"/>
          <w:lang w:val="sk-SK"/>
        </w:rPr>
        <w:t xml:space="preserve">Pozri napríklad: </w:t>
      </w:r>
      <w:hyperlink r:id="rId18" w:history="1">
        <w:r w:rsidRPr="00C735AD">
          <w:rPr>
            <w:rStyle w:val="Hyperlink"/>
            <w:sz w:val="24"/>
            <w:lang w:val="sk-SK"/>
          </w:rPr>
          <w:t>https://www.sciencedirect.com/science/article/pii/S1383574218300887</w:t>
        </w:r>
      </w:hyperlink>
      <w:r w:rsidRPr="00C735AD">
        <w:rPr>
          <w:rStyle w:val="Hyperlink"/>
          <w:sz w:val="24"/>
          <w:lang w:val="sk-SK"/>
        </w:rPr>
        <w:t>,</w:t>
      </w:r>
      <w:r w:rsidRPr="00C735AD">
        <w:rPr>
          <w:sz w:val="24"/>
          <w:lang w:val="sk-SK"/>
        </w:rPr>
        <w:t xml:space="preserve"> </w:t>
      </w:r>
    </w:p>
    <w:p w:rsidR="00EF7F30" w:rsidRPr="00C735AD" w:rsidRDefault="00C735AD" w:rsidP="00C735AD">
      <w:pPr>
        <w:pStyle w:val="FootnoteText"/>
        <w:ind w:left="567" w:hanging="567"/>
        <w:rPr>
          <w:sz w:val="24"/>
          <w:vertAlign w:val="superscript"/>
          <w:lang w:val="sk-SK"/>
        </w:rPr>
      </w:pPr>
      <w:r w:rsidRPr="00C735AD">
        <w:rPr>
          <w:sz w:val="24"/>
          <w:lang w:val="sk-SK"/>
        </w:rPr>
        <w:t xml:space="preserve"> </w:t>
      </w:r>
      <w:r w:rsidRPr="00C735AD">
        <w:rPr>
          <w:sz w:val="24"/>
          <w:lang w:val="sk-SK"/>
        </w:rPr>
        <w:tab/>
      </w:r>
      <w:hyperlink r:id="rId19" w:history="1">
        <w:r w:rsidR="00EF7F30" w:rsidRPr="00C735AD">
          <w:rPr>
            <w:rStyle w:val="Hyperlink"/>
            <w:sz w:val="24"/>
            <w:lang w:val="sk-SK"/>
          </w:rPr>
          <w:t>https://academic.oup.com/ije/advance-article/doi/10.1093/ije/dyz017/5382278</w:t>
        </w:r>
      </w:hyperlink>
      <w:r w:rsidR="00EF7F30" w:rsidRPr="00C735AD">
        <w:rPr>
          <w:rStyle w:val="Hyperlink"/>
          <w:sz w:val="24"/>
          <w:lang w:val="sk-SK"/>
        </w:rPr>
        <w:t>,</w:t>
      </w:r>
      <w:r w:rsidR="00EF7F30" w:rsidRPr="00C735AD">
        <w:rPr>
          <w:sz w:val="24"/>
          <w:lang w:val="sk-SK"/>
        </w:rPr>
        <w:t xml:space="preserve"> </w:t>
      </w:r>
    </w:p>
    <w:p w:rsidR="00EF7F30" w:rsidRPr="00C735AD" w:rsidRDefault="00C735AD" w:rsidP="00C735AD">
      <w:pPr>
        <w:pStyle w:val="FootnoteText"/>
        <w:ind w:left="567" w:hanging="567"/>
        <w:rPr>
          <w:sz w:val="24"/>
          <w:vertAlign w:val="superscript"/>
          <w:lang w:val="sk-SK"/>
        </w:rPr>
      </w:pPr>
      <w:r w:rsidRPr="00C735AD">
        <w:rPr>
          <w:sz w:val="24"/>
          <w:lang w:val="sk-SK"/>
        </w:rPr>
        <w:t xml:space="preserve"> </w:t>
      </w:r>
      <w:r w:rsidRPr="00C735AD">
        <w:rPr>
          <w:sz w:val="24"/>
          <w:lang w:val="sk-SK"/>
        </w:rPr>
        <w:tab/>
      </w:r>
      <w:hyperlink r:id="rId20" w:history="1">
        <w:r w:rsidR="00EF7F30" w:rsidRPr="00C735AD">
          <w:rPr>
            <w:rStyle w:val="Hyperlink"/>
            <w:sz w:val="24"/>
            <w:lang w:val="sk-SK"/>
          </w:rPr>
          <w:t>https://journals.plos.org/plosone/article?id=10.1371/journal.pone.0219610</w:t>
        </w:r>
      </w:hyperlink>
      <w:r w:rsidR="00EF7F30" w:rsidRPr="00C735AD">
        <w:rPr>
          <w:sz w:val="24"/>
          <w:lang w:val="sk-SK"/>
        </w:rPr>
        <w:t xml:space="preserve"> a</w:t>
      </w:r>
    </w:p>
    <w:p w:rsidR="00EF7F30" w:rsidRPr="00C735AD" w:rsidRDefault="00C735AD" w:rsidP="00C735AD">
      <w:pPr>
        <w:pStyle w:val="FootnoteText"/>
        <w:ind w:left="567" w:hanging="567"/>
        <w:rPr>
          <w:sz w:val="24"/>
          <w:lang w:val="sk-SK"/>
        </w:rPr>
      </w:pPr>
      <w:r w:rsidRPr="00C735AD">
        <w:rPr>
          <w:sz w:val="24"/>
          <w:lang w:val="sk-SK"/>
        </w:rPr>
        <w:t xml:space="preserve"> </w:t>
      </w:r>
      <w:r w:rsidRPr="00C735AD">
        <w:rPr>
          <w:sz w:val="24"/>
          <w:lang w:val="sk-SK"/>
        </w:rPr>
        <w:tab/>
      </w:r>
      <w:hyperlink r:id="rId21" w:history="1">
        <w:r w:rsidR="00EF7F30" w:rsidRPr="00C735AD">
          <w:rPr>
            <w:rStyle w:val="Hyperlink"/>
            <w:sz w:val="24"/>
            <w:lang w:val="sk-SK"/>
          </w:rPr>
          <w:t>https://www.ncbi.nlm.nih.gov/pmc/articles/PMC6612199/</w:t>
        </w:r>
      </w:hyperlink>
      <w:r w:rsidR="00EF7F30" w:rsidRPr="00C735AD">
        <w:rPr>
          <w:sz w:val="24"/>
          <w:lang w:val="sk-SK"/>
        </w:rPr>
        <w:t>.</w:t>
      </w:r>
    </w:p>
  </w:footnote>
  <w:footnote w:id="11">
    <w:p w:rsidR="00EF7F30" w:rsidRPr="00C735AD" w:rsidRDefault="00EF7F30" w:rsidP="00C735AD">
      <w:pPr>
        <w:pStyle w:val="FootnoteText"/>
        <w:ind w:left="567" w:hanging="567"/>
        <w:rPr>
          <w:sz w:val="24"/>
          <w:lang w:val="sk-SK"/>
        </w:rPr>
      </w:pPr>
      <w:r w:rsidRPr="00C735AD">
        <w:rPr>
          <w:rStyle w:val="FootnoteReference"/>
          <w:rFonts w:eastAsiaTheme="majorEastAsia"/>
          <w:sz w:val="24"/>
          <w:lang w:val="sk-SK"/>
        </w:rPr>
        <w:footnoteRef/>
      </w:r>
      <w:r w:rsidR="00C735AD" w:rsidRPr="00C735AD">
        <w:rPr>
          <w:sz w:val="24"/>
          <w:lang w:val="sk-SK"/>
        </w:rPr>
        <w:t xml:space="preserve"> </w:t>
      </w:r>
      <w:r w:rsidR="00C735AD" w:rsidRPr="00C735AD">
        <w:rPr>
          <w:sz w:val="24"/>
          <w:lang w:val="sk-SK"/>
        </w:rPr>
        <w:tab/>
      </w:r>
      <w:hyperlink r:id="rId22" w:history="1">
        <w:r w:rsidRPr="00C735AD">
          <w:rPr>
            <w:rStyle w:val="Hyperlink"/>
            <w:sz w:val="24"/>
            <w:lang w:val="sk-SK"/>
          </w:rPr>
          <w:t>https://www.ncbi.nlm.nih.gov/pubmed/24491722</w:t>
        </w:r>
      </w:hyperlink>
      <w:r w:rsidRPr="00C735AD">
        <w:rPr>
          <w:rStyle w:val="Hyperlink"/>
          <w:sz w:val="24"/>
          <w:lang w:val="sk-SK"/>
        </w:rPr>
        <w:t>.</w:t>
      </w:r>
      <w:r w:rsidRPr="00C735AD">
        <w:rPr>
          <w:sz w:val="24"/>
          <w:lang w:val="sk-SK"/>
        </w:rPr>
        <w:t xml:space="preserve"> </w:t>
      </w:r>
    </w:p>
  </w:footnote>
  <w:footnote w:id="12">
    <w:p w:rsidR="00EF7F30" w:rsidRPr="00C735AD" w:rsidRDefault="00EF7F30" w:rsidP="00C735AD">
      <w:pPr>
        <w:pStyle w:val="FootnoteText"/>
        <w:ind w:left="567" w:hanging="567"/>
        <w:rPr>
          <w:sz w:val="24"/>
          <w:lang w:val="sk-SK"/>
        </w:rPr>
      </w:pPr>
      <w:r w:rsidRPr="00C735AD">
        <w:rPr>
          <w:rStyle w:val="FootnoteReference"/>
          <w:rFonts w:eastAsiaTheme="majorEastAsia"/>
          <w:sz w:val="24"/>
          <w:lang w:val="sk-SK"/>
        </w:rPr>
        <w:footnoteRef/>
      </w:r>
      <w:r w:rsidR="00C735AD" w:rsidRPr="00C735AD">
        <w:rPr>
          <w:sz w:val="24"/>
          <w:lang w:val="sk-SK"/>
        </w:rPr>
        <w:t xml:space="preserve"> </w:t>
      </w:r>
      <w:r w:rsidR="00C735AD" w:rsidRPr="00C735AD">
        <w:rPr>
          <w:sz w:val="24"/>
          <w:lang w:val="sk-SK"/>
        </w:rPr>
        <w:tab/>
      </w:r>
      <w:hyperlink r:id="rId23" w:history="1">
        <w:r w:rsidRPr="00C735AD">
          <w:rPr>
            <w:rStyle w:val="Hyperlink"/>
            <w:sz w:val="24"/>
            <w:lang w:val="sk-SK"/>
          </w:rPr>
          <w:t>https://www.testbiotech.org/en/resource/high-levels-residues-spraying-glyphosate-found-soybeans-argentina/</w:t>
        </w:r>
      </w:hyperlink>
    </w:p>
  </w:footnote>
  <w:footnote w:id="13">
    <w:p w:rsidR="00EF7F30" w:rsidRPr="00C735AD" w:rsidRDefault="00EF7F30" w:rsidP="00C735AD">
      <w:pPr>
        <w:pStyle w:val="FootnoteText"/>
        <w:ind w:left="567" w:hanging="567"/>
        <w:rPr>
          <w:sz w:val="24"/>
          <w:lang w:val="sk-SK"/>
        </w:rPr>
      </w:pPr>
      <w:r w:rsidRPr="00C735AD">
        <w:rPr>
          <w:rStyle w:val="FootnoteReference"/>
          <w:rFonts w:eastAsiaTheme="majorEastAsia"/>
          <w:sz w:val="24"/>
          <w:lang w:val="sk-SK"/>
        </w:rPr>
        <w:footnoteRef/>
      </w:r>
      <w:r w:rsidR="00C735AD" w:rsidRPr="00C735AD">
        <w:rPr>
          <w:sz w:val="24"/>
          <w:lang w:val="sk-SK"/>
        </w:rPr>
        <w:t xml:space="preserve"> </w:t>
      </w:r>
      <w:r w:rsidR="00C735AD" w:rsidRPr="00C735AD">
        <w:rPr>
          <w:sz w:val="24"/>
          <w:lang w:val="sk-SK"/>
        </w:rPr>
        <w:tab/>
      </w:r>
      <w:r w:rsidRPr="00C735AD">
        <w:rPr>
          <w:sz w:val="24"/>
          <w:lang w:val="sk-SK"/>
        </w:rPr>
        <w:t xml:space="preserve">Určite to platí v prípade </w:t>
      </w:r>
      <w:proofErr w:type="spellStart"/>
      <w:r w:rsidRPr="00C735AD">
        <w:rPr>
          <w:sz w:val="24"/>
          <w:lang w:val="sk-SK"/>
        </w:rPr>
        <w:t>glyfozátu</w:t>
      </w:r>
      <w:proofErr w:type="spellEnd"/>
      <w:r w:rsidRPr="00C735AD">
        <w:rPr>
          <w:sz w:val="24"/>
          <w:lang w:val="sk-SK"/>
        </w:rPr>
        <w:t xml:space="preserve">, ako sa uvádza v Preskúmaní úradu EFSA týkajúcom sa existujúcich maximálnych hladín rezíduí pre </w:t>
      </w:r>
      <w:proofErr w:type="spellStart"/>
      <w:r w:rsidRPr="00C735AD">
        <w:rPr>
          <w:sz w:val="24"/>
          <w:lang w:val="sk-SK"/>
        </w:rPr>
        <w:t>glyfozát</w:t>
      </w:r>
      <w:proofErr w:type="spellEnd"/>
      <w:r w:rsidRPr="00C735AD">
        <w:rPr>
          <w:sz w:val="24"/>
          <w:lang w:val="sk-SK"/>
        </w:rPr>
        <w:t xml:space="preserve"> podľa článku 12 nariadenia (ES) č. 396/2005, Vestník EFSA 2018;16(5):5263, s. </w:t>
      </w:r>
      <w:r w:rsidRPr="00C735AD">
        <w:rPr>
          <w:sz w:val="24"/>
          <w:lang w:val="sk-SK"/>
        </w:rPr>
        <w:t>12,</w:t>
      </w:r>
      <w:r w:rsidRPr="00C735AD">
        <w:rPr>
          <w:rStyle w:val="Hyperlink"/>
          <w:sz w:val="24"/>
          <w:lang w:val="sk-SK"/>
        </w:rPr>
        <w:t xml:space="preserve"> </w:t>
      </w:r>
      <w:hyperlink r:id="rId24" w:history="1">
        <w:r w:rsidRPr="00C735AD">
          <w:rPr>
            <w:rStyle w:val="Hyperlink"/>
            <w:sz w:val="24"/>
            <w:lang w:val="sk-SK"/>
          </w:rPr>
          <w:t>https://efsa.onlinelibrary.wiley.com/doi/abs/10.2903/j.efsa.2018.5263</w:t>
        </w:r>
      </w:hyperlink>
      <w:r w:rsidRPr="00C735AD">
        <w:rPr>
          <w:rStyle w:val="Hyperlink"/>
          <w:sz w:val="24"/>
          <w:lang w:val="sk-SK"/>
        </w:rPr>
        <w:t>.</w:t>
      </w:r>
    </w:p>
  </w:footnote>
  <w:footnote w:id="14">
    <w:p w:rsidR="00EF7F30" w:rsidRPr="00C735AD" w:rsidRDefault="00EF7F30" w:rsidP="00C735AD">
      <w:pPr>
        <w:pStyle w:val="FootnoteText"/>
        <w:ind w:left="567" w:hanging="567"/>
        <w:rPr>
          <w:sz w:val="24"/>
          <w:lang w:val="sk-SK"/>
        </w:rPr>
      </w:pPr>
      <w:r w:rsidRPr="00C735AD">
        <w:rPr>
          <w:rStyle w:val="FootnoteReference"/>
          <w:sz w:val="24"/>
          <w:lang w:val="sk-SK"/>
        </w:rPr>
        <w:footnoteRef/>
      </w:r>
      <w:r w:rsidR="00C735AD" w:rsidRPr="00C735AD">
        <w:rPr>
          <w:sz w:val="24"/>
          <w:lang w:val="sk-SK"/>
        </w:rPr>
        <w:t xml:space="preserve"> </w:t>
      </w:r>
      <w:r w:rsidR="00C735AD" w:rsidRPr="00C735AD">
        <w:rPr>
          <w:sz w:val="24"/>
          <w:lang w:val="sk-SK"/>
        </w:rPr>
        <w:tab/>
      </w:r>
      <w:proofErr w:type="spellStart"/>
      <w:r w:rsidRPr="00C735AD">
        <w:rPr>
          <w:sz w:val="24"/>
          <w:lang w:val="sk-SK"/>
        </w:rPr>
        <w:t>Strategic</w:t>
      </w:r>
      <w:proofErr w:type="spellEnd"/>
      <w:r w:rsidRPr="00C735AD">
        <w:rPr>
          <w:sz w:val="24"/>
          <w:lang w:val="sk-SK"/>
        </w:rPr>
        <w:t xml:space="preserve"> </w:t>
      </w:r>
      <w:proofErr w:type="spellStart"/>
      <w:r w:rsidRPr="00C735AD">
        <w:rPr>
          <w:sz w:val="24"/>
          <w:lang w:val="sk-SK"/>
        </w:rPr>
        <w:t>Dialogue</w:t>
      </w:r>
      <w:proofErr w:type="spellEnd"/>
      <w:r w:rsidRPr="00C735AD">
        <w:rPr>
          <w:sz w:val="24"/>
          <w:lang w:val="sk-SK"/>
        </w:rPr>
        <w:t xml:space="preserve"> on </w:t>
      </w:r>
      <w:proofErr w:type="spellStart"/>
      <w:r w:rsidRPr="00C735AD">
        <w:rPr>
          <w:sz w:val="24"/>
          <w:lang w:val="sk-SK"/>
        </w:rPr>
        <w:t>the</w:t>
      </w:r>
      <w:proofErr w:type="spellEnd"/>
      <w:r w:rsidRPr="00C735AD">
        <w:rPr>
          <w:sz w:val="24"/>
          <w:lang w:val="sk-SK"/>
        </w:rPr>
        <w:t xml:space="preserve"> </w:t>
      </w:r>
      <w:proofErr w:type="spellStart"/>
      <w:r w:rsidRPr="00C735AD">
        <w:rPr>
          <w:sz w:val="24"/>
          <w:lang w:val="sk-SK"/>
        </w:rPr>
        <w:t>Future</w:t>
      </w:r>
      <w:proofErr w:type="spellEnd"/>
      <w:r w:rsidRPr="00C735AD">
        <w:rPr>
          <w:sz w:val="24"/>
          <w:lang w:val="sk-SK"/>
        </w:rPr>
        <w:t xml:space="preserve"> of EU </w:t>
      </w:r>
      <w:proofErr w:type="spellStart"/>
      <w:r w:rsidRPr="00C735AD">
        <w:rPr>
          <w:sz w:val="24"/>
          <w:lang w:val="sk-SK"/>
        </w:rPr>
        <w:t>Agriculture</w:t>
      </w:r>
      <w:proofErr w:type="spellEnd"/>
      <w:r w:rsidRPr="00C735AD">
        <w:rPr>
          <w:sz w:val="24"/>
          <w:lang w:val="sk-SK"/>
        </w:rPr>
        <w:t xml:space="preserve"> - A </w:t>
      </w:r>
      <w:proofErr w:type="spellStart"/>
      <w:r w:rsidRPr="00C735AD">
        <w:rPr>
          <w:sz w:val="24"/>
          <w:lang w:val="sk-SK"/>
        </w:rPr>
        <w:t>shared</w:t>
      </w:r>
      <w:proofErr w:type="spellEnd"/>
      <w:r w:rsidRPr="00C735AD">
        <w:rPr>
          <w:sz w:val="24"/>
          <w:lang w:val="sk-SK"/>
        </w:rPr>
        <w:t xml:space="preserve"> </w:t>
      </w:r>
      <w:proofErr w:type="spellStart"/>
      <w:r w:rsidRPr="00C735AD">
        <w:rPr>
          <w:sz w:val="24"/>
          <w:lang w:val="sk-SK"/>
        </w:rPr>
        <w:t>prospect</w:t>
      </w:r>
      <w:proofErr w:type="spellEnd"/>
      <w:r w:rsidRPr="00C735AD">
        <w:rPr>
          <w:sz w:val="24"/>
          <w:lang w:val="sk-SK"/>
        </w:rPr>
        <w:t xml:space="preserve"> </w:t>
      </w:r>
      <w:proofErr w:type="spellStart"/>
      <w:r w:rsidRPr="00C735AD">
        <w:rPr>
          <w:sz w:val="24"/>
          <w:lang w:val="sk-SK"/>
        </w:rPr>
        <w:t>for</w:t>
      </w:r>
      <w:proofErr w:type="spellEnd"/>
      <w:r w:rsidRPr="00C735AD">
        <w:rPr>
          <w:sz w:val="24"/>
          <w:lang w:val="sk-SK"/>
        </w:rPr>
        <w:t xml:space="preserve"> </w:t>
      </w:r>
      <w:proofErr w:type="spellStart"/>
      <w:r w:rsidRPr="00C735AD">
        <w:rPr>
          <w:sz w:val="24"/>
          <w:lang w:val="sk-SK"/>
        </w:rPr>
        <w:t>farming</w:t>
      </w:r>
      <w:proofErr w:type="spellEnd"/>
      <w:r w:rsidRPr="00C735AD">
        <w:rPr>
          <w:sz w:val="24"/>
          <w:lang w:val="sk-SK"/>
        </w:rPr>
        <w:t xml:space="preserve"> and </w:t>
      </w:r>
      <w:proofErr w:type="spellStart"/>
      <w:r w:rsidRPr="00C735AD">
        <w:rPr>
          <w:sz w:val="24"/>
          <w:lang w:val="sk-SK"/>
        </w:rPr>
        <w:t>food</w:t>
      </w:r>
      <w:proofErr w:type="spellEnd"/>
      <w:r w:rsidRPr="00C735AD">
        <w:rPr>
          <w:sz w:val="24"/>
          <w:lang w:val="sk-SK"/>
        </w:rPr>
        <w:t xml:space="preserve"> in </w:t>
      </w:r>
      <w:proofErr w:type="spellStart"/>
      <w:r w:rsidRPr="00C735AD">
        <w:rPr>
          <w:sz w:val="24"/>
          <w:lang w:val="sk-SK"/>
        </w:rPr>
        <w:t>Europe</w:t>
      </w:r>
      <w:proofErr w:type="spellEnd"/>
      <w:r w:rsidRPr="00C735AD">
        <w:rPr>
          <w:sz w:val="24"/>
          <w:lang w:val="sk-SK"/>
        </w:rPr>
        <w:t xml:space="preserve"> (Strategický dialóg o budúcnosti poľnohospodárstva v EÚ – Spoločná vízia poľnohospodárstva a potravinárstva v Európe), 2024, </w:t>
      </w:r>
      <w:hyperlink r:id="rId25" w:history="1">
        <w:r w:rsidRPr="00C735AD">
          <w:rPr>
            <w:rStyle w:val="Hyperlink"/>
            <w:sz w:val="24"/>
            <w:lang w:val="sk-SK"/>
          </w:rPr>
          <w:t>https://agriculture.ec.europa.eu/document/download/171329ff-0f50-4fa5-946f-aea11032172e_en?filename=strategic-dialogue-report-2024_en.pdf</w:t>
        </w:r>
      </w:hyperlink>
      <w:r w:rsidRPr="00C735AD">
        <w:rPr>
          <w:rStyle w:val="Hyperlink"/>
          <w:sz w:val="24"/>
          <w:lang w:val="sk-SK"/>
        </w:rPr>
        <w:t>.</w:t>
      </w:r>
    </w:p>
  </w:footnote>
  <w:footnote w:id="15">
    <w:p w:rsidR="00EF7F30" w:rsidRPr="00C735AD" w:rsidRDefault="00EF7F30" w:rsidP="00C735AD">
      <w:pPr>
        <w:pStyle w:val="NoSpacing"/>
        <w:ind w:left="567" w:hanging="567"/>
        <w:jc w:val="left"/>
        <w:rPr>
          <w:szCs w:val="20"/>
        </w:rPr>
      </w:pPr>
      <w:r w:rsidRPr="00C735AD">
        <w:rPr>
          <w:rStyle w:val="FootnoteReference"/>
          <w:szCs w:val="20"/>
        </w:rPr>
        <w:footnoteRef/>
      </w:r>
      <w:r w:rsidR="00C735AD" w:rsidRPr="00C735AD">
        <w:t xml:space="preserve"> </w:t>
      </w:r>
      <w:r w:rsidR="00C735AD" w:rsidRPr="00C735AD">
        <w:tab/>
      </w:r>
      <w:r w:rsidRPr="00C735AD">
        <w:t xml:space="preserve">A/HRC/34/48: Správa osobitného spravodajcu o práve na potraviny </w:t>
      </w:r>
      <w:hyperlink r:id="rId26" w:history="1">
        <w:r w:rsidRPr="00C735AD">
          <w:rPr>
            <w:rStyle w:val="Hyperlink"/>
          </w:rPr>
          <w:t>https://www.ohchr.org/en/documents/thematic-reports/ahrc3448-report-special-rapporteur-right-food</w:t>
        </w:r>
      </w:hyperlink>
      <w:r w:rsidRPr="00C735AD">
        <w:t>.</w:t>
      </w:r>
    </w:p>
  </w:footnote>
  <w:footnote w:id="16">
    <w:p w:rsidR="00EF7F30" w:rsidRPr="00C735AD" w:rsidRDefault="00EF7F30" w:rsidP="00C735AD">
      <w:pPr>
        <w:pStyle w:val="FootnoteText"/>
        <w:ind w:left="567" w:hanging="567"/>
        <w:rPr>
          <w:sz w:val="24"/>
          <w:lang w:val="sk-SK"/>
        </w:rPr>
      </w:pPr>
      <w:r w:rsidRPr="00C735AD">
        <w:rPr>
          <w:rStyle w:val="FootnoteReference"/>
          <w:sz w:val="24"/>
          <w:lang w:val="sk-SK"/>
        </w:rPr>
        <w:footnoteRef/>
      </w:r>
      <w:r w:rsidR="00C735AD" w:rsidRPr="00C735AD">
        <w:rPr>
          <w:sz w:val="24"/>
          <w:lang w:val="sk-SK"/>
        </w:rPr>
        <w:t xml:space="preserve"> </w:t>
      </w:r>
      <w:r w:rsidR="00C735AD" w:rsidRPr="00C735AD">
        <w:rPr>
          <w:sz w:val="24"/>
          <w:lang w:val="sk-SK"/>
        </w:rPr>
        <w:tab/>
      </w:r>
      <w:hyperlink r:id="rId27" w:history="1">
        <w:r w:rsidRPr="00C735AD">
          <w:rPr>
            <w:rStyle w:val="Hyperlink"/>
            <w:sz w:val="24"/>
            <w:lang w:val="sk-SK"/>
          </w:rPr>
          <w:t>https://indicators.report/targets/3-9/</w:t>
        </w:r>
      </w:hyperlink>
      <w:r w:rsidRPr="00C735AD">
        <w:rPr>
          <w:rStyle w:val="Hyperlink"/>
          <w:sz w:val="24"/>
          <w:lang w:val="sk-SK"/>
        </w:rPr>
        <w:t>.</w:t>
      </w:r>
    </w:p>
  </w:footnote>
  <w:footnote w:id="17">
    <w:p w:rsidR="00EF7F30" w:rsidRPr="00C735AD" w:rsidRDefault="00EF7F30" w:rsidP="00C735AD">
      <w:pPr>
        <w:pStyle w:val="FootnoteText"/>
        <w:ind w:left="567" w:hanging="567"/>
        <w:rPr>
          <w:sz w:val="24"/>
          <w:lang w:val="sk-SK"/>
        </w:rPr>
      </w:pPr>
      <w:r w:rsidRPr="00C735AD">
        <w:rPr>
          <w:rStyle w:val="FootnoteReference"/>
          <w:sz w:val="24"/>
          <w:lang w:val="sk-SK"/>
        </w:rPr>
        <w:footnoteRef/>
      </w:r>
      <w:r w:rsidR="00C735AD" w:rsidRPr="00C735AD">
        <w:rPr>
          <w:sz w:val="24"/>
          <w:lang w:val="sk-SK"/>
        </w:rPr>
        <w:t xml:space="preserve"> </w:t>
      </w:r>
      <w:r w:rsidR="00C735AD" w:rsidRPr="00C735AD">
        <w:rPr>
          <w:sz w:val="24"/>
          <w:lang w:val="sk-SK"/>
        </w:rPr>
        <w:tab/>
      </w:r>
      <w:r w:rsidRPr="00C735AD">
        <w:rPr>
          <w:sz w:val="24"/>
          <w:lang w:val="sk-SK"/>
        </w:rPr>
        <w:t xml:space="preserve">pozri: </w:t>
      </w:r>
      <w:hyperlink r:id="rId28" w:history="1">
        <w:r w:rsidRPr="00C735AD">
          <w:rPr>
            <w:rStyle w:val="Hyperlink"/>
            <w:sz w:val="24"/>
            <w:lang w:val="sk-SK"/>
          </w:rPr>
          <w:t>https://ec.europa.eu/commission/presscorner/detail/sk/ip_22_7834.</w:t>
        </w:r>
      </w:hyperlink>
    </w:p>
  </w:footnote>
  <w:footnote w:id="18">
    <w:p w:rsidR="00EF7F30" w:rsidRPr="00C735AD" w:rsidRDefault="00EF7F30" w:rsidP="00C735AD">
      <w:pPr>
        <w:pStyle w:val="FootnoteText"/>
        <w:ind w:left="567" w:hanging="567"/>
        <w:rPr>
          <w:sz w:val="24"/>
          <w:lang w:val="sk-SK"/>
        </w:rPr>
      </w:pPr>
      <w:r w:rsidRPr="00C735AD">
        <w:rPr>
          <w:rStyle w:val="FootnoteReference"/>
          <w:rFonts w:eastAsiaTheme="majorEastAsia"/>
          <w:sz w:val="24"/>
          <w:lang w:val="sk-SK"/>
        </w:rPr>
        <w:footnoteRef/>
      </w:r>
      <w:r w:rsidR="00C735AD" w:rsidRPr="00C735AD">
        <w:rPr>
          <w:sz w:val="24"/>
          <w:lang w:val="sk-SK"/>
        </w:rPr>
        <w:t xml:space="preserve"> </w:t>
      </w:r>
      <w:r w:rsidR="00C735AD" w:rsidRPr="00C735AD">
        <w:rPr>
          <w:sz w:val="24"/>
          <w:lang w:val="sk-SK"/>
        </w:rPr>
        <w:tab/>
      </w:r>
      <w:r w:rsidRPr="00C735AD">
        <w:rPr>
          <w:sz w:val="24"/>
          <w:lang w:val="sk-SK"/>
        </w:rPr>
        <w:t xml:space="preserve">V decembri 2022 bol na 15. </w:t>
      </w:r>
      <w:r w:rsidRPr="00C735AD">
        <w:rPr>
          <w:sz w:val="24"/>
          <w:lang w:val="sk-SK"/>
        </w:rPr>
        <w:t>konferencii zmluvných strán Dohovoru OSN o biologickej diverzite schválený globálny rámec pre biodiverzitu, ktorý zahŕňa globálny cieľ znížiť do roku 2030 riziko používania pesticídov aspoň o 50 % (pozri:</w:t>
      </w:r>
      <w:r w:rsidRPr="00C735AD">
        <w:rPr>
          <w:color w:val="000000" w:themeColor="text1"/>
          <w:sz w:val="24"/>
          <w:lang w:val="sk-SK"/>
        </w:rPr>
        <w:t xml:space="preserve"> </w:t>
      </w:r>
      <w:hyperlink r:id="rId29" w:history="1">
        <w:r w:rsidRPr="00C735AD">
          <w:rPr>
            <w:rStyle w:val="Hyperlink"/>
            <w:sz w:val="24"/>
            <w:lang w:val="sk-SK"/>
          </w:rPr>
          <w:t>https://ec.europa.eu/commission/presscorner/detail/sk/ip_22_7834)</w:t>
        </w:r>
      </w:hyperlink>
      <w:r w:rsidRPr="00C735AD">
        <w:rPr>
          <w:sz w:val="24"/>
          <w:lang w:val="sk-SK"/>
        </w:rPr>
        <w:t xml:space="preserve">. </w:t>
      </w:r>
    </w:p>
  </w:footnote>
  <w:footnote w:id="19">
    <w:p w:rsidR="00EF7F30" w:rsidRPr="00C735AD" w:rsidRDefault="00EF7F30" w:rsidP="00C735AD">
      <w:pPr>
        <w:pStyle w:val="FootnoteText"/>
        <w:ind w:left="567" w:hanging="567"/>
        <w:rPr>
          <w:sz w:val="24"/>
          <w:lang w:val="sk-SK"/>
        </w:rPr>
      </w:pPr>
      <w:r w:rsidRPr="00C735AD">
        <w:rPr>
          <w:rStyle w:val="FootnoteReference"/>
          <w:rFonts w:eastAsiaTheme="majorEastAsia"/>
          <w:sz w:val="24"/>
          <w:lang w:val="sk-SK"/>
        </w:rPr>
        <w:footnoteRef/>
      </w:r>
      <w:r w:rsidR="00C735AD" w:rsidRPr="00C735AD">
        <w:rPr>
          <w:sz w:val="24"/>
          <w:lang w:val="sk-SK"/>
        </w:rPr>
        <w:t xml:space="preserve"> </w:t>
      </w:r>
      <w:r w:rsidR="00C735AD" w:rsidRPr="00C735AD">
        <w:rPr>
          <w:sz w:val="24"/>
          <w:lang w:val="sk-SK"/>
        </w:rPr>
        <w:tab/>
      </w:r>
      <w:r w:rsidRPr="00C735AD">
        <w:rPr>
          <w:sz w:val="24"/>
          <w:lang w:val="sk-SK"/>
        </w:rPr>
        <w:t>Oznámenie Komisie z 23. </w:t>
      </w:r>
      <w:r w:rsidRPr="00C735AD">
        <w:rPr>
          <w:sz w:val="24"/>
          <w:lang w:val="sk-SK"/>
        </w:rPr>
        <w:t xml:space="preserve">júla 2019 s názvom Posilnenie opatrení EÚ na ochranu a obnovu svetových lesov, </w:t>
      </w:r>
      <w:hyperlink r:id="rId30" w:history="1">
        <w:r w:rsidRPr="00C735AD">
          <w:rPr>
            <w:rStyle w:val="Hyperlink"/>
            <w:sz w:val="24"/>
            <w:lang w:val="sk-SK"/>
          </w:rPr>
          <w:t>COM(2019)0352</w:t>
        </w:r>
      </w:hyperlink>
      <w:r w:rsidRPr="00C735AD">
        <w:rPr>
          <w:sz w:val="24"/>
          <w:lang w:val="sk-SK"/>
        </w:rPr>
        <w:t>, s. 1.</w:t>
      </w:r>
    </w:p>
  </w:footnote>
  <w:footnote w:id="20">
    <w:p w:rsidR="00EF7F30" w:rsidRPr="00C735AD" w:rsidRDefault="00EF7F30" w:rsidP="00C735AD">
      <w:pPr>
        <w:pStyle w:val="FootnoteText"/>
        <w:ind w:left="567" w:hanging="567"/>
        <w:rPr>
          <w:sz w:val="24"/>
          <w:lang w:val="sk-SK"/>
        </w:rPr>
      </w:pPr>
      <w:r w:rsidRPr="00C735AD">
        <w:rPr>
          <w:rStyle w:val="FootnoteReference"/>
          <w:rFonts w:eastAsiaTheme="majorEastAsia"/>
          <w:sz w:val="24"/>
          <w:lang w:val="sk-SK"/>
        </w:rPr>
        <w:footnoteRef/>
      </w:r>
      <w:r w:rsidR="00C735AD" w:rsidRPr="00C735AD">
        <w:rPr>
          <w:sz w:val="24"/>
          <w:lang w:val="sk-SK"/>
        </w:rPr>
        <w:t xml:space="preserve"> </w:t>
      </w:r>
      <w:r w:rsidR="00C735AD" w:rsidRPr="00C735AD">
        <w:rPr>
          <w:sz w:val="24"/>
          <w:lang w:val="sk-SK"/>
        </w:rPr>
        <w:tab/>
      </w:r>
      <w:r w:rsidRPr="00C735AD">
        <w:rPr>
          <w:sz w:val="24"/>
          <w:lang w:val="sk-SK"/>
        </w:rPr>
        <w:t>Tamže, s. 2.</w:t>
      </w:r>
    </w:p>
  </w:footnote>
  <w:footnote w:id="21">
    <w:p w:rsidR="00EF7F30" w:rsidRPr="00C735AD" w:rsidRDefault="00EF7F30" w:rsidP="00C735AD">
      <w:pPr>
        <w:pStyle w:val="FootnoteText"/>
        <w:ind w:left="567" w:hanging="567"/>
        <w:rPr>
          <w:sz w:val="24"/>
          <w:lang w:val="sk-SK"/>
        </w:rPr>
      </w:pPr>
      <w:r w:rsidRPr="00C735AD">
        <w:rPr>
          <w:rStyle w:val="FootnoteReference"/>
          <w:rFonts w:eastAsiaTheme="majorEastAsia"/>
          <w:sz w:val="24"/>
          <w:lang w:val="sk-SK"/>
        </w:rPr>
        <w:footnoteRef/>
      </w:r>
      <w:r w:rsidR="00C735AD" w:rsidRPr="00C735AD">
        <w:rPr>
          <w:sz w:val="24"/>
          <w:lang w:val="sk-SK"/>
        </w:rPr>
        <w:t xml:space="preserve"> </w:t>
      </w:r>
      <w:r w:rsidR="00C735AD" w:rsidRPr="00C735AD">
        <w:rPr>
          <w:sz w:val="24"/>
          <w:lang w:val="sk-SK"/>
        </w:rPr>
        <w:tab/>
      </w:r>
      <w:r w:rsidRPr="00C735AD">
        <w:rPr>
          <w:sz w:val="24"/>
          <w:lang w:val="sk-SK"/>
        </w:rPr>
        <w:t>Pozri cieľ 15.2:</w:t>
      </w:r>
      <w:r w:rsidRPr="00C735AD">
        <w:rPr>
          <w:color w:val="000000"/>
          <w:sz w:val="24"/>
          <w:lang w:val="sk-SK"/>
        </w:rPr>
        <w:t xml:space="preserve"> </w:t>
      </w:r>
      <w:hyperlink r:id="rId31" w:history="1">
        <w:r w:rsidRPr="00C735AD">
          <w:rPr>
            <w:rStyle w:val="Hyperlink"/>
            <w:sz w:val="24"/>
            <w:lang w:val="sk-SK"/>
          </w:rPr>
          <w:t>https://www.un.org/sustainabledevelopment/biodiversity/</w:t>
        </w:r>
      </w:hyperlink>
      <w:r w:rsidRPr="00C735AD">
        <w:rPr>
          <w:rStyle w:val="Hyperlink"/>
          <w:sz w:val="24"/>
          <w:lang w:val="sk-SK"/>
        </w:rPr>
        <w:t>.</w:t>
      </w:r>
      <w:r w:rsidRPr="00C735AD">
        <w:rPr>
          <w:color w:val="000000"/>
          <w:sz w:val="24"/>
          <w:lang w:val="sk-SK"/>
        </w:rPr>
        <w:t xml:space="preserve"> </w:t>
      </w:r>
    </w:p>
  </w:footnote>
  <w:footnote w:id="22">
    <w:p w:rsidR="00EF7F30" w:rsidRPr="00C735AD" w:rsidRDefault="00EF7F30" w:rsidP="00C735AD">
      <w:pPr>
        <w:pStyle w:val="FootnoteText"/>
        <w:ind w:left="567" w:hanging="567"/>
        <w:rPr>
          <w:sz w:val="24"/>
          <w:lang w:val="sk-SK"/>
        </w:rPr>
      </w:pPr>
      <w:r w:rsidRPr="00C735AD">
        <w:rPr>
          <w:rStyle w:val="FootnoteReference"/>
          <w:rFonts w:eastAsiaTheme="majorEastAsia"/>
          <w:sz w:val="24"/>
          <w:lang w:val="sk-SK"/>
        </w:rPr>
        <w:footnoteRef/>
      </w:r>
      <w:r w:rsidR="00C735AD" w:rsidRPr="00C735AD">
        <w:rPr>
          <w:sz w:val="24"/>
          <w:lang w:val="sk-SK"/>
        </w:rPr>
        <w:t xml:space="preserve"> </w:t>
      </w:r>
      <w:r w:rsidR="00C735AD" w:rsidRPr="00C735AD">
        <w:rPr>
          <w:sz w:val="24"/>
          <w:lang w:val="sk-SK"/>
        </w:rPr>
        <w:tab/>
      </w:r>
      <w:r w:rsidRPr="00C735AD">
        <w:rPr>
          <w:sz w:val="24"/>
          <w:lang w:val="sk-SK"/>
        </w:rPr>
        <w:t xml:space="preserve">Oznámenie Komisie z 23. </w:t>
      </w:r>
      <w:r w:rsidRPr="00C735AD">
        <w:rPr>
          <w:sz w:val="24"/>
          <w:lang w:val="sk-SK"/>
        </w:rPr>
        <w:t xml:space="preserve">júla 2019 s názvom Posilnenie opatrení EÚ na ochranu a obnovu svetových lesov, </w:t>
      </w:r>
      <w:hyperlink r:id="rId32" w:history="1">
        <w:r w:rsidRPr="00C735AD">
          <w:rPr>
            <w:rStyle w:val="Hyperlink"/>
            <w:sz w:val="24"/>
            <w:lang w:val="sk-SK"/>
          </w:rPr>
          <w:t>COM(2019)0352</w:t>
        </w:r>
      </w:hyperlink>
      <w:r w:rsidRPr="00C735AD">
        <w:rPr>
          <w:sz w:val="24"/>
          <w:lang w:val="sk-SK"/>
        </w:rPr>
        <w:t>, s. 2.</w:t>
      </w:r>
    </w:p>
  </w:footnote>
  <w:footnote w:id="23">
    <w:p w:rsidR="00EF7F30" w:rsidRPr="00C735AD" w:rsidRDefault="00EF7F30" w:rsidP="00C735AD">
      <w:pPr>
        <w:pStyle w:val="FootnoteText"/>
        <w:ind w:left="567" w:hanging="567"/>
        <w:rPr>
          <w:sz w:val="24"/>
          <w:lang w:val="sk-SK"/>
        </w:rPr>
      </w:pPr>
      <w:r w:rsidRPr="00C735AD">
        <w:rPr>
          <w:rStyle w:val="FootnoteReference"/>
          <w:rFonts w:eastAsiaTheme="majorEastAsia"/>
          <w:sz w:val="24"/>
          <w:lang w:val="sk-SK"/>
        </w:rPr>
        <w:footnoteRef/>
      </w:r>
      <w:r w:rsidR="00C735AD" w:rsidRPr="00C735AD">
        <w:rPr>
          <w:sz w:val="24"/>
          <w:lang w:val="sk-SK"/>
        </w:rPr>
        <w:t xml:space="preserve"> </w:t>
      </w:r>
      <w:r w:rsidR="00C735AD" w:rsidRPr="00C735AD">
        <w:rPr>
          <w:sz w:val="24"/>
          <w:lang w:val="sk-SK"/>
        </w:rPr>
        <w:tab/>
      </w:r>
      <w:r w:rsidRPr="00C735AD">
        <w:rPr>
          <w:sz w:val="24"/>
          <w:lang w:val="sk-SK"/>
        </w:rPr>
        <w:t>Oznámenie o posilnení opatrení EÚ na ochranu a obnovu svetových lesov</w:t>
      </w:r>
      <w:r w:rsidRPr="00C735AD">
        <w:rPr>
          <w:sz w:val="24"/>
          <w:bdr w:val="none" w:sz="0" w:space="0" w:color="auto" w:frame="1"/>
          <w:shd w:val="clear" w:color="auto" w:fill="FFFFFF"/>
          <w:lang w:val="sk-SK"/>
        </w:rPr>
        <w:t>,</w:t>
      </w:r>
      <w:r w:rsidRPr="00C735AD">
        <w:rPr>
          <w:sz w:val="24"/>
          <w:lang w:val="sk-SK"/>
        </w:rPr>
        <w:t xml:space="preserve"> </w:t>
      </w:r>
      <w:hyperlink r:id="rId33" w:history="1">
        <w:r w:rsidRPr="00C735AD">
          <w:rPr>
            <w:rStyle w:val="Hyperlink"/>
            <w:sz w:val="24"/>
            <w:lang w:val="sk-SK"/>
          </w:rPr>
          <w:t>https://eur-lex.europa.eu/legal-content/SK/TXT/HTML/?uri=CELEX:52019DC0352&amp;from=SK</w:t>
        </w:r>
      </w:hyperlink>
      <w:r w:rsidRPr="00C735AD">
        <w:rPr>
          <w:rStyle w:val="Hyperlink"/>
          <w:sz w:val="24"/>
          <w:lang w:val="sk-SK"/>
        </w:rPr>
        <w:t>.</w:t>
      </w:r>
    </w:p>
  </w:footnote>
  <w:footnote w:id="24">
    <w:p w:rsidR="00EF7F30" w:rsidRPr="00C735AD" w:rsidRDefault="00EF7F30" w:rsidP="00C735AD">
      <w:pPr>
        <w:pStyle w:val="FootnoteText"/>
        <w:ind w:left="567" w:hanging="567"/>
        <w:rPr>
          <w:sz w:val="24"/>
          <w:lang w:val="sk-SK"/>
        </w:rPr>
      </w:pPr>
      <w:r w:rsidRPr="00C735AD">
        <w:rPr>
          <w:rStyle w:val="FootnoteReference"/>
          <w:rFonts w:eastAsiaTheme="majorEastAsia"/>
          <w:sz w:val="24"/>
          <w:lang w:val="sk-SK"/>
        </w:rPr>
        <w:footnoteRef/>
      </w:r>
      <w:r w:rsidR="00C735AD" w:rsidRPr="00C735AD">
        <w:rPr>
          <w:sz w:val="24"/>
          <w:lang w:val="sk-SK"/>
        </w:rPr>
        <w:t xml:space="preserve"> </w:t>
      </w:r>
      <w:r w:rsidR="00C735AD" w:rsidRPr="00C735AD">
        <w:rPr>
          <w:sz w:val="24"/>
          <w:lang w:val="sk-SK"/>
        </w:rPr>
        <w:tab/>
      </w:r>
      <w:r w:rsidRPr="00C735AD">
        <w:rPr>
          <w:sz w:val="24"/>
          <w:lang w:val="sk-SK"/>
        </w:rPr>
        <w:t xml:space="preserve">Oznámenie Komisie Európskemu parlamentu, Rade, Európskemu hospodárskemu a sociálnemu výboru a Výboru regiónov: „Stratégia EÚ v oblasti biodiverzity do roku 2030: Prinavrátenie prírody do našich životov“, </w:t>
      </w:r>
      <w:hyperlink r:id="rId34" w:history="1">
        <w:r w:rsidR="00B64653">
          <w:rPr>
            <w:rStyle w:val="Hyperlink"/>
            <w:sz w:val="24"/>
            <w:lang w:val="sk-SK"/>
          </w:rPr>
          <w:t>COM(2020)0380</w:t>
        </w:r>
      </w:hyperlink>
      <w:r w:rsidRPr="00C735AD">
        <w:rPr>
          <w:rStyle w:val="Hyperlink"/>
          <w:sz w:val="24"/>
          <w:lang w:val="sk-SK"/>
        </w:rPr>
        <w:t>.</w:t>
      </w:r>
    </w:p>
  </w:footnote>
  <w:footnote w:id="25">
    <w:p w:rsidR="00EF7F30" w:rsidRPr="00C735AD" w:rsidRDefault="00EF7F30" w:rsidP="00C735AD">
      <w:pPr>
        <w:pStyle w:val="FootnoteText"/>
        <w:ind w:left="567" w:hanging="567"/>
        <w:rPr>
          <w:sz w:val="24"/>
          <w:lang w:val="sk-SK"/>
        </w:rPr>
      </w:pPr>
      <w:r w:rsidRPr="00C735AD">
        <w:rPr>
          <w:rStyle w:val="FootnoteReference"/>
          <w:rFonts w:eastAsiaTheme="majorEastAsia"/>
          <w:sz w:val="24"/>
          <w:lang w:val="sk-SK"/>
        </w:rPr>
        <w:footnoteRef/>
      </w:r>
      <w:r w:rsidR="00C735AD" w:rsidRPr="00C735AD">
        <w:rPr>
          <w:sz w:val="24"/>
          <w:lang w:val="sk-SK"/>
        </w:rPr>
        <w:t xml:space="preserve"> </w:t>
      </w:r>
      <w:r w:rsidR="00C735AD" w:rsidRPr="00C735AD">
        <w:rPr>
          <w:sz w:val="24"/>
          <w:lang w:val="sk-SK"/>
        </w:rPr>
        <w:tab/>
      </w:r>
      <w:r w:rsidRPr="00C735AD">
        <w:rPr>
          <w:sz w:val="24"/>
          <w:lang w:val="sk-SK"/>
        </w:rPr>
        <w:t xml:space="preserve">Medzinárodná služba pre získavanie </w:t>
      </w:r>
      <w:proofErr w:type="spellStart"/>
      <w:r w:rsidRPr="00C735AD">
        <w:rPr>
          <w:sz w:val="24"/>
          <w:lang w:val="sk-SK"/>
        </w:rPr>
        <w:t>agrobiotechnologických</w:t>
      </w:r>
      <w:proofErr w:type="spellEnd"/>
      <w:r w:rsidRPr="00C735AD">
        <w:rPr>
          <w:sz w:val="24"/>
          <w:lang w:val="sk-SK"/>
        </w:rPr>
        <w:t xml:space="preserve"> aplikácií, „</w:t>
      </w:r>
      <w:proofErr w:type="spellStart"/>
      <w:r w:rsidRPr="00C735AD">
        <w:rPr>
          <w:sz w:val="24"/>
          <w:lang w:val="sk-SK"/>
        </w:rPr>
        <w:t>Global</w:t>
      </w:r>
      <w:proofErr w:type="spellEnd"/>
      <w:r w:rsidRPr="00C735AD">
        <w:rPr>
          <w:sz w:val="24"/>
          <w:lang w:val="sk-SK"/>
        </w:rPr>
        <w:t xml:space="preserve"> status of </w:t>
      </w:r>
      <w:proofErr w:type="spellStart"/>
      <w:r w:rsidRPr="00C735AD">
        <w:rPr>
          <w:sz w:val="24"/>
          <w:lang w:val="sk-SK"/>
        </w:rPr>
        <w:t>commercialized</w:t>
      </w:r>
      <w:proofErr w:type="spellEnd"/>
      <w:r w:rsidRPr="00C735AD">
        <w:rPr>
          <w:sz w:val="24"/>
          <w:lang w:val="sk-SK"/>
        </w:rPr>
        <w:t xml:space="preserve"> </w:t>
      </w:r>
      <w:proofErr w:type="spellStart"/>
      <w:r w:rsidRPr="00C735AD">
        <w:rPr>
          <w:sz w:val="24"/>
          <w:lang w:val="sk-SK"/>
        </w:rPr>
        <w:t>biotech</w:t>
      </w:r>
      <w:proofErr w:type="spellEnd"/>
      <w:r w:rsidRPr="00C735AD">
        <w:rPr>
          <w:sz w:val="24"/>
          <w:lang w:val="sk-SK"/>
        </w:rPr>
        <w:t xml:space="preserve">/GM </w:t>
      </w:r>
      <w:proofErr w:type="spellStart"/>
      <w:r w:rsidRPr="00C735AD">
        <w:rPr>
          <w:sz w:val="24"/>
          <w:lang w:val="sk-SK"/>
        </w:rPr>
        <w:t>crops</w:t>
      </w:r>
      <w:proofErr w:type="spellEnd"/>
      <w:r w:rsidRPr="00C735AD">
        <w:rPr>
          <w:sz w:val="24"/>
          <w:lang w:val="sk-SK"/>
        </w:rPr>
        <w:t xml:space="preserve"> in 2017:</w:t>
      </w:r>
      <w:r w:rsidRPr="00C735AD">
        <w:rPr>
          <w:sz w:val="24"/>
          <w:lang w:val="sk-SK"/>
        </w:rPr>
        <w:cr/>
      </w:r>
      <w:r w:rsidRPr="00C735AD">
        <w:rPr>
          <w:sz w:val="24"/>
          <w:lang w:val="sk-SK"/>
        </w:rPr>
        <w:br/>
        <w:t xml:space="preserve"> </w:t>
      </w:r>
      <w:proofErr w:type="spellStart"/>
      <w:r w:rsidRPr="00C735AD">
        <w:rPr>
          <w:sz w:val="24"/>
          <w:lang w:val="sk-SK"/>
        </w:rPr>
        <w:t>Biotech</w:t>
      </w:r>
      <w:proofErr w:type="spellEnd"/>
      <w:r w:rsidRPr="00C735AD">
        <w:rPr>
          <w:sz w:val="24"/>
          <w:lang w:val="sk-SK"/>
        </w:rPr>
        <w:t xml:space="preserve"> </w:t>
      </w:r>
      <w:proofErr w:type="spellStart"/>
      <w:r w:rsidRPr="00C735AD">
        <w:rPr>
          <w:sz w:val="24"/>
          <w:lang w:val="sk-SK"/>
        </w:rPr>
        <w:t>Crop</w:t>
      </w:r>
      <w:proofErr w:type="spellEnd"/>
      <w:r w:rsidRPr="00C735AD">
        <w:rPr>
          <w:sz w:val="24"/>
          <w:lang w:val="sk-SK"/>
        </w:rPr>
        <w:t xml:space="preserve"> </w:t>
      </w:r>
      <w:proofErr w:type="spellStart"/>
      <w:r w:rsidRPr="00C735AD">
        <w:rPr>
          <w:sz w:val="24"/>
          <w:lang w:val="sk-SK"/>
        </w:rPr>
        <w:t>Adoption</w:t>
      </w:r>
      <w:proofErr w:type="spellEnd"/>
      <w:r w:rsidRPr="00C735AD">
        <w:rPr>
          <w:sz w:val="24"/>
          <w:lang w:val="sk-SK"/>
        </w:rPr>
        <w:t xml:space="preserve"> </w:t>
      </w:r>
      <w:proofErr w:type="spellStart"/>
      <w:r w:rsidRPr="00C735AD">
        <w:rPr>
          <w:sz w:val="24"/>
          <w:lang w:val="sk-SK"/>
        </w:rPr>
        <w:t>Surges</w:t>
      </w:r>
      <w:proofErr w:type="spellEnd"/>
      <w:r w:rsidRPr="00C735AD">
        <w:rPr>
          <w:sz w:val="24"/>
          <w:lang w:val="sk-SK"/>
        </w:rPr>
        <w:t xml:space="preserve"> as </w:t>
      </w:r>
      <w:proofErr w:type="spellStart"/>
      <w:r w:rsidRPr="00C735AD">
        <w:rPr>
          <w:sz w:val="24"/>
          <w:lang w:val="sk-SK"/>
        </w:rPr>
        <w:t>Economic</w:t>
      </w:r>
      <w:proofErr w:type="spellEnd"/>
      <w:r w:rsidRPr="00C735AD">
        <w:rPr>
          <w:sz w:val="24"/>
          <w:lang w:val="sk-SK"/>
        </w:rPr>
        <w:t xml:space="preserve"> </w:t>
      </w:r>
      <w:proofErr w:type="spellStart"/>
      <w:r w:rsidRPr="00C735AD">
        <w:rPr>
          <w:sz w:val="24"/>
          <w:lang w:val="sk-SK"/>
        </w:rPr>
        <w:t>Benefits</w:t>
      </w:r>
      <w:proofErr w:type="spellEnd"/>
      <w:r w:rsidRPr="00C735AD">
        <w:rPr>
          <w:sz w:val="24"/>
          <w:lang w:val="sk-SK"/>
        </w:rPr>
        <w:t xml:space="preserve"> </w:t>
      </w:r>
      <w:proofErr w:type="spellStart"/>
      <w:r w:rsidRPr="00C735AD">
        <w:rPr>
          <w:sz w:val="24"/>
          <w:lang w:val="sk-SK"/>
        </w:rPr>
        <w:t>Accumulate</w:t>
      </w:r>
      <w:proofErr w:type="spellEnd"/>
      <w:r w:rsidRPr="00C735AD">
        <w:rPr>
          <w:sz w:val="24"/>
          <w:lang w:val="sk-SK"/>
        </w:rPr>
        <w:t xml:space="preserve"> in 22 </w:t>
      </w:r>
      <w:proofErr w:type="spellStart"/>
      <w:r w:rsidRPr="00C735AD">
        <w:rPr>
          <w:sz w:val="24"/>
          <w:lang w:val="sk-SK"/>
        </w:rPr>
        <w:t>Years</w:t>
      </w:r>
      <w:proofErr w:type="spellEnd"/>
      <w:r w:rsidRPr="00C735AD">
        <w:rPr>
          <w:sz w:val="24"/>
          <w:lang w:val="sk-SK"/>
        </w:rPr>
        <w:t xml:space="preserve"> (Globálny stav komercializovaných biotechnologických/geneticky modifikovaných plodín v roku 2017: Zavádzanie biotechnologických plodín prudko rastie, ekonomické výhody sa hromadia za 22 rokov“, ISAAA </w:t>
      </w:r>
      <w:proofErr w:type="spellStart"/>
      <w:r w:rsidRPr="00C735AD">
        <w:rPr>
          <w:sz w:val="24"/>
          <w:lang w:val="sk-SK"/>
        </w:rPr>
        <w:t>Brief</w:t>
      </w:r>
      <w:proofErr w:type="spellEnd"/>
      <w:r w:rsidRPr="00C735AD">
        <w:rPr>
          <w:sz w:val="24"/>
          <w:lang w:val="sk-SK"/>
        </w:rPr>
        <w:t xml:space="preserve"> No. 53 (2017), s. 16 a 21,</w:t>
      </w:r>
      <w:r w:rsidRPr="00C735AD">
        <w:rPr>
          <w:rStyle w:val="Hyperlink"/>
          <w:sz w:val="24"/>
          <w:lang w:val="sk-SK"/>
        </w:rPr>
        <w:t>http://www.isaaa.org/resources/publications/briefs/53/download/isaaa-brief-53-2017.pdf.</w:t>
      </w:r>
      <w:r w:rsidRPr="00C735AD">
        <w:rPr>
          <w:sz w:val="24"/>
          <w:lang w:val="sk-SK"/>
        </w:rPr>
        <w:t xml:space="preserve"> </w:t>
      </w:r>
    </w:p>
  </w:footnote>
  <w:footnote w:id="26">
    <w:p w:rsidR="00EF7F30" w:rsidRPr="00C735AD" w:rsidRDefault="00EF7F30" w:rsidP="00C735AD">
      <w:pPr>
        <w:pStyle w:val="FootnoteText"/>
        <w:ind w:left="567" w:hanging="567"/>
        <w:rPr>
          <w:sz w:val="24"/>
          <w:lang w:val="sk-SK"/>
        </w:rPr>
      </w:pPr>
      <w:r w:rsidRPr="00C735AD">
        <w:rPr>
          <w:rStyle w:val="FootnoteReference"/>
          <w:rFonts w:eastAsiaTheme="majorEastAsia"/>
          <w:sz w:val="24"/>
          <w:lang w:val="sk-SK"/>
        </w:rPr>
        <w:footnoteRef/>
      </w:r>
      <w:r w:rsidR="00C735AD" w:rsidRPr="00C735AD">
        <w:rPr>
          <w:sz w:val="24"/>
          <w:lang w:val="sk-SK"/>
        </w:rPr>
        <w:t xml:space="preserve"> </w:t>
      </w:r>
      <w:r w:rsidR="00C735AD" w:rsidRPr="00C735AD">
        <w:rPr>
          <w:sz w:val="24"/>
          <w:lang w:val="sk-SK"/>
        </w:rPr>
        <w:tab/>
      </w:r>
      <w:r w:rsidRPr="00C735AD">
        <w:rPr>
          <w:sz w:val="24"/>
          <w:lang w:val="sk-SK"/>
        </w:rPr>
        <w:t>Technická správa Európskej komisie 2013 - 063 s názvom „</w:t>
      </w:r>
      <w:proofErr w:type="spellStart"/>
      <w:r w:rsidRPr="00C735AD">
        <w:rPr>
          <w:sz w:val="24"/>
          <w:lang w:val="sk-SK"/>
        </w:rPr>
        <w:t>The</w:t>
      </w:r>
      <w:proofErr w:type="spellEnd"/>
      <w:r w:rsidRPr="00C735AD">
        <w:rPr>
          <w:sz w:val="24"/>
          <w:lang w:val="sk-SK"/>
        </w:rPr>
        <w:t xml:space="preserve"> </w:t>
      </w:r>
      <w:proofErr w:type="spellStart"/>
      <w:r w:rsidRPr="00C735AD">
        <w:rPr>
          <w:sz w:val="24"/>
          <w:lang w:val="sk-SK"/>
        </w:rPr>
        <w:t>impact</w:t>
      </w:r>
      <w:proofErr w:type="spellEnd"/>
      <w:r w:rsidRPr="00C735AD">
        <w:rPr>
          <w:sz w:val="24"/>
          <w:lang w:val="sk-SK"/>
        </w:rPr>
        <w:t xml:space="preserve"> of EU </w:t>
      </w:r>
      <w:proofErr w:type="spellStart"/>
      <w:r w:rsidRPr="00C735AD">
        <w:rPr>
          <w:sz w:val="24"/>
          <w:lang w:val="sk-SK"/>
        </w:rPr>
        <w:t>consumption</w:t>
      </w:r>
      <w:proofErr w:type="spellEnd"/>
      <w:r w:rsidRPr="00C735AD">
        <w:rPr>
          <w:sz w:val="24"/>
          <w:lang w:val="sk-SK"/>
        </w:rPr>
        <w:t xml:space="preserve"> on </w:t>
      </w:r>
      <w:proofErr w:type="spellStart"/>
      <w:r w:rsidRPr="00C735AD">
        <w:rPr>
          <w:sz w:val="24"/>
          <w:lang w:val="sk-SK"/>
        </w:rPr>
        <w:t>deforestation</w:t>
      </w:r>
      <w:proofErr w:type="spellEnd"/>
      <w:r w:rsidRPr="00C735AD">
        <w:rPr>
          <w:sz w:val="24"/>
          <w:lang w:val="sk-SK"/>
        </w:rPr>
        <w:t xml:space="preserve">: </w:t>
      </w:r>
      <w:proofErr w:type="spellStart"/>
      <w:r w:rsidRPr="00C735AD">
        <w:rPr>
          <w:sz w:val="24"/>
          <w:lang w:val="sk-SK"/>
        </w:rPr>
        <w:t>Comprehensive</w:t>
      </w:r>
      <w:proofErr w:type="spellEnd"/>
      <w:r w:rsidRPr="00C735AD">
        <w:rPr>
          <w:sz w:val="24"/>
          <w:lang w:val="sk-SK"/>
        </w:rPr>
        <w:t xml:space="preserve"> </w:t>
      </w:r>
      <w:proofErr w:type="spellStart"/>
      <w:r w:rsidRPr="00C735AD">
        <w:rPr>
          <w:sz w:val="24"/>
          <w:lang w:val="sk-SK"/>
        </w:rPr>
        <w:t>analysis</w:t>
      </w:r>
      <w:proofErr w:type="spellEnd"/>
      <w:r w:rsidRPr="00C735AD">
        <w:rPr>
          <w:sz w:val="24"/>
          <w:lang w:val="sk-SK"/>
        </w:rPr>
        <w:t xml:space="preserve"> of </w:t>
      </w:r>
      <w:proofErr w:type="spellStart"/>
      <w:r w:rsidRPr="00C735AD">
        <w:rPr>
          <w:sz w:val="24"/>
          <w:lang w:val="sk-SK"/>
        </w:rPr>
        <w:t>the</w:t>
      </w:r>
      <w:proofErr w:type="spellEnd"/>
      <w:r w:rsidRPr="00C735AD">
        <w:rPr>
          <w:sz w:val="24"/>
          <w:lang w:val="sk-SK"/>
        </w:rPr>
        <w:t xml:space="preserve"> </w:t>
      </w:r>
      <w:proofErr w:type="spellStart"/>
      <w:r w:rsidRPr="00C735AD">
        <w:rPr>
          <w:sz w:val="24"/>
          <w:lang w:val="sk-SK"/>
        </w:rPr>
        <w:t>impact</w:t>
      </w:r>
      <w:proofErr w:type="spellEnd"/>
      <w:r w:rsidRPr="00C735AD">
        <w:rPr>
          <w:sz w:val="24"/>
          <w:lang w:val="sk-SK"/>
        </w:rPr>
        <w:t xml:space="preserve"> of EU </w:t>
      </w:r>
      <w:proofErr w:type="spellStart"/>
      <w:r w:rsidRPr="00C735AD">
        <w:rPr>
          <w:sz w:val="24"/>
          <w:lang w:val="sk-SK"/>
        </w:rPr>
        <w:t>consumption</w:t>
      </w:r>
      <w:proofErr w:type="spellEnd"/>
      <w:r w:rsidRPr="00C735AD">
        <w:rPr>
          <w:sz w:val="24"/>
          <w:lang w:val="sk-SK"/>
        </w:rPr>
        <w:t xml:space="preserve"> on </w:t>
      </w:r>
      <w:proofErr w:type="spellStart"/>
      <w:r w:rsidRPr="00C735AD">
        <w:rPr>
          <w:sz w:val="24"/>
          <w:lang w:val="sk-SK"/>
        </w:rPr>
        <w:t>deforestation</w:t>
      </w:r>
      <w:proofErr w:type="spellEnd"/>
      <w:r w:rsidRPr="00C735AD">
        <w:rPr>
          <w:sz w:val="24"/>
          <w:lang w:val="sk-SK"/>
        </w:rPr>
        <w:t xml:space="preserve"> (Vplyv spotreby EÚ na odlesňovanie: Komplexná analýza vplyvu spotreby EÚ na odlesňovanie)“, </w:t>
      </w:r>
      <w:hyperlink r:id="rId35" w:history="1">
        <w:r w:rsidRPr="00C735AD">
          <w:rPr>
            <w:rStyle w:val="Hyperlink"/>
            <w:sz w:val="24"/>
            <w:lang w:val="sk-SK"/>
          </w:rPr>
          <w:t>https://op.europa.eu/en/publication-detail/-/publication/c1d3ef3e-d07e-4229-91e5-41001b47dba8/language-en</w:t>
        </w:r>
      </w:hyperlink>
      <w:r w:rsidRPr="00C735AD">
        <w:rPr>
          <w:sz w:val="24"/>
          <w:lang w:val="sk-SK"/>
        </w:rPr>
        <w:t xml:space="preserve"> , s. 23-24: V rokoch 1990 až 2008 Únia doviezla produkty rastlinnej a živočíšnej výroby, ktoré spôsobili odlesnenie celkovej plochy 90 000 km</w:t>
      </w:r>
      <w:r w:rsidRPr="00C735AD">
        <w:rPr>
          <w:rStyle w:val="sup1"/>
          <w:color w:val="000000"/>
          <w:sz w:val="24"/>
          <w:lang w:val="sk-SK"/>
        </w:rPr>
        <w:t>2</w:t>
      </w:r>
      <w:r w:rsidRPr="00C735AD">
        <w:rPr>
          <w:sz w:val="24"/>
          <w:lang w:val="sk-SK"/>
        </w:rPr>
        <w:t>. Rastlinná výroba predstavovala 74 000 km</w:t>
      </w:r>
      <w:r w:rsidRPr="00C735AD">
        <w:rPr>
          <w:rStyle w:val="sup1"/>
          <w:color w:val="000000"/>
          <w:sz w:val="24"/>
          <w:lang w:val="sk-SK"/>
        </w:rPr>
        <w:t>2</w:t>
      </w:r>
      <w:r w:rsidRPr="00C735AD">
        <w:rPr>
          <w:sz w:val="24"/>
          <w:lang w:val="sk-SK"/>
        </w:rPr>
        <w:t xml:space="preserve"> (82 %), pričom najväčší podiel mali plodiny pestované na olej (52 000 km</w:t>
      </w:r>
      <w:r w:rsidRPr="00C735AD">
        <w:rPr>
          <w:rStyle w:val="sup1"/>
          <w:color w:val="000000"/>
          <w:sz w:val="24"/>
          <w:lang w:val="sk-SK"/>
        </w:rPr>
        <w:t>2</w:t>
      </w:r>
      <w:r w:rsidRPr="00C735AD">
        <w:rPr>
          <w:sz w:val="24"/>
          <w:lang w:val="sk-SK"/>
        </w:rPr>
        <w:t>). Sójové bôby a sójové výlisky predstavovali 82 % (42 600 km</w:t>
      </w:r>
      <w:r w:rsidRPr="00C735AD">
        <w:rPr>
          <w:rStyle w:val="sup1"/>
          <w:color w:val="000000"/>
          <w:sz w:val="24"/>
          <w:lang w:val="sk-SK"/>
        </w:rPr>
        <w:t>2</w:t>
      </w:r>
      <w:r w:rsidRPr="00C735AD">
        <w:rPr>
          <w:sz w:val="24"/>
          <w:lang w:val="sk-SK"/>
        </w:rPr>
        <w:t>), čo zodpovedá 47 % celkového odlesňovania súvisiaceho s dovozom tovaru do Únie.</w:t>
      </w:r>
    </w:p>
  </w:footnote>
  <w:footnote w:id="27">
    <w:p w:rsidR="00EF7F30" w:rsidRPr="00C735AD" w:rsidRDefault="00EF7F30" w:rsidP="00C735AD">
      <w:pPr>
        <w:pStyle w:val="FootnoteText"/>
        <w:ind w:left="567" w:hanging="567"/>
        <w:rPr>
          <w:sz w:val="24"/>
          <w:lang w:val="sk-SK"/>
        </w:rPr>
      </w:pPr>
      <w:r w:rsidRPr="00C735AD">
        <w:rPr>
          <w:rStyle w:val="FootnoteReference"/>
          <w:sz w:val="24"/>
          <w:lang w:val="sk-SK"/>
        </w:rPr>
        <w:footnoteRef/>
      </w:r>
      <w:r w:rsidR="00C735AD" w:rsidRPr="00C735AD">
        <w:rPr>
          <w:sz w:val="24"/>
          <w:lang w:val="sk-SK"/>
        </w:rPr>
        <w:t xml:space="preserve"> </w:t>
      </w:r>
      <w:r w:rsidR="00C735AD" w:rsidRPr="00C735AD">
        <w:rPr>
          <w:sz w:val="24"/>
          <w:lang w:val="sk-SK"/>
        </w:rPr>
        <w:tab/>
      </w:r>
      <w:hyperlink r:id="rId36" w:history="1">
        <w:r w:rsidRPr="00C735AD">
          <w:rPr>
            <w:rStyle w:val="Hyperlink"/>
            <w:sz w:val="24"/>
            <w:lang w:val="sk-SK"/>
          </w:rPr>
          <w:t>https://commission.europa.eu/document/2c64e540-c07a-4376-a1da-368d289f4afe_en</w:t>
        </w:r>
      </w:hyperlink>
      <w:r w:rsidRPr="00C735AD">
        <w:rPr>
          <w:sz w:val="24"/>
          <w:lang w:val="sk-SK"/>
        </w:rPr>
        <w:t>.</w:t>
      </w:r>
    </w:p>
  </w:footnote>
  <w:footnote w:id="28">
    <w:p w:rsidR="00EF7F30" w:rsidRPr="00C735AD" w:rsidRDefault="00EF7F30" w:rsidP="00C735AD">
      <w:pPr>
        <w:pStyle w:val="FootnoteText"/>
        <w:ind w:left="567" w:hanging="567"/>
        <w:rPr>
          <w:sz w:val="24"/>
          <w:lang w:val="sk-SK"/>
        </w:rPr>
      </w:pPr>
      <w:r w:rsidRPr="00C735AD">
        <w:rPr>
          <w:rStyle w:val="FootnoteReference"/>
          <w:sz w:val="24"/>
          <w:lang w:val="sk-SK"/>
        </w:rPr>
        <w:footnoteRef/>
      </w:r>
      <w:r w:rsidR="00C735AD" w:rsidRPr="00C735AD">
        <w:rPr>
          <w:sz w:val="24"/>
          <w:lang w:val="sk-SK"/>
        </w:rPr>
        <w:t xml:space="preserve"> </w:t>
      </w:r>
      <w:r w:rsidR="00C735AD" w:rsidRPr="00C735AD">
        <w:rPr>
          <w:sz w:val="24"/>
          <w:lang w:val="sk-SK"/>
        </w:rPr>
        <w:tab/>
      </w:r>
      <w:r w:rsidRPr="00C735AD">
        <w:rPr>
          <w:sz w:val="24"/>
          <w:lang w:val="sk-SK"/>
        </w:rPr>
        <w:t>Ak udelenie povolenia v odvolacom výbore neschváli kvalifikovaná väčšina členských štátov, Komisia podľa článku 6 ods. 3 nariadenia (EÚ) č. 182/2011 môže, ale nemusí dané povolenie udeliť.</w:t>
      </w:r>
    </w:p>
  </w:footnote>
  <w:footnote w:id="29">
    <w:p w:rsidR="00EF7F30" w:rsidRPr="00C735AD" w:rsidRDefault="00EF7F30" w:rsidP="00C735AD">
      <w:pPr>
        <w:pStyle w:val="FootnoteText"/>
        <w:ind w:left="567" w:hanging="567"/>
        <w:rPr>
          <w:sz w:val="24"/>
          <w:lang w:val="sk-SK"/>
        </w:rPr>
      </w:pPr>
      <w:r w:rsidRPr="00C735AD">
        <w:rPr>
          <w:rStyle w:val="FootnoteReference"/>
          <w:sz w:val="24"/>
          <w:lang w:val="sk-SK"/>
        </w:rPr>
        <w:footnoteRef/>
      </w:r>
      <w:r w:rsidR="00C735AD" w:rsidRPr="00C735AD">
        <w:rPr>
          <w:sz w:val="24"/>
          <w:lang w:val="sk-SK"/>
        </w:rPr>
        <w:t xml:space="preserve"> </w:t>
      </w:r>
      <w:r w:rsidR="00C735AD" w:rsidRPr="00C735AD">
        <w:rPr>
          <w:sz w:val="24"/>
          <w:lang w:val="sk-SK"/>
        </w:rPr>
        <w:tab/>
      </w:r>
      <w:r w:rsidRPr="00C735AD">
        <w:rPr>
          <w:sz w:val="24"/>
          <w:lang w:val="sk-SK"/>
        </w:rPr>
        <w:t>Nariadenie Európskeho parlamentu a Rady (ES) č. 178/2002 z 28. januára 2002, ktorým sa ustanovujú všeobecné zásady a požiadavky potravinového práva, zriaďuje Európsky úrad pre bezpečnosť potravín a stanovujú postupy v záležitostiach bezpečnosti potravín (Ú. v. ES L 31, 1.2.2002, s. </w:t>
      </w:r>
      <w:r w:rsidRPr="00C735AD">
        <w:rPr>
          <w:sz w:val="24"/>
          <w:lang w:val="sk-SK"/>
        </w:rPr>
        <w:t>1, ELI:</w:t>
      </w:r>
      <w:r w:rsidRPr="00C735AD">
        <w:rPr>
          <w:color w:val="000000" w:themeColor="text1"/>
          <w:sz w:val="24"/>
          <w:lang w:val="sk-SK"/>
        </w:rPr>
        <w:t> </w:t>
      </w:r>
      <w:hyperlink r:id="rId37" w:tgtFrame="Gives access to this document through its ELI URI." w:history="1">
        <w:r w:rsidRPr="00C735AD">
          <w:rPr>
            <w:rStyle w:val="Hyperlink"/>
            <w:color w:val="0070C0"/>
            <w:sz w:val="24"/>
            <w:lang w:val="sk-SK"/>
          </w:rPr>
          <w:t>http://data.europa.eu/eli/reg/2002/178/oj</w:t>
        </w:r>
      </w:hyperlink>
      <w:r w:rsidRPr="00C735AD">
        <w:rPr>
          <w:sz w:val="24"/>
          <w:lang w:val="sk-SK"/>
        </w:rPr>
        <w:t>).</w:t>
      </w:r>
    </w:p>
  </w:footnote>
  <w:footnote w:id="30">
    <w:p w:rsidR="00EF7F30" w:rsidRPr="00C735AD" w:rsidRDefault="00EF7F30" w:rsidP="00C735AD">
      <w:pPr>
        <w:pStyle w:val="FootnoteText"/>
        <w:ind w:left="567" w:hanging="567"/>
        <w:rPr>
          <w:sz w:val="24"/>
          <w:lang w:val="sk-SK"/>
        </w:rPr>
      </w:pPr>
      <w:r w:rsidRPr="00C735AD">
        <w:rPr>
          <w:rStyle w:val="FootnoteReference"/>
          <w:sz w:val="24"/>
          <w:lang w:val="sk-SK"/>
        </w:rPr>
        <w:footnoteRef/>
      </w:r>
      <w:r w:rsidR="00C735AD" w:rsidRPr="00C735AD">
        <w:rPr>
          <w:sz w:val="24"/>
          <w:lang w:val="sk-SK"/>
        </w:rPr>
        <w:t xml:space="preserve"> </w:t>
      </w:r>
      <w:r w:rsidR="00C735AD" w:rsidRPr="00C735AD">
        <w:rPr>
          <w:sz w:val="24"/>
          <w:lang w:val="sk-SK"/>
        </w:rPr>
        <w:tab/>
      </w:r>
      <w:r w:rsidRPr="00C735AD">
        <w:rPr>
          <w:sz w:val="24"/>
          <w:lang w:val="sk-SK"/>
        </w:rPr>
        <w:t xml:space="preserve">V decembri 2022 bol na 15. </w:t>
      </w:r>
      <w:r w:rsidRPr="00C735AD">
        <w:rPr>
          <w:sz w:val="24"/>
          <w:lang w:val="sk-SK"/>
        </w:rPr>
        <w:t xml:space="preserve">konferencii zmluvných strán Dohovoru OSN o biologickej diverzite schválený globálny rámec pre biodiverzitu, ktorý zahŕňa globálny cieľ znížiť do roku 2030 riziko používania pesticídov aspoň o 50 % (pozri: </w:t>
      </w:r>
      <w:hyperlink r:id="rId38" w:history="1">
        <w:r w:rsidRPr="00C735AD">
          <w:rPr>
            <w:rStyle w:val="Hyperlink"/>
            <w:sz w:val="24"/>
            <w:lang w:val="sk-SK"/>
          </w:rPr>
          <w:t>https://ec.europa.eu/commission/presscorner/detail/sk/ip_22_7834</w:t>
        </w:r>
      </w:hyperlink>
      <w:r w:rsidRPr="00C735AD">
        <w:rPr>
          <w:sz w:val="24"/>
          <w:lang w:val="sk-SK"/>
        </w:rPr>
        <w:t>).</w:t>
      </w:r>
    </w:p>
  </w:footnote>
  <w:footnote w:id="31">
    <w:p w:rsidR="00EF7F30" w:rsidRPr="00C735AD" w:rsidRDefault="00EF7F30" w:rsidP="00C735AD">
      <w:pPr>
        <w:pStyle w:val="FootnoteText"/>
        <w:ind w:left="567" w:hanging="567"/>
        <w:rPr>
          <w:sz w:val="24"/>
          <w:lang w:val="sk-SK"/>
        </w:rPr>
      </w:pPr>
      <w:r w:rsidRPr="00C735AD">
        <w:rPr>
          <w:rStyle w:val="FootnoteReference"/>
          <w:sz w:val="24"/>
          <w:lang w:val="sk-SK"/>
        </w:rPr>
        <w:footnoteRef/>
      </w:r>
      <w:r w:rsidR="00C735AD" w:rsidRPr="00C735AD">
        <w:rPr>
          <w:sz w:val="24"/>
          <w:lang w:val="sk-SK"/>
        </w:rPr>
        <w:t xml:space="preserve"> </w:t>
      </w:r>
      <w:r w:rsidR="00C735AD" w:rsidRPr="00C735AD">
        <w:rPr>
          <w:sz w:val="24"/>
          <w:lang w:val="sk-SK"/>
        </w:rPr>
        <w:tab/>
      </w:r>
      <w:hyperlink r:id="rId39" w:history="1">
        <w:r w:rsidRPr="00C735AD">
          <w:rPr>
            <w:rStyle w:val="Hyperlink"/>
            <w:sz w:val="24"/>
            <w:lang w:val="sk-SK"/>
          </w:rPr>
          <w:t>https://tillymetz.lu/wp-content/uploads/2020/09/Co-signed-letter-MEP-Metz.pdf</w:t>
        </w:r>
      </w:hyperlink>
      <w:r w:rsidRPr="00C735AD">
        <w:rPr>
          <w:rStyle w:val="Hyperlink"/>
          <w:sz w:val="24"/>
          <w:lang w:val="sk-SK"/>
        </w:rPr>
        <w:t>.</w:t>
      </w:r>
    </w:p>
  </w:footnote>
  <w:footnote w:id="32">
    <w:p w:rsidR="00EF7F30" w:rsidRPr="00C735AD" w:rsidRDefault="00EF7F30" w:rsidP="00C735AD">
      <w:pPr>
        <w:pStyle w:val="FootnoteText"/>
        <w:ind w:left="567" w:hanging="567"/>
        <w:rPr>
          <w:sz w:val="24"/>
          <w:lang w:val="sk-SK"/>
        </w:rPr>
      </w:pPr>
      <w:r w:rsidRPr="00C735AD">
        <w:rPr>
          <w:rStyle w:val="FootnoteReference"/>
          <w:sz w:val="24"/>
          <w:lang w:val="sk-SK"/>
        </w:rPr>
        <w:footnoteRef/>
      </w:r>
      <w:r w:rsidR="00C735AD" w:rsidRPr="00C735AD">
        <w:rPr>
          <w:sz w:val="24"/>
          <w:lang w:val="sk-SK"/>
        </w:rPr>
        <w:t xml:space="preserve"> </w:t>
      </w:r>
      <w:r w:rsidR="00C735AD" w:rsidRPr="00C735AD">
        <w:rPr>
          <w:sz w:val="24"/>
          <w:lang w:val="sk-SK"/>
        </w:rPr>
        <w:tab/>
      </w:r>
      <w:r w:rsidRPr="00C735AD">
        <w:rPr>
          <w:sz w:val="24"/>
          <w:lang w:val="sk-SK"/>
        </w:rPr>
        <w:t>Uznesenie Európskeho parlamentu z 15. januára 2020 o Európskej zelenej dohode (Ú. v. EÚ C 270, 7.7.2021, s. 2), odsek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35A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35A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35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4/2025"/>
    <w:docVar w:name="dvlangue" w:val="SK"/>
    <w:docVar w:name="dvnumam" w:val="0"/>
    <w:docVar w:name="dvpe" w:val="772.013"/>
    <w:docVar w:name="dvtitre" w:val="Uznesenie Európskeho parlamentu z xx. mája 2025 o návrhu vykonávacieho rozhodnutia Komisie, ktorým sa podľa nariadenia Európskeho parlamentu a Rady (ES) č. 1829/2003 povoľuje umiestniť na trh produkty, ktoré obsahujú geneticky modifikovanú sóju MON 87705 × MON 87708 × MON 89788, sú z nej zložené alebo vyrobené(D105678/01 – 2025/2647(RSP))"/>
  </w:docVars>
  <w:rsids>
    <w:rsidRoot w:val="005814C9"/>
    <w:rsid w:val="00002272"/>
    <w:rsid w:val="00064002"/>
    <w:rsid w:val="000677B9"/>
    <w:rsid w:val="000831BA"/>
    <w:rsid w:val="000A42CC"/>
    <w:rsid w:val="000E7DD9"/>
    <w:rsid w:val="0010095E"/>
    <w:rsid w:val="00125B37"/>
    <w:rsid w:val="00174B07"/>
    <w:rsid w:val="00187494"/>
    <w:rsid w:val="001F32AE"/>
    <w:rsid w:val="002767FF"/>
    <w:rsid w:val="002B18FE"/>
    <w:rsid w:val="002B5493"/>
    <w:rsid w:val="002D2FF1"/>
    <w:rsid w:val="002D306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14C9"/>
    <w:rsid w:val="005C2568"/>
    <w:rsid w:val="005F1B17"/>
    <w:rsid w:val="006037C0"/>
    <w:rsid w:val="006631B6"/>
    <w:rsid w:val="00680577"/>
    <w:rsid w:val="006F74FA"/>
    <w:rsid w:val="0072526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4653"/>
    <w:rsid w:val="00BD48FE"/>
    <w:rsid w:val="00BD7BD8"/>
    <w:rsid w:val="00BE6ADC"/>
    <w:rsid w:val="00C05BFE"/>
    <w:rsid w:val="00C23CD4"/>
    <w:rsid w:val="00C61C0C"/>
    <w:rsid w:val="00C735AD"/>
    <w:rsid w:val="00C941CB"/>
    <w:rsid w:val="00CC2357"/>
    <w:rsid w:val="00CF071A"/>
    <w:rsid w:val="00D058B8"/>
    <w:rsid w:val="00D56C11"/>
    <w:rsid w:val="00D81674"/>
    <w:rsid w:val="00D834A0"/>
    <w:rsid w:val="00D872DF"/>
    <w:rsid w:val="00D91E21"/>
    <w:rsid w:val="00DA7FCD"/>
    <w:rsid w:val="00E365E1"/>
    <w:rsid w:val="00E820A4"/>
    <w:rsid w:val="00EB006A"/>
    <w:rsid w:val="00EB4772"/>
    <w:rsid w:val="00ED169E"/>
    <w:rsid w:val="00ED4235"/>
    <w:rsid w:val="00EF7F3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583D69"/>
  <w15:chartTrackingRefBased/>
  <w15:docId w15:val="{43BA7AF5-D367-4CF5-BB01-E47BC0BE3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F7F30"/>
    <w:pPr>
      <w:spacing w:before="480" w:after="240"/>
    </w:pPr>
  </w:style>
  <w:style w:type="paragraph" w:customStyle="1" w:styleId="NormalBold12a">
    <w:name w:val="NormalBold12a"/>
    <w:basedOn w:val="Normal"/>
    <w:rsid w:val="00EF7F30"/>
    <w:pPr>
      <w:spacing w:after="240"/>
    </w:pPr>
    <w:rPr>
      <w:b/>
    </w:rPr>
  </w:style>
  <w:style w:type="paragraph" w:customStyle="1" w:styleId="NormalHanging12a">
    <w:name w:val="NormalHanging12a"/>
    <w:basedOn w:val="Normal"/>
    <w:qFormat/>
    <w:rsid w:val="00EF7F30"/>
    <w:pPr>
      <w:spacing w:after="240"/>
      <w:ind w:left="567" w:hanging="567"/>
    </w:pPr>
  </w:style>
  <w:style w:type="character" w:styleId="Hyperlink">
    <w:name w:val="Hyperlink"/>
    <w:basedOn w:val="DefaultParagraphFont"/>
    <w:uiPriority w:val="99"/>
    <w:rsid w:val="00EF7F30"/>
    <w:rPr>
      <w:color w:val="0563C1" w:themeColor="hyperlink"/>
      <w:u w:val="single"/>
    </w:rPr>
  </w:style>
  <w:style w:type="paragraph" w:styleId="NoSpacing">
    <w:name w:val="No Spacing"/>
    <w:basedOn w:val="Normal"/>
    <w:uiPriority w:val="1"/>
    <w:qFormat/>
    <w:rsid w:val="00EF7F30"/>
    <w:pPr>
      <w:widowControl/>
      <w:jc w:val="both"/>
    </w:pPr>
    <w:rPr>
      <w:rFonts w:eastAsiaTheme="minorHAnsi"/>
      <w:szCs w:val="32"/>
      <w:lang w:eastAsia="en-US"/>
    </w:rPr>
  </w:style>
  <w:style w:type="character" w:customStyle="1" w:styleId="sup1">
    <w:name w:val="sup1"/>
    <w:basedOn w:val="DefaultParagraphFont"/>
    <w:rsid w:val="00EF7F30"/>
    <w:rPr>
      <w:sz w:val="19"/>
      <w:szCs w:val="19"/>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reg_impl/2013/503/oj" TargetMode="External"/><Relationship Id="rId18" Type="http://schemas.openxmlformats.org/officeDocument/2006/relationships/hyperlink" Target="https://www.sciencedirect.com/science/article/pii/S1383574218300887" TargetMode="External"/><Relationship Id="rId26" Type="http://schemas.openxmlformats.org/officeDocument/2006/relationships/hyperlink" Target="https://www.ohchr.org/en/documents/thematic-reports/ahrc3448-report-special-rapporteur-right-food" TargetMode="External"/><Relationship Id="rId39" Type="http://schemas.openxmlformats.org/officeDocument/2006/relationships/hyperlink" Target="https://tillymetz.lu/wp-content/uploads/2020/09/Co-signed-letter-MEP-Metz.pdf" TargetMode="External"/><Relationship Id="rId3" Type="http://schemas.openxmlformats.org/officeDocument/2006/relationships/hyperlink" Target="https://doi.org/10.2903/j.efsa.2020.6111" TargetMode="External"/><Relationship Id="rId21" Type="http://schemas.openxmlformats.org/officeDocument/2006/relationships/hyperlink" Target="https://www.ncbi.nlm.nih.gov/pmc/articles/PMC6612199/" TargetMode="External"/><Relationship Id="rId34" Type="http://schemas.openxmlformats.org/officeDocument/2006/relationships/hyperlink" Target="https://eur-lex.europa.eu/legal-content/SK/TXT/?uri=CELEX:52020DC0380&amp;amp;qid=1744014455633" TargetMode="External"/><Relationship Id="rId7" Type="http://schemas.openxmlformats.org/officeDocument/2006/relationships/hyperlink" Target="http://data.europa.eu/eli/C/2025/1800/oj" TargetMode="External"/><Relationship Id="rId12" Type="http://schemas.openxmlformats.org/officeDocument/2006/relationships/hyperlink" Target="https://doi.org/10.2903/j.efsa.2024.9061" TargetMode="External"/><Relationship Id="rId17" Type="http://schemas.openxmlformats.org/officeDocument/2006/relationships/hyperlink" Target="https://hh-ra.org/projects/measuring-pesticide-use/interactive-herbicide-use-tables/"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eur-lex.europa.eu/legal-content/SK/TXT/HTML/?uri=CELEX:52019DC0352&amp;amp;from=SK" TargetMode="External"/><Relationship Id="rId38" Type="http://schemas.openxmlformats.org/officeDocument/2006/relationships/hyperlink" Target="https://ec.europa.eu/commission/presscorner/detail/sk/ip_22_7834" TargetMode="External"/><Relationship Id="rId2" Type="http://schemas.openxmlformats.org/officeDocument/2006/relationships/hyperlink" Target="http://data.europa.eu/eli/reg/2011/182/oj" TargetMode="External"/><Relationship Id="rId16" Type="http://schemas.openxmlformats.org/officeDocument/2006/relationships/hyperlink" Target="https://academic.oup.com/ije/advance-article-abstract/doi/10.1093/ije/dyaa066/5827818?redirectedFrom=fulltext." TargetMode="External"/><Relationship Id="rId20" Type="http://schemas.openxmlformats.org/officeDocument/2006/relationships/hyperlink" Target="https://journals.plos.org/plosone/article?id=10.1371/journal.pone.0219610" TargetMode="External"/><Relationship Id="rId29" Type="http://schemas.openxmlformats.org/officeDocument/2006/relationships/hyperlink" Target="https://ec.europa.eu/commission/presscorner/detail/sk/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fsa.onlinelibrary.wiley.com/doi/abs/10.2903/j.efsa.2018.5263" TargetMode="External"/><Relationship Id="rId32" Type="http://schemas.openxmlformats.org/officeDocument/2006/relationships/hyperlink" Target="https://eur-lex.europa.eu/legal-content/SK/TXT/?uri=CELEX:52019DC0352&amp;amp;qid=1743764921930" TargetMode="External"/><Relationship Id="rId37" Type="http://schemas.openxmlformats.org/officeDocument/2006/relationships/hyperlink" Target="http://data.europa.eu/eli/reg/2002/178/oj" TargetMode="External"/><Relationship Id="rId5" Type="http://schemas.openxmlformats.org/officeDocument/2006/relationships/hyperlink" Target="http://data.europa.eu/eli/C/2025/1798/oj" TargetMode="External"/><Relationship Id="rId15" Type="http://schemas.openxmlformats.org/officeDocument/2006/relationships/hyperlink" Target="https://enveurope.springeropen.com/articles/10.1186/2190-4715-24-24" TargetMode="External"/><Relationship Id="rId23" Type="http://schemas.openxmlformats.org/officeDocument/2006/relationships/hyperlink" Target="https://www.testbiotech.org/en/resource/high-levels-residues-spraying-glyphosate-found-soybeans-argentina/" TargetMode="External"/><Relationship Id="rId28" Type="http://schemas.openxmlformats.org/officeDocument/2006/relationships/hyperlink" Target="https://ec.europa.eu/commission/presscorner/detail/sk/ip_22_7834" TargetMode="External"/><Relationship Id="rId36" Type="http://schemas.openxmlformats.org/officeDocument/2006/relationships/hyperlink" Target="https://commission.europa.eu/document/2c64e540-c07a-4376-a1da-368d289f4afe_en" TargetMode="External"/><Relationship Id="rId10" Type="http://schemas.openxmlformats.org/officeDocument/2006/relationships/hyperlink" Target="http://data.europa.eu/eli/C/2025/1803/oj" TargetMode="External"/><Relationship Id="rId19" Type="http://schemas.openxmlformats.org/officeDocument/2006/relationships/hyperlink" Target="https://academic.oup.com/ije/advance-article/doi/10.1093/ije/dyz017/5382278," TargetMode="External"/><Relationship Id="rId31" Type="http://schemas.openxmlformats.org/officeDocument/2006/relationships/hyperlink" Target="https://www.un.org/sustainabledevelopment/biodiversity/"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ncbi.nlm.nih.gov/pubmed/26296738" TargetMode="External"/><Relationship Id="rId22" Type="http://schemas.openxmlformats.org/officeDocument/2006/relationships/hyperlink" Target="https://www.ncbi.nlm.nih.gov/pubmed/24491722." TargetMode="External"/><Relationship Id="rId27" Type="http://schemas.openxmlformats.org/officeDocument/2006/relationships/hyperlink" Target="https://indicators.report/targets/3-9/" TargetMode="External"/><Relationship Id="rId30" Type="http://schemas.openxmlformats.org/officeDocument/2006/relationships/hyperlink" Target="https://eur-lex.europa.eu/legal-content/SK/TXT/?uri=CELEX:52019DC0352&amp;qid=1743760403889" TargetMode="External"/><Relationship Id="rId35" Type="http://schemas.openxmlformats.org/officeDocument/2006/relationships/hyperlink" Target="https://op.europa.eu/en/publication-detail/-/publication/c1d3ef3e-d07e-4229-91e5-41001b47dba8/languag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D2A52C-9EF0-478F-9C00-9D318986C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2367</Words>
  <Characters>14100</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DINGA-SUPOVA Lucia</cp:lastModifiedBy>
  <cp:revision>2</cp:revision>
  <cp:lastPrinted>2004-11-19T15:42:00Z</cp:lastPrinted>
  <dcterms:created xsi:type="dcterms:W3CDTF">2025-06-11T13:13:00Z</dcterms:created>
  <dcterms:modified xsi:type="dcterms:W3CDTF">2025-06-11T13:13:00Z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B10-0244/2025</vt:lpwstr>
  </property>
  <property fmtid="{D5CDD505-2E9C-101B-9397-08002B2CF9AE}" pid="4" name="&lt;Type&gt;">
    <vt:lpwstr>RR</vt:lpwstr>
  </property>
</Properties>
</file>