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2C2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2C24" w:rsidRDefault="00075A76" w:rsidP="0010095E">
            <w:pPr>
              <w:pStyle w:val="EPName"/>
            </w:pPr>
            <w:r w:rsidRPr="007E2C24">
              <w:t>Европейски</w:t>
            </w:r>
            <w:r w:rsidR="00C71B95" w:rsidRPr="007E2C24">
              <w:t xml:space="preserve"> парламент</w:t>
            </w:r>
          </w:p>
          <w:p w:rsidR="00751A4A" w:rsidRPr="007E2C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2C24">
              <w:t>2024</w:t>
            </w:r>
            <w:r w:rsidR="00075A76">
              <w:rPr>
                <w:lang w:val="en-GB"/>
              </w:rPr>
              <w:t> – </w:t>
            </w:r>
            <w:r w:rsidR="00817416" w:rsidRPr="007E2C24">
              <w:t>202</w:t>
            </w:r>
            <w:r w:rsidRPr="007E2C2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2C24" w:rsidRDefault="00187494" w:rsidP="0010095E">
            <w:pPr>
              <w:pStyle w:val="EPLogo"/>
            </w:pPr>
            <w:r w:rsidRPr="007E2C2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2C24" w:rsidRDefault="00D058B8" w:rsidP="004C5D52">
      <w:pPr>
        <w:pStyle w:val="LineTop"/>
      </w:pPr>
    </w:p>
    <w:p w:rsidR="00680577" w:rsidRPr="007E2C24" w:rsidRDefault="00C71B95" w:rsidP="00680577">
      <w:pPr>
        <w:pStyle w:val="EPBodyTA1"/>
      </w:pPr>
      <w:r w:rsidRPr="007E2C24">
        <w:t>ПРИЕТИ ТЕКСТОВЕ</w:t>
      </w:r>
    </w:p>
    <w:p w:rsidR="00D058B8" w:rsidRPr="007E2C24" w:rsidRDefault="00D058B8" w:rsidP="00D058B8">
      <w:pPr>
        <w:pStyle w:val="LineBottom"/>
      </w:pPr>
    </w:p>
    <w:p w:rsidR="00C71B95" w:rsidRPr="007E2C24" w:rsidRDefault="00C71B95" w:rsidP="00C71B95">
      <w:pPr>
        <w:pStyle w:val="ATHeading1"/>
      </w:pPr>
      <w:bookmarkStart w:id="0" w:name="TANumber"/>
      <w:r w:rsidRPr="007E2C24">
        <w:t>P10_TA(2025)0</w:t>
      </w:r>
      <w:r w:rsidR="00A76D9F">
        <w:rPr>
          <w:lang w:val="en-GB"/>
        </w:rPr>
        <w:t>107</w:t>
      </w:r>
      <w:bookmarkEnd w:id="0"/>
    </w:p>
    <w:p w:rsidR="00C71B95" w:rsidRPr="007E2C24" w:rsidRDefault="00C71B95" w:rsidP="00C71B95">
      <w:pPr>
        <w:pStyle w:val="ATHeading2"/>
      </w:pPr>
      <w:bookmarkStart w:id="1" w:name="title"/>
      <w:r w:rsidRPr="007E2C24">
        <w:t>Стари предизвикателства и нови търговски практики на вътрешния пазар</w:t>
      </w:r>
      <w:bookmarkEnd w:id="1"/>
    </w:p>
    <w:p w:rsidR="00C71B95" w:rsidRPr="007E2C24" w:rsidRDefault="00C71B95" w:rsidP="00C71B95">
      <w:pPr>
        <w:rPr>
          <w:i/>
          <w:vanish/>
        </w:rPr>
      </w:pPr>
      <w:r w:rsidRPr="007E2C24">
        <w:rPr>
          <w:i/>
        </w:rPr>
        <w:fldChar w:fldCharType="begin"/>
      </w:r>
      <w:r w:rsidRPr="007E2C24">
        <w:rPr>
          <w:i/>
        </w:rPr>
        <w:instrText xml:space="preserve"> TC"(</w:instrText>
      </w:r>
      <w:bookmarkStart w:id="2" w:name="DocNumber"/>
      <w:r w:rsidRPr="007E2C24">
        <w:rPr>
          <w:i/>
        </w:rPr>
        <w:instrText>B10-0246/2025</w:instrText>
      </w:r>
      <w:bookmarkEnd w:id="2"/>
      <w:r w:rsidRPr="007E2C24">
        <w:rPr>
          <w:i/>
        </w:rPr>
        <w:instrText xml:space="preserve">)"\l3 \n&gt; \* MERGEFORMAT </w:instrText>
      </w:r>
      <w:r w:rsidRPr="007E2C24">
        <w:rPr>
          <w:i/>
        </w:rPr>
        <w:fldChar w:fldCharType="end"/>
      </w:r>
    </w:p>
    <w:p w:rsidR="00C71B95" w:rsidRPr="007E2C24" w:rsidRDefault="00C71B95" w:rsidP="00C71B95">
      <w:pPr>
        <w:rPr>
          <w:vanish/>
        </w:rPr>
      </w:pPr>
      <w:bookmarkStart w:id="3" w:name="PE"/>
      <w:r w:rsidRPr="007E2C24">
        <w:rPr>
          <w:vanish/>
        </w:rPr>
        <w:t>PE772.165</w:t>
      </w:r>
      <w:bookmarkEnd w:id="3"/>
    </w:p>
    <w:p w:rsidR="00C71B95" w:rsidRPr="007E2C24" w:rsidRDefault="00C71B95" w:rsidP="00075A76">
      <w:pPr>
        <w:pStyle w:val="ATHeading3"/>
      </w:pPr>
      <w:bookmarkStart w:id="4" w:name="Sujet"/>
      <w:r w:rsidRPr="007E2C24">
        <w:t xml:space="preserve">Резолюция на Европейския парламент от </w:t>
      </w:r>
      <w:r w:rsidR="00075A76">
        <w:rPr>
          <w:lang w:val="en-GB"/>
        </w:rPr>
        <w:t xml:space="preserve">8 </w:t>
      </w:r>
      <w:r w:rsidR="00075A76">
        <w:t>май</w:t>
      </w:r>
      <w:r w:rsidRPr="007E2C24">
        <w:t xml:space="preserve"> 2025 г. относно старите предизвикателства и новите търговски практики на вътрешния пазар</w:t>
      </w:r>
      <w:bookmarkEnd w:id="4"/>
      <w:r w:rsidRPr="007E2C24">
        <w:t xml:space="preserve"> </w:t>
      </w:r>
      <w:bookmarkStart w:id="5" w:name="References"/>
      <w:r w:rsidRPr="007E2C24">
        <w:t>(2025/2542(RSP))</w:t>
      </w:r>
      <w:bookmarkEnd w:id="5"/>
    </w:p>
    <w:p w:rsidR="006D120B" w:rsidRPr="007E2C24" w:rsidRDefault="006D120B" w:rsidP="006D120B">
      <w:pPr>
        <w:pStyle w:val="EPComma"/>
      </w:pPr>
      <w:bookmarkStart w:id="6" w:name="TextBodyBegin"/>
      <w:bookmarkEnd w:id="6"/>
      <w:r w:rsidRPr="007E2C24">
        <w:rPr>
          <w:i/>
          <w:iCs/>
        </w:rPr>
        <w:t>Европейският парламент</w:t>
      </w:r>
      <w:r w:rsidRPr="007E2C24">
        <w:t>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своята резолюция от 18 януари 2023 г. относно 30-ата годишнина от създаването на единния пазар: отбелязване на постиженията и поглед към бъдещото развитие</w:t>
      </w:r>
      <w:r w:rsidRPr="007E2C24">
        <w:rPr>
          <w:rStyle w:val="FootnoteReference"/>
        </w:rPr>
        <w:footnoteReference w:id="1"/>
      </w:r>
      <w:r w:rsidRPr="007E2C24">
        <w:t>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доклада на Енрико Лета от 17 април 2024 г., озаглавен „Mного повече от пазар“ (доклада Лета),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доклада на Марио Драги от 9 септември 2024 г., озаглавен „Бъдещето на европейската конкурентоспособност“ (доклада Драги),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съобщението на Комисията от 29 януари 2025 г., озаглавено „Годишен доклад от 2025 г. за единния пазар и конкурентоспособността“ (COM(2025)0026),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съобщението на Комисията от 29 януари 2025 г., озаглавено „Компас за конкурентоспособността на ЕС“ (COM(2025)0030),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съобщението на Комисията от 11 февруари 2025 г., озаглавено „Една опростена и по-експедитивна Европа: Съобщение относно изпълнението и опростяването“ (COM(2025)0047),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въпроса до Комисията относно старите предизвикателства и новите търговски практики на вътрешния пазар (O-000012/2025 – B10</w:t>
      </w:r>
      <w:r w:rsidRPr="007E2C24">
        <w:noBreakHyphen/>
        <w:t>0264/2025),</w:t>
      </w:r>
    </w:p>
    <w:p w:rsidR="006D120B" w:rsidRPr="007E2C24" w:rsidRDefault="006D120B" w:rsidP="006D120B">
      <w:pPr>
        <w:pStyle w:val="NormalHanging12a"/>
      </w:pPr>
      <w:r w:rsidRPr="007E2C24">
        <w:t>–</w:t>
      </w:r>
      <w:r w:rsidRPr="007E2C24">
        <w:tab/>
        <w:t>като взе предвид член 142, параграф 5 и член 136, параграф 2 от своя Правилник за дейността,</w:t>
      </w:r>
    </w:p>
    <w:p w:rsidR="006D120B" w:rsidRPr="007E2C24" w:rsidRDefault="006D120B" w:rsidP="006D120B">
      <w:pPr>
        <w:pStyle w:val="NormalHanging12a"/>
      </w:pPr>
      <w:r w:rsidRPr="007E2C24">
        <w:t>А.</w:t>
      </w:r>
      <w:r w:rsidRPr="007E2C24">
        <w:tab/>
        <w:t xml:space="preserve">като има предвид, че способността на Европейския съюз да се конкурира и просперира в световната икономика е от жизненоважно значение, особено на фона на настоящите геополитически предизвикателства и кризите в областта на </w:t>
      </w:r>
      <w:r w:rsidRPr="007E2C24">
        <w:lastRenderedPageBreak/>
        <w:t>климата и други екологични кризи; като има предвид, че неговата настояща, средносрочна и дългосрочна конкурентоспособност разчита на напълно интегриран и ефективен единен пазар, който позволява на европейските предприятия да въвеждат иновации и да просперират и който дава приоритет на намаляването на административната тежест;</w:t>
      </w:r>
    </w:p>
    <w:p w:rsidR="006D120B" w:rsidRPr="007E2C24" w:rsidRDefault="006D120B" w:rsidP="006D120B">
      <w:pPr>
        <w:pStyle w:val="NormalHanging12a"/>
      </w:pPr>
      <w:r w:rsidRPr="007E2C24">
        <w:t>Б.</w:t>
      </w:r>
      <w:r w:rsidRPr="007E2C24">
        <w:tab/>
        <w:t>като има предвид, че единният пазар, обхващащ близо 450 милиона граждани и 23 милиона предприятия, генерира брутен вътрешен продукт (БВП) в размер на 17 трилиона евро, позиционирайки ЕС сред трите най-големи икономики в света и допринасяйки за приблизително една шеста от световното икономическо производство;</w:t>
      </w:r>
    </w:p>
    <w:p w:rsidR="006D120B" w:rsidRPr="007E2C24" w:rsidRDefault="006D120B" w:rsidP="006D120B">
      <w:pPr>
        <w:pStyle w:val="NormalHanging12a"/>
      </w:pPr>
      <w:r w:rsidRPr="007E2C24">
        <w:t>В.</w:t>
      </w:r>
      <w:r w:rsidRPr="007E2C24">
        <w:tab/>
        <w:t>като има предвид, че докладът на Драги показа, че разходите за привеждане в съответствие, произтичащи от различни законодателни актове, остават много високи за европейските дружества, което възпрепятства европейския капацитет за иновации;</w:t>
      </w:r>
    </w:p>
    <w:p w:rsidR="006D120B" w:rsidRPr="007E2C24" w:rsidRDefault="006D120B" w:rsidP="006D120B">
      <w:pPr>
        <w:pStyle w:val="NormalHanging12a"/>
      </w:pPr>
      <w:r w:rsidRPr="007E2C24">
        <w:t>Г.</w:t>
      </w:r>
      <w:r w:rsidRPr="007E2C24">
        <w:tab/>
        <w:t>като се има предвид, че е все така важно да се подобри функционирането на единния пазар и да се преодолее трайната разпокъсаност чрез общи и хармонизирани политики на Съюза, чрез по-ефективно изпълнение и прилагане и чрез опростяване на правилата на ЕС; като има предвид, че намаляването на административната тежест и разходите, особено за малките и средните предприятия (МСП), може да спомогне за насърчаване на иновациите и за подкрепа на европейските предприятия; като има предвид, че отключването на пълния потенциал на единния пазар изисква преодоляване на трайните пречки пред свободното движение на стоки и услуги;</w:t>
      </w:r>
    </w:p>
    <w:p w:rsidR="006D120B" w:rsidRPr="007E2C24" w:rsidRDefault="006D120B" w:rsidP="006D120B">
      <w:pPr>
        <w:pStyle w:val="NormalHanging12a"/>
      </w:pPr>
      <w:r w:rsidRPr="007E2C24">
        <w:t>Д.</w:t>
      </w:r>
      <w:r w:rsidRPr="007E2C24">
        <w:tab/>
        <w:t>като има предвид, че бързото разрастване на цифровите платформи и на електронната търговия въведе нова пазарна динамика, и като има предвид, че променящите се тенденции в световната електронна търговия допълнително затрудняват митническия контрол, надзора на пазара и работата на органите за защита на потребителите;</w:t>
      </w:r>
    </w:p>
    <w:p w:rsidR="006D120B" w:rsidRPr="007E2C24" w:rsidRDefault="006D120B" w:rsidP="006D120B">
      <w:pPr>
        <w:pStyle w:val="NormalHanging12a"/>
      </w:pPr>
      <w:r w:rsidRPr="007E2C24">
        <w:t>Е.</w:t>
      </w:r>
      <w:r w:rsidRPr="007E2C24">
        <w:tab/>
        <w:t>като има предвид, че геополитическите промени и глобалните икономически трансформации променят веригите на доставки, като изискват от ЕС да адаптира своите политики в областта на единния пазар; като има предвид, че ЕС е определил най-високите стандарти за безопасност на продуктите и за защита на потребителите както офлайн, така и онлайн;</w:t>
      </w:r>
    </w:p>
    <w:p w:rsidR="006D120B" w:rsidRPr="007E2C24" w:rsidRDefault="006D120B" w:rsidP="006D120B">
      <w:pPr>
        <w:pStyle w:val="NormalHanging12a"/>
      </w:pPr>
      <w:r w:rsidRPr="007E2C24">
        <w:t>Ж.</w:t>
      </w:r>
      <w:r w:rsidRPr="007E2C24">
        <w:tab/>
        <w:t>като има предвид, че се обръща внимание на нарастващия брой случаи, докладвани в целия ЕС, при които стоките и услугите предлагат намалено количество или качество, въпреки стабилните или повишаващи се цени;</w:t>
      </w:r>
    </w:p>
    <w:p w:rsidR="006D120B" w:rsidRPr="007E2C24" w:rsidRDefault="006D120B" w:rsidP="006D120B">
      <w:pPr>
        <w:pStyle w:val="NormalHanging12a"/>
        <w:rPr>
          <w:b/>
          <w:i/>
          <w:iCs/>
        </w:rPr>
      </w:pPr>
      <w:r w:rsidRPr="007E2C24">
        <w:rPr>
          <w:b/>
          <w:i/>
        </w:rPr>
        <w:t>Стари и трайни предизвикателства</w:t>
      </w:r>
    </w:p>
    <w:p w:rsidR="006D120B" w:rsidRPr="007E2C24" w:rsidRDefault="006D120B" w:rsidP="006D120B">
      <w:pPr>
        <w:pStyle w:val="NormalHanging12a"/>
      </w:pPr>
      <w:r w:rsidRPr="007E2C24">
        <w:t>1.</w:t>
      </w:r>
      <w:r w:rsidRPr="007E2C24">
        <w:tab/>
        <w:t xml:space="preserve">отново потвърждава, че единният пазар е крайъгълен камък на европейската икономическа интеграция, като дава възможност за свободно движение на стоки, услуги, капитали и хора; подчертава обаче, че съществуват дългогодишни и нововъзникващи предизвикателства, които изискват амбициозни реформи, без да се вреди на европейската конкурентоспособност или да се налага ненужна административна тежест върху дружествата; призовава Комисията и държавите членки да удвоят усилията си за прилагане на тези реформи и да премахнат </w:t>
      </w:r>
      <w:r w:rsidRPr="007E2C24">
        <w:lastRenderedPageBreak/>
        <w:t>оставащите необосновани пречки пред свободното движение на стоки и услуги, като същевременно се гарантира високо равнище на защита на потребителите;</w:t>
      </w:r>
    </w:p>
    <w:p w:rsidR="006D120B" w:rsidRDefault="006D120B" w:rsidP="006D120B">
      <w:pPr>
        <w:pStyle w:val="NormalHanging12a"/>
      </w:pPr>
      <w:r w:rsidRPr="007E2C24">
        <w:t>2.</w:t>
      </w:r>
      <w:r w:rsidRPr="007E2C24">
        <w:tab/>
        <w:t>призовава Комисията и държавите членки да продължат да осигуряват солидна защита на потребителите, като същевременно се предвидят правила в областта на конкуренцията, които благоприятстват иновациите, съобразени са с бъдещето и са пропорционални; подчертава необходимостта от гарантиране на правна сигурност и съгласуваност и от свеждане до минимум на регулаторната сложност и разпокъсаност, които биха могли да засегнат непропорционално МСП, стартиращите и разрастващите се предприятия;</w:t>
      </w:r>
    </w:p>
    <w:p w:rsidR="00A76D9F" w:rsidRPr="00A76D9F" w:rsidRDefault="00A76D9F" w:rsidP="00A76D9F">
      <w:pPr>
        <w:pStyle w:val="NormalHanging12a"/>
      </w:pPr>
      <w:r w:rsidRPr="0039542E">
        <w:t>3.</w:t>
      </w:r>
      <w:r w:rsidRPr="0039542E">
        <w:tab/>
        <w:t xml:space="preserve">подчертава, че продължаващите пречки </w:t>
      </w:r>
      <w:r>
        <w:t xml:space="preserve">и </w:t>
      </w:r>
      <w:r w:rsidRPr="0039542E">
        <w:t>нормативната уредба ограничиха развитието на единния пазар, както беше отбелязано в доклада Драги; призовава за преминаване към регулаторен подход, който да даде възможност на дружествата да се разрастват, да въвеждат иновации и да играят водеща роля в международен план, като по този начин се възстановява единният пазар като истински двигател на растежа и конкурентоспособността;</w:t>
      </w:r>
    </w:p>
    <w:p w:rsidR="006D120B" w:rsidRPr="007E2C24" w:rsidRDefault="00C67F80" w:rsidP="006D120B">
      <w:pPr>
        <w:pStyle w:val="NormalHanging12a"/>
      </w:pPr>
      <w:r>
        <w:t>4</w:t>
      </w:r>
      <w:r w:rsidR="006D120B" w:rsidRPr="007E2C24">
        <w:t>.</w:t>
      </w:r>
      <w:r w:rsidR="006D120B" w:rsidRPr="007E2C24">
        <w:tab/>
        <w:t>призовава Комисията да гарантира, че бъдещите законодателни инициативи се ръководят последователно от стратегическите приоритети, определени в нейните съобщения и в стратегията ѝ за конкурентоспособност;</w:t>
      </w:r>
    </w:p>
    <w:p w:rsidR="006D120B" w:rsidRPr="007E2C24" w:rsidRDefault="00C67F80" w:rsidP="006D120B">
      <w:pPr>
        <w:pStyle w:val="NormalHanging12a"/>
      </w:pPr>
      <w:r>
        <w:t>5</w:t>
      </w:r>
      <w:r w:rsidR="006D120B" w:rsidRPr="007E2C24">
        <w:t>.</w:t>
      </w:r>
      <w:r w:rsidR="006D120B" w:rsidRPr="007E2C24">
        <w:tab/>
        <w:t>подчертава, че както се вижда от докладите Лета и Драги, в сектора на услугите все още има неизползван потенциал; призовава за по-нататъшни действия в този сектор за преодоляване на значителните пречки, които продължават да съществуват, като се започне от определянето на амбициозни цели в предстоящата стратегия за единния пазар; отбелязва, че услугите се равняват на три четвърти от БВП на ЕС, представляват две трети от заетостта и създават 9 от общо 10 нови работни места в икономиката на ЕС; отбелязва обаче, че услугите все още са най-слабо развитият сегмент на единния пазар на ЕС;</w:t>
      </w:r>
    </w:p>
    <w:p w:rsidR="006D120B" w:rsidRPr="007E2C24" w:rsidRDefault="00C67F80" w:rsidP="006D120B">
      <w:pPr>
        <w:pStyle w:val="NormalHanging12a"/>
      </w:pPr>
      <w:r>
        <w:t>6</w:t>
      </w:r>
      <w:r w:rsidR="006D120B" w:rsidRPr="007E2C24">
        <w:t>.</w:t>
      </w:r>
      <w:r w:rsidR="006D120B" w:rsidRPr="007E2C24">
        <w:tab/>
        <w:t>приветства предложението за регламент относно публичен интерфейс, свързан с Информационната система за вътрешния пазар, за деклариране на командироването на работници и за изменение на Регламент (ЕС) № 1024/2012 (</w:t>
      </w:r>
      <w:r w:rsidR="006D120B" w:rsidRPr="007E2C24">
        <w:rPr>
          <w:shd w:val="clear" w:color="auto" w:fill="FFFFFF"/>
        </w:rPr>
        <w:t>COM</w:t>
      </w:r>
      <w:r w:rsidR="00075A76">
        <w:rPr>
          <w:shd w:val="clear" w:color="auto" w:fill="FFFFFF"/>
        </w:rPr>
        <w:t>(</w:t>
      </w:r>
      <w:r w:rsidR="006D120B" w:rsidRPr="007E2C24">
        <w:rPr>
          <w:shd w:val="clear" w:color="auto" w:fill="FFFFFF"/>
        </w:rPr>
        <w:t>2024</w:t>
      </w:r>
      <w:r w:rsidR="00075A76">
        <w:rPr>
          <w:shd w:val="clear" w:color="auto" w:fill="FFFFFF"/>
        </w:rPr>
        <w:t>)0</w:t>
      </w:r>
      <w:r w:rsidR="006D120B" w:rsidRPr="007E2C24">
        <w:rPr>
          <w:shd w:val="clear" w:color="auto" w:fill="FFFFFF"/>
        </w:rPr>
        <w:t>531</w:t>
      </w:r>
      <w:r w:rsidR="006D120B" w:rsidRPr="007E2C24">
        <w:t>), което би трябвало да доведе до опростяване и до по-добро прилагане на разпоредбите; отбелязва също така, че цифровизацията би могла значително да намали административната тежест за трансграничните услуги и да гарантира по-добър достъп за предприятията и потребителите; във връзка с това призовава за единен портал за деклариране и за цифровизация на формулярите A1 за трансграничните услуги;</w:t>
      </w:r>
    </w:p>
    <w:p w:rsidR="006D120B" w:rsidRPr="007E2C24" w:rsidRDefault="00C67F80" w:rsidP="006D120B">
      <w:pPr>
        <w:pStyle w:val="NormalHanging12a"/>
      </w:pPr>
      <w:r>
        <w:t>7</w:t>
      </w:r>
      <w:r w:rsidR="006D120B" w:rsidRPr="007E2C24">
        <w:t>.</w:t>
      </w:r>
      <w:r w:rsidR="006D120B" w:rsidRPr="007E2C24">
        <w:tab/>
        <w:t>подчертава, че е важно да се признават ефективно професионалните квалификации и да се премахнат необоснованите пречки пред свободното движение на специалисти, за да станат професионалните услуги на ЕС конкурентоспособни в световен мащаб през следващите десетилетия; насърчава Комисията да остане бдителна при провеждането на производства за установяване на неизпълнение на задължения от държава членка, когато държавите членки не спазват законодателството на ЕС относно признаването на квалификациите;</w:t>
      </w:r>
    </w:p>
    <w:p w:rsidR="006D120B" w:rsidRPr="007E2C24" w:rsidRDefault="00C67F80" w:rsidP="006D120B">
      <w:pPr>
        <w:pStyle w:val="NormalHanging12a"/>
      </w:pPr>
      <w:r>
        <w:t>8</w:t>
      </w:r>
      <w:r w:rsidR="006D120B" w:rsidRPr="007E2C24">
        <w:t>.</w:t>
      </w:r>
      <w:r w:rsidR="006D120B" w:rsidRPr="007E2C24">
        <w:tab/>
        <w:t xml:space="preserve">подчертава, че правилата на единния пазар следва да гарантират достъпа до обществени услуги и да защитават правата на потребителите, както да вземат предвид други първостепенни съображения от обществен интерес; добавя, че </w:t>
      </w:r>
      <w:r w:rsidR="006D120B" w:rsidRPr="007E2C24">
        <w:lastRenderedPageBreak/>
        <w:t>всяка оценка на ограниченията в рамките на единния пазар на услуги следва да включва качествени критерии;</w:t>
      </w:r>
    </w:p>
    <w:p w:rsidR="006D120B" w:rsidRPr="007E2C24" w:rsidRDefault="00C67F80" w:rsidP="006D120B">
      <w:pPr>
        <w:pStyle w:val="NormalHanging12a"/>
      </w:pPr>
      <w:r>
        <w:t>9</w:t>
      </w:r>
      <w:r w:rsidR="006D120B" w:rsidRPr="007E2C24">
        <w:t>.</w:t>
      </w:r>
      <w:r w:rsidR="006D120B" w:rsidRPr="007E2C24">
        <w:tab/>
        <w:t>отбелязва ролята, която обществените поръчки в ЕС могат да играят за преодоляване на пречките пред навлизането на пазара и за подкрепа на устойчиви и издръжливи промишлени екосистеми, висококачествени работни места и създаване на стойност в ЕС;</w:t>
      </w:r>
    </w:p>
    <w:p w:rsidR="006D120B" w:rsidRPr="007E2C24" w:rsidRDefault="00C67F80" w:rsidP="006D120B">
      <w:pPr>
        <w:pStyle w:val="NormalHanging12a"/>
      </w:pPr>
      <w:r>
        <w:t>10</w:t>
      </w:r>
      <w:r w:rsidR="006D120B" w:rsidRPr="007E2C24">
        <w:t>.</w:t>
      </w:r>
      <w:r w:rsidR="006D120B" w:rsidRPr="007E2C24">
        <w:tab/>
        <w:t>признава, че новата законодателна рамка (НЗР) е допринесла за съгласуваността на законодателството на ЕС в областта на продуктите и че след приемането ѝ промишленият сектор, веригите на доставки и продуктите претърпяха съществени преобразувания в контекста на цифровия и екологичния преход, но и промени в динамиката на пазара; отбелязва, че в оценката на НЗР от 2022 г. са установени критични предизвикателства, например потенциално чуждестранно влияние, незаконни практики, недостатъци при справянето с цифровизацията и кръговата икономика, както и потенциални актуализации на задълженията и определенията за някои икономически оператори, за да се отразят новите пазарни реалности;</w:t>
      </w:r>
    </w:p>
    <w:p w:rsidR="006D120B" w:rsidRPr="007E2C24" w:rsidRDefault="00C67F80" w:rsidP="006D120B">
      <w:pPr>
        <w:pStyle w:val="NormalHanging12a"/>
      </w:pPr>
      <w:r>
        <w:t>11</w:t>
      </w:r>
      <w:r w:rsidR="006D120B" w:rsidRPr="007E2C24">
        <w:t>.</w:t>
      </w:r>
      <w:r w:rsidR="006D120B" w:rsidRPr="007E2C24">
        <w:tab/>
        <w:t>подчертава, че решаването на тези въпроси и ориентирането на НЗР към бъдещето е от съществено значение за гарантиране на съгласуваност, намаляване на разходите и обезпечаване на свободното движение на стоки; поради това призовава за актуализиране на НЗР с цел рационализиране на правилата за продуктите, насърчаване на цифровизацията и опростяване на процедурите за съответствие и надзор на пазара; счита, че НЗР следва да насърчава използването на цифрови продуктови паспорти като средство за доказване на съответствието на продуктите и спазването на изискванията за предоставяне на информация;</w:t>
      </w:r>
    </w:p>
    <w:p w:rsidR="006D120B" w:rsidRDefault="00C67F80" w:rsidP="006D120B">
      <w:pPr>
        <w:pStyle w:val="NormalHanging12a"/>
      </w:pPr>
      <w:r>
        <w:t>12</w:t>
      </w:r>
      <w:r w:rsidR="006D120B" w:rsidRPr="007E2C24">
        <w:t>.</w:t>
      </w:r>
      <w:r w:rsidR="006D120B" w:rsidRPr="007E2C24">
        <w:tab/>
        <w:t>призовава Комисията и държавите членки да опростят правилата на ЕС и да улеснят тяхното прилагане, както и значително да намалят административната тежест, по-специално за МСП, които играят жизненоважна роля за поддържането на местните общности и икономики; подчертава, че е важно да се гарантира правна сигурност и съгласуваност за предприятията, както и предвидимост за дългосрочните инвестиции, които са от съществено значение за повишаване на конкурентоспособността, иновациите и устойчивостта и за постигане на бързи и съдържателни подобрения за потребителите и предприятията; освен това призовава държавите членки да предотвратяват действия, които биха могли да компрометират еднаквите условия на конкуренция на вътрешния пазар;</w:t>
      </w:r>
    </w:p>
    <w:p w:rsidR="00C44AD7" w:rsidRDefault="00C44AD7" w:rsidP="006D120B">
      <w:pPr>
        <w:pStyle w:val="NormalHanging12a"/>
      </w:pPr>
      <w:r>
        <w:t>13</w:t>
      </w:r>
      <w:r w:rsidRPr="00C44AD7">
        <w:t>.</w:t>
      </w:r>
      <w:r w:rsidRPr="00C44AD7">
        <w:tab/>
        <w:t>призовава Комисията да улесни дейностите на МСП и малките дружества със средна пазарна капитализация в рамките на единния пазар, а именно чрез специални мерки за опростяване „омнибус“;</w:t>
      </w:r>
    </w:p>
    <w:p w:rsidR="006D120B" w:rsidRPr="007E2C24" w:rsidRDefault="00A8798E" w:rsidP="006D120B">
      <w:pPr>
        <w:pStyle w:val="NormalHanging12a"/>
      </w:pPr>
      <w:r>
        <w:t>14</w:t>
      </w:r>
      <w:r w:rsidR="006D120B" w:rsidRPr="007E2C24">
        <w:t>.</w:t>
      </w:r>
      <w:r w:rsidR="006D120B" w:rsidRPr="007E2C24">
        <w:tab/>
        <w:t xml:space="preserve">признава, че непоследователното и фрагментирано прилагане на законодателството на ЕС в държавите членки продължава да нарушава конкуренцията и да подкопава целостта на единния пазар; добавя, че държавите членки носят основната отговорност за прилагането на правилата на ЕС; приканва Комисията да използва пълноценно своите правомощия за правоприлагане; призовава за подобряване на механизмите за мониторинг и правоприлагане на равнището на ЕС, например хармонизирани правила относно минималните равнища на проверки, хармонизирани методологии за извършване на тези проверки и съвместни инспекции, за да се гарантира еднакво прилагане на правото на ЕС и когато е приложимо, своевременна правна защита за </w:t>
      </w:r>
      <w:r w:rsidR="006D120B" w:rsidRPr="007E2C24">
        <w:lastRenderedPageBreak/>
        <w:t>потребителите;</w:t>
      </w:r>
    </w:p>
    <w:p w:rsidR="006D120B" w:rsidRPr="007E2C24" w:rsidRDefault="00A8798E" w:rsidP="006D120B">
      <w:pPr>
        <w:pStyle w:val="NormalHanging12a"/>
      </w:pPr>
      <w:r>
        <w:t>15</w:t>
      </w:r>
      <w:r w:rsidR="006D120B" w:rsidRPr="007E2C24">
        <w:t>.</w:t>
      </w:r>
      <w:r w:rsidR="006D120B" w:rsidRPr="007E2C24">
        <w:tab/>
        <w:t>подчертава значението на поддържането на конкурентна и динамична икономическа среда чрез защита на правата на потребителите и прилагане на правилата за цифрова конкуренция с цел справяне с нелоялните търговски практики, които нарушават пазарните условия; освен това призовава държавите членки да увеличат капацитета на органите за надзор на пазара и митническите органи, за да се гарантира ефективното прилагане на правилата на единния пазар, по-специално по отношение на електронната търговия и вноса от държави извън ЕС;</w:t>
      </w:r>
    </w:p>
    <w:p w:rsidR="006D120B" w:rsidRPr="007E2C24" w:rsidRDefault="00A8798E" w:rsidP="006D120B">
      <w:pPr>
        <w:pStyle w:val="NormalHanging12a"/>
      </w:pPr>
      <w:r>
        <w:t>16</w:t>
      </w:r>
      <w:r w:rsidR="006D120B" w:rsidRPr="007E2C24">
        <w:t>.</w:t>
      </w:r>
      <w:r w:rsidR="006D120B" w:rsidRPr="007E2C24">
        <w:tab/>
        <w:t>припомня, че териториалните ограничения на доставките в сегментите на търговията на дребно и на едро фрагментират единния пазар, ограничават избора на потребителите и водят до значителни ценови различия в целия Съюз, като засягат по-специално цените на основните потребителски стоки; подчертава, че макар правото в областта на конкуренцията да санкционира ефективно някои от тези практики, много от тях попадат извън неговия обхват; поради това призовава Комисията да предложи мерки за решаване на въпроса, включително по-строго правоприлагане срещу антиконкурентните споразумения за дистрибуция, за да се защити лоялната конкуренция, като по този начин се гарантира целостта на единния пазар;</w:t>
      </w:r>
    </w:p>
    <w:p w:rsidR="006D120B" w:rsidRPr="007E2C24" w:rsidRDefault="00A8798E" w:rsidP="006D120B">
      <w:pPr>
        <w:pStyle w:val="NormalHanging12a"/>
      </w:pPr>
      <w:r>
        <w:t>17</w:t>
      </w:r>
      <w:r w:rsidR="006D120B" w:rsidRPr="007E2C24">
        <w:t>.</w:t>
      </w:r>
      <w:r w:rsidR="006D120B" w:rsidRPr="007E2C24">
        <w:tab/>
        <w:t>призовава Комисията да проучи причините за различните равнища на инфлация при основните стоки и увеличенията на потребителските цени, наблюдавани в някои държави – членки на ЕС;</w:t>
      </w:r>
    </w:p>
    <w:p w:rsidR="006D120B" w:rsidRPr="007E2C24" w:rsidRDefault="00A8798E" w:rsidP="006D120B">
      <w:pPr>
        <w:pStyle w:val="NormalHanging12a"/>
      </w:pPr>
      <w:r>
        <w:t>18</w:t>
      </w:r>
      <w:r w:rsidR="006D120B" w:rsidRPr="007E2C24">
        <w:t>.</w:t>
      </w:r>
      <w:r w:rsidR="006D120B" w:rsidRPr="007E2C24">
        <w:tab/>
        <w:t>счита, че единният пазар е ключов инструмент по време на криза, ако държавите членки могат да действат координирано; счита, че наскоро приетият законодателен акт за извънредните ситуации и устойчивостта на вътрешния пазар</w:t>
      </w:r>
      <w:r w:rsidR="006D120B" w:rsidRPr="007E2C24">
        <w:rPr>
          <w:rStyle w:val="FootnoteReference"/>
        </w:rPr>
        <w:footnoteReference w:id="2"/>
      </w:r>
      <w:r w:rsidR="006D120B" w:rsidRPr="007E2C24">
        <w:t xml:space="preserve"> ще бъде от основно значение за осигуряването на координация с цел да се предотврати недостигът и да се гарантира гладкото функциониране на единния пазар, включително свободното движение на основни стоки и услуги в целия ЕС;</w:t>
      </w:r>
    </w:p>
    <w:p w:rsidR="006D120B" w:rsidRPr="007E2C24" w:rsidRDefault="00A8798E" w:rsidP="006D120B">
      <w:pPr>
        <w:pStyle w:val="NormalHanging12a"/>
      </w:pPr>
      <w:r>
        <w:t>19</w:t>
      </w:r>
      <w:r w:rsidR="006D120B" w:rsidRPr="007E2C24">
        <w:t>.</w:t>
      </w:r>
      <w:r w:rsidR="006D120B" w:rsidRPr="007E2C24">
        <w:tab/>
        <w:t>призовава Комисията да даде възможност на потребителите лесно да упражняват правата си на пътници, като създаде национални правоприлагащи органи, на които следва да бъдат предоставени хармонизирани правомощия за разследване и правоприлагане и които следва да могат ефективно да обработват индивидуалните жалби и свързаните с тях глоби;</w:t>
      </w:r>
    </w:p>
    <w:p w:rsidR="006D120B" w:rsidRPr="007E2C24" w:rsidRDefault="00A8798E" w:rsidP="006D120B">
      <w:pPr>
        <w:pStyle w:val="NormalHanging12a"/>
      </w:pPr>
      <w:r>
        <w:t>20</w:t>
      </w:r>
      <w:r w:rsidR="006D120B" w:rsidRPr="007E2C24">
        <w:t>.</w:t>
      </w:r>
      <w:r w:rsidR="006D120B" w:rsidRPr="007E2C24">
        <w:tab/>
        <w:t xml:space="preserve">подчертава, че мерките за електронна търговия, насочени към блокиране на географски принцип, по-специално Регламента за блокиране на географски </w:t>
      </w:r>
      <w:r w:rsidR="006D120B" w:rsidRPr="007E2C24">
        <w:lastRenderedPageBreak/>
        <w:t>принцип</w:t>
      </w:r>
      <w:r w:rsidR="006D120B" w:rsidRPr="007E2C24">
        <w:rPr>
          <w:rStyle w:val="FootnoteReference"/>
        </w:rPr>
        <w:footnoteReference w:id="3"/>
      </w:r>
      <w:r w:rsidR="006D120B" w:rsidRPr="007E2C24">
        <w:t>, спомогнаха за създаването на рамка за по-малко фрагментиран единен пазар и за разширяването на избора на потребителите за пазаруване онлайн; отбелязва със загриженост, че изпълнението на регламента е недостатъчно;</w:t>
      </w:r>
    </w:p>
    <w:p w:rsidR="006D120B" w:rsidRPr="007E2C24" w:rsidRDefault="00A8798E" w:rsidP="006D120B">
      <w:pPr>
        <w:pStyle w:val="NormalHanging12a"/>
      </w:pPr>
      <w:r>
        <w:t>21</w:t>
      </w:r>
      <w:r w:rsidR="006D120B" w:rsidRPr="007E2C24">
        <w:t>.</w:t>
      </w:r>
      <w:r w:rsidR="006D120B" w:rsidRPr="007E2C24">
        <w:tab/>
        <w:t>отбелязва, че Европейският акт за достъпността</w:t>
      </w:r>
      <w:r w:rsidR="006D120B" w:rsidRPr="007E2C24">
        <w:rPr>
          <w:rStyle w:val="FootnoteReference"/>
        </w:rPr>
        <w:footnoteReference w:id="4"/>
      </w:r>
      <w:r w:rsidR="006D120B" w:rsidRPr="007E2C24">
        <w:t xml:space="preserve"> ще започне да се прилага във всички държави – членки на ЕС, от 28 юни 2025 г.; подчертава значението на пълното му и ефективно изпълнение от страна на държавите членки, за да се гарантира хармонизирането на изискванията за достъпност на продуктите и услугите, като по този начин се гарантира тяхната достъпност за хората с увреждания в рамките на вътрешния пазар на ЕС;</w:t>
      </w:r>
    </w:p>
    <w:p w:rsidR="006D120B" w:rsidRPr="007E2C24" w:rsidRDefault="006D120B" w:rsidP="006D120B">
      <w:pPr>
        <w:pStyle w:val="NormalHanging12a"/>
        <w:rPr>
          <w:b/>
          <w:i/>
          <w:iCs/>
        </w:rPr>
      </w:pPr>
      <w:r w:rsidRPr="007E2C24">
        <w:rPr>
          <w:b/>
          <w:i/>
        </w:rPr>
        <w:t>Нововъзникващи търговски практики</w:t>
      </w:r>
    </w:p>
    <w:p w:rsidR="006D120B" w:rsidRPr="007E2C24" w:rsidRDefault="00A8798E" w:rsidP="006D120B">
      <w:pPr>
        <w:pStyle w:val="NormalHanging12a"/>
      </w:pPr>
      <w:r>
        <w:t>22</w:t>
      </w:r>
      <w:r w:rsidR="006D120B" w:rsidRPr="007E2C24">
        <w:t>.</w:t>
      </w:r>
      <w:r w:rsidR="006D120B" w:rsidRPr="007E2C24">
        <w:tab/>
        <w:t>подчертава, че бързото разрастване на цифровите платформи и електронната търговия въведе нова пазарна динамика и създаде по-разширени възможности, както и предизвикателства и рискове за потребителите; признава, че Законодателният акт за цифровите пазари</w:t>
      </w:r>
      <w:r w:rsidR="006D120B" w:rsidRPr="007E2C24">
        <w:rPr>
          <w:rStyle w:val="FootnoteReference"/>
        </w:rPr>
        <w:footnoteReference w:id="5"/>
      </w:r>
      <w:r w:rsidR="006D120B" w:rsidRPr="007E2C24">
        <w:t xml:space="preserve"> и Законодателният акт за цифровите услуги</w:t>
      </w:r>
      <w:r w:rsidR="006D120B" w:rsidRPr="007E2C24">
        <w:rPr>
          <w:rStyle w:val="FootnoteReference"/>
        </w:rPr>
        <w:footnoteReference w:id="6"/>
      </w:r>
      <w:r w:rsidR="006D120B" w:rsidRPr="007E2C24">
        <w:t xml:space="preserve"> представляват ключови законодателни инструменти, гарантиращи лоялна конкуренция, достъпност и справедливост в цифровите платформи, като същевременно насърчават защитата на потребителите и по-безопасна, по-надеждна и по-прозрачна цифрова среда в цифровата икономика; призовава за правилно прилагане на законодателството на ЕС в областта на новите технологии, за да се гарантира истински, автономен и информиран избор на потребителите, защита и лоялна конкуренция;</w:t>
      </w:r>
    </w:p>
    <w:p w:rsidR="006D120B" w:rsidRDefault="00A8798E" w:rsidP="006D120B">
      <w:pPr>
        <w:pStyle w:val="NormalHanging12a"/>
      </w:pPr>
      <w:r>
        <w:t>23</w:t>
      </w:r>
      <w:r w:rsidR="006D120B" w:rsidRPr="007E2C24">
        <w:t>.</w:t>
      </w:r>
      <w:r w:rsidR="006D120B" w:rsidRPr="007E2C24">
        <w:tab/>
        <w:t>счита, че е от съществено значение да се гарантира ефективното изпълнение и прилагане на тези два законодателни акта, и настоятелно призовава Комисията да приключи текущите си разследвания в рамките на Законодателния акт за цифровите услуги и Законодателния акт за цифровите пазари;</w:t>
      </w:r>
    </w:p>
    <w:p w:rsidR="00C67F80" w:rsidRPr="007E2C24" w:rsidRDefault="00A8798E" w:rsidP="00C67F80">
      <w:pPr>
        <w:pStyle w:val="NormalHanging12a"/>
      </w:pPr>
      <w:r>
        <w:t>24</w:t>
      </w:r>
      <w:r w:rsidR="00C67F80" w:rsidRPr="00C67F80">
        <w:t>.</w:t>
      </w:r>
      <w:r w:rsidR="00C67F80" w:rsidRPr="00C67F80">
        <w:tab/>
        <w:t xml:space="preserve">подчертава, че при изпълнението на Акта за цифровите услуги трябва напълно да се зачита свободата на изразяване; подчертава, че действията срещу незаконното съдържание не трябва да ограничават законната реч, и призовава за прозрачно </w:t>
      </w:r>
      <w:r w:rsidR="00C67F80" w:rsidRPr="00C67F80">
        <w:lastRenderedPageBreak/>
        <w:t>прилагане с цел защита на едно отворено и демократично цифрово пространство;</w:t>
      </w:r>
    </w:p>
    <w:p w:rsidR="006D120B" w:rsidRPr="007E2C24" w:rsidRDefault="00A8798E" w:rsidP="006D120B">
      <w:pPr>
        <w:pStyle w:val="NormalHanging12a"/>
      </w:pPr>
      <w:r>
        <w:t>25</w:t>
      </w:r>
      <w:r w:rsidR="006D120B" w:rsidRPr="007E2C24">
        <w:t>.</w:t>
      </w:r>
      <w:r w:rsidR="006D120B" w:rsidRPr="007E2C24">
        <w:tab/>
        <w:t>призовава Комисията и държавите членки да гарантират, че Законодателният акт за изкуствения интелект (ИИ)</w:t>
      </w:r>
      <w:r w:rsidR="006D120B" w:rsidRPr="007E2C24">
        <w:rPr>
          <w:rStyle w:val="FootnoteReference"/>
        </w:rPr>
        <w:footnoteReference w:id="7"/>
      </w:r>
      <w:r w:rsidR="006D120B" w:rsidRPr="007E2C24">
        <w:t xml:space="preserve"> поддържа основан на риска и благоприятстващ иновациите подход, като гарантира, че изискванията за съответствие са пропорционални на действителните рискове, породени от приложенията с ИИ, като същевременно се зачита необходимостта да се гарантира високо равнище на защита на здравето, безопасността и основните права;</w:t>
      </w:r>
    </w:p>
    <w:p w:rsidR="006D120B" w:rsidRPr="007E2C24" w:rsidRDefault="00A8798E" w:rsidP="006D120B">
      <w:pPr>
        <w:pStyle w:val="NormalHanging12a"/>
      </w:pPr>
      <w:r>
        <w:t>26</w:t>
      </w:r>
      <w:r w:rsidR="006D120B" w:rsidRPr="007E2C24">
        <w:t>.</w:t>
      </w:r>
      <w:r w:rsidR="006D120B" w:rsidRPr="007E2C24">
        <w:tab/>
        <w:t>приветства извършената от Комисията проверка за пригодност на законодателството за защита на потребителите във връзка със справедливостта в областта на цифровите технологии и предстоящата обществена консултация; подчертава, че някои въпроси, свързани със защитата на потребителите онлайн, остават нерешени, което води до дисбаланс между потребителите и търговците в рамките на цифровата икономика; призовава Комисията да разгледа тези въпроси в предстоящия законодателен акт за справедливост в областта на цифровите технологии; счита, че пристрастяването към цифровите технологии, онлайн хазартът, защитата на малолетните и непълнолетните лица онлайн и убедителните технологии, използвани от онлайн участниците, например целенасочена реклама, реклама на инфлуенсъри и тъмни модели, следва да попаднат в обхвата на законодателния акт за справедливост в областта на цифровите технологии, който следва да запълни правните пропуски и да бъде в съответствие с действащите правни инструменти, за да се осигури по-добра защита на потребителите онлайн, като се отчита необходимостта от избягване на ненужни регулаторни тежести;</w:t>
      </w:r>
    </w:p>
    <w:p w:rsidR="006D120B" w:rsidRPr="007E2C24" w:rsidRDefault="00A8798E" w:rsidP="006D120B">
      <w:pPr>
        <w:pStyle w:val="NormalHanging12a"/>
      </w:pPr>
      <w:r>
        <w:t>27</w:t>
      </w:r>
      <w:r w:rsidR="006D120B" w:rsidRPr="007E2C24">
        <w:t>.</w:t>
      </w:r>
      <w:r w:rsidR="006D120B" w:rsidRPr="007E2C24">
        <w:tab/>
        <w:t>отбелязва, че променящите се тенденции в световната електронна търговия и преструктурирането на веригата на доставки оказват по-голям натиск върху органите за митнически контрол, надзор на пазара и защита на потребителите; подчертава, че обемът на опасните и незаконни продукти, продавани на платформи за електронна търговия, по-специално от държави извън ЕС, се увеличава през последните години; подчертава значението на цифровите продуктови паспорти в тези процеси; поради това призовава за засилена рамка за надзор на пазара и преразглеждане на Регламента относно сътрудничеството в областта на защитата на потребителите</w:t>
      </w:r>
      <w:r w:rsidR="006D120B" w:rsidRPr="007E2C24">
        <w:rPr>
          <w:rStyle w:val="FootnoteReference"/>
        </w:rPr>
        <w:footnoteReference w:id="8"/>
      </w:r>
      <w:r w:rsidR="006D120B" w:rsidRPr="007E2C24">
        <w:t xml:space="preserve"> и призовава Съвета бързо да приеме своята позиция, за да се даде възможност за приемането на преразгледания Митнически кодекс на Съюза и за създаването на митнически орган на ЕС през 2026 г.;</w:t>
      </w:r>
    </w:p>
    <w:p w:rsidR="006D120B" w:rsidRPr="007E2C24" w:rsidRDefault="00A8798E" w:rsidP="006D120B">
      <w:pPr>
        <w:pStyle w:val="NormalHanging12a"/>
      </w:pPr>
      <w:r>
        <w:t>28</w:t>
      </w:r>
      <w:r w:rsidR="006D120B" w:rsidRPr="007E2C24">
        <w:t>.</w:t>
      </w:r>
      <w:r w:rsidR="006D120B" w:rsidRPr="007E2C24">
        <w:tab/>
        <w:t xml:space="preserve">призовава държавите членки да предоставят достатъчно технически, човешки и финансови ресурси на националните органи; призовава държавите членки и </w:t>
      </w:r>
      <w:r w:rsidR="006D120B" w:rsidRPr="007E2C24">
        <w:lastRenderedPageBreak/>
        <w:t>Комисията да осигурят достатъчно средства и експертен опит за укрепване на митническите органи и надзора на пазара в целия Съюз и да засилят съвместните дейности и изпитванията в ЕС;</w:t>
      </w:r>
    </w:p>
    <w:p w:rsidR="006D120B" w:rsidRPr="007E2C24" w:rsidRDefault="00A8798E" w:rsidP="006D120B">
      <w:pPr>
        <w:pStyle w:val="NormalHanging12a"/>
      </w:pPr>
      <w:r>
        <w:t>29</w:t>
      </w:r>
      <w:r w:rsidR="006D120B" w:rsidRPr="007E2C24">
        <w:t>.</w:t>
      </w:r>
      <w:r w:rsidR="006D120B" w:rsidRPr="007E2C24">
        <w:tab/>
        <w:t>подчертава необходимостта от укрепване на защитата на потребителите както на онлайн, така и на офлайн пазарите, като се гарантира прозрачност на рекламирането и ценообразуването, особено по отношение на динамичното ценообразуване, като се гарантират справедливи търговски практики и по-строги предпазни мерки срещу измамите, за да се насърчи доверието на потребителите в трансграничната търговия и най-високо равнище на защита;</w:t>
      </w:r>
    </w:p>
    <w:p w:rsidR="006D120B" w:rsidRPr="007E2C24" w:rsidRDefault="00A8798E" w:rsidP="006D120B">
      <w:pPr>
        <w:pStyle w:val="NormalHanging12a"/>
      </w:pPr>
      <w:r>
        <w:t>30</w:t>
      </w:r>
      <w:r w:rsidR="006D120B" w:rsidRPr="007E2C24">
        <w:t>.</w:t>
      </w:r>
      <w:r w:rsidR="006D120B" w:rsidRPr="007E2C24">
        <w:tab/>
        <w:t>подчертава, че все повече се обръща внимание на случаите, при които стоките и услугите предлагат по-малко количество или качество, докато цените остават същите или се увеличават; призовава Комисията да оцени мащаба и основните причини за тези практики и да проучи подходящи мерки за повишаване на прозрачността и осведомеността на потребителите;</w:t>
      </w:r>
    </w:p>
    <w:p w:rsidR="006D120B" w:rsidRPr="007E2C24" w:rsidRDefault="00A8798E" w:rsidP="006D120B">
      <w:pPr>
        <w:pStyle w:val="NormalHanging12a"/>
      </w:pPr>
      <w:r>
        <w:t>31</w:t>
      </w:r>
      <w:r w:rsidR="006D120B" w:rsidRPr="007E2C24">
        <w:t>.</w:t>
      </w:r>
      <w:r w:rsidR="006D120B" w:rsidRPr="007E2C24">
        <w:tab/>
        <w:t>подчертава, че съображенията, свързани с екологичната устойчивост и справедливата търговия, все повече оформят търговските практики, като играят важна роля при вземането на решения за покупка от страна на потребителите и следователно водят предприятията към устойчивост; добавя, че прозрачността и информацията за потребителите относно екологичните аспекти, както и относно социално отговорните и етични производствени процеси, позволяват на потребителите да възприемат устойчиви модели на потребление;</w:t>
      </w:r>
    </w:p>
    <w:p w:rsidR="006D120B" w:rsidRPr="007E2C24" w:rsidRDefault="00A8798E" w:rsidP="006D120B">
      <w:pPr>
        <w:pStyle w:val="NormalHanging12a"/>
      </w:pPr>
      <w:r>
        <w:t>32</w:t>
      </w:r>
      <w:r w:rsidR="006D120B" w:rsidRPr="007E2C24">
        <w:t>.</w:t>
      </w:r>
      <w:r w:rsidR="006D120B" w:rsidRPr="007E2C24">
        <w:tab/>
        <w:t>призовава Комисията и държавите членки да не отстъпват от амбициите си в това отношение и да продължат да работят по схеми за етикетиране в целия ЕС; припомня, че целта на Директивата относно твърденията за екологосъобразност е да се създаде инструмент за защита на потребителите от заблуждаващи твърдения за екологосъобразност чрез установяване на изисквания за обосноваване и проверка;</w:t>
      </w:r>
    </w:p>
    <w:p w:rsidR="006D120B" w:rsidRPr="007E2C24" w:rsidRDefault="00A8798E" w:rsidP="006D120B">
      <w:pPr>
        <w:pStyle w:val="NormalHanging12a"/>
      </w:pPr>
      <w:r>
        <w:t>33</w:t>
      </w:r>
      <w:r w:rsidR="006D120B" w:rsidRPr="007E2C24">
        <w:t>.</w:t>
      </w:r>
      <w:r w:rsidR="006D120B" w:rsidRPr="007E2C24">
        <w:tab/>
        <w:t>подчертава необходимостта от по-нататъшна борба срещу заблуждаващата реклама и заблуждаващите твърдения за екологосъобразност и от укрепване на пазара на употребявани стоки; отбелязва обаче, че рестриктивните правила за устойчивост могат да имат отрицателно въздействие върху европейската конкурентоспособност;</w:t>
      </w:r>
    </w:p>
    <w:p w:rsidR="006D120B" w:rsidRPr="007E2C24" w:rsidRDefault="00A8798E" w:rsidP="006D120B">
      <w:pPr>
        <w:pStyle w:val="NormalHanging12a"/>
        <w:rPr>
          <w:bCs/>
          <w:iCs/>
        </w:rPr>
      </w:pPr>
      <w:r>
        <w:t>34</w:t>
      </w:r>
      <w:r w:rsidR="006D120B" w:rsidRPr="007E2C24">
        <w:t>.</w:t>
      </w:r>
      <w:r w:rsidR="006D120B" w:rsidRPr="007E2C24">
        <w:tab/>
        <w:t>подчертава, че някои нарастващи тенденции в електронната търговия пораждат опасения по отношение на стоки от държави извън ЕС, които не отговарят на изискванията на ЕС за безопасност и устойчивост, като по този начин оказват отрицателно въздействие върху МСП в ЕС; приветства съобщението на Комисията „Всеобхватен инструментариум на ЕС за безопасна и устойчива електронна търговия“ и изисква от Комисията бързо да изпълни съдържащите се в него препоръки;</w:t>
      </w:r>
    </w:p>
    <w:p w:rsidR="006D120B" w:rsidRPr="007E2C24" w:rsidRDefault="00A8798E" w:rsidP="006D120B">
      <w:pPr>
        <w:pStyle w:val="NormalHanging12a"/>
      </w:pPr>
      <w:r>
        <w:t>35</w:t>
      </w:r>
      <w:r w:rsidR="006D120B" w:rsidRPr="007E2C24">
        <w:t>.</w:t>
      </w:r>
      <w:r w:rsidR="006D120B" w:rsidRPr="007E2C24">
        <w:tab/>
        <w:t xml:space="preserve">подчертава, че хармонизираните технически стандарти са от съществено значение за свободното движение на стоки в рамките на единния пазар, като гарантират безопасността, качеството и показателите на продуктите във всички държави членки; подчертава, че стандартите трябва да отразяват интересите, целите на политиката и ценностите на Съюза, като се вземат предвид становищата на всички заинтересовани страни; добавя, че в неотдавнашното решение на Съда на </w:t>
      </w:r>
      <w:r w:rsidR="006D120B" w:rsidRPr="007E2C24">
        <w:lastRenderedPageBreak/>
        <w:t>Европейския съюз</w:t>
      </w:r>
      <w:r w:rsidR="006D120B" w:rsidRPr="007E2C24">
        <w:rPr>
          <w:rStyle w:val="FootnoteReference"/>
          <w:color w:val="000000"/>
        </w:rPr>
        <w:footnoteReference w:id="9"/>
      </w:r>
      <w:r w:rsidR="006D120B" w:rsidRPr="007E2C24">
        <w:t xml:space="preserve"> се признава добавената стойност на хармонизираните стандарти, които са част от правото на ЕС поради техните правни последици, и постановява, че те следва да бъдат свободно достъпни; подчертава необходимостта от подобряване на гъвкавостта на рамката за стандартизация, особено за нововъзникващите зелени и цифрови вериги за създаване на стойност, и от подпомагане на промишлеността да поддържа конкурентни позиции на ключови технологични пазари;</w:t>
      </w:r>
    </w:p>
    <w:p w:rsidR="006D120B" w:rsidRPr="007E2C24" w:rsidRDefault="00A8798E" w:rsidP="006D120B">
      <w:pPr>
        <w:pStyle w:val="NormalHanging12a"/>
      </w:pPr>
      <w:r>
        <w:t>36</w:t>
      </w:r>
      <w:r w:rsidR="006D120B" w:rsidRPr="007E2C24">
        <w:t>.</w:t>
      </w:r>
      <w:r w:rsidR="006D120B" w:rsidRPr="007E2C24">
        <w:tab/>
        <w:t>счита, че ЕС трябва да увеличи усилията си за създаване на нов механизъм с държавите членки и националните органи за стандартизация за обмен на информация, координиране и укрепване на европейския подход към международните дейности по стандартизация; призовава за бързи действия за актуализиране на рамката на ЕС за стандартизация, за да се ускори процесът на стандартизация, с цел да се гарантира бързото публикуване на хармонизирани стандарти, които предоставят презумпция за съответствие и са съобразени с международните стандарти в подкрепа на световната търговия, като същевременно се насърчава по-голямо участие на промишлеността и по-специално на МСП;</w:t>
      </w:r>
    </w:p>
    <w:p w:rsidR="006D120B" w:rsidRPr="007E2C24" w:rsidRDefault="00A8798E" w:rsidP="006D120B">
      <w:pPr>
        <w:pStyle w:val="NormalHanging12a"/>
        <w:rPr>
          <w:szCs w:val="24"/>
        </w:rPr>
      </w:pPr>
      <w:r>
        <w:t>37</w:t>
      </w:r>
      <w:r w:rsidR="006D120B" w:rsidRPr="007E2C24">
        <w:t>.</w:t>
      </w:r>
      <w:r w:rsidR="006D120B" w:rsidRPr="007E2C24">
        <w:tab/>
        <w:t>подчертава необходимостта от укрепване на външното измерение на единния пазар, за да се запазят стратегическата автономност и глобалното влияние на ЕС, и приветства постепенната интеграция на държавите – кандидатки за членство в ЕС, в единния пазар с оглед на бъдещото им членство в ЕС; подчертава, че високите регулаторни стандарти на ЕС могат да служат като световен еталон и трябва да бъдат ефективно прилагани, за да се гарантират еднакви условия на конкуренция за европейските предприятия; призовава Комисията да засили регулаторния диалог и политическото сътрудничество с други съответни държави извън ЕС, за да идентифицира общите предизвикателства и да се опита да изгради съвместни действия, особено по отношение на електронната търговия, цифровите правила и потребителите;</w:t>
      </w:r>
    </w:p>
    <w:p w:rsidR="006D120B" w:rsidRPr="007E2C24" w:rsidRDefault="00A8798E" w:rsidP="006D120B">
      <w:pPr>
        <w:pStyle w:val="NormalHanging12a"/>
        <w:rPr>
          <w:szCs w:val="24"/>
        </w:rPr>
      </w:pPr>
      <w:r>
        <w:t>38</w:t>
      </w:r>
      <w:r w:rsidR="006D120B" w:rsidRPr="007E2C24">
        <w:t>.</w:t>
      </w:r>
      <w:r w:rsidR="006D120B" w:rsidRPr="007E2C24">
        <w:tab/>
        <w:t>отново призовава за иновативно, допълващо и гъвкаво взаимодействие между текущата работа по прилагането на действащото понастоящем Споразумение за асоцииране между ЕС и Украйна и процеса на преговори за присъединяване, като по този начин се дава възможност за постепенна интеграция на Украйна в единния пазар и секторните програми на ЕС;</w:t>
      </w:r>
    </w:p>
    <w:p w:rsidR="006D120B" w:rsidRPr="007E2C24" w:rsidRDefault="006D120B" w:rsidP="006D120B">
      <w:pPr>
        <w:pStyle w:val="NormalHanging12a"/>
        <w:rPr>
          <w:b/>
          <w:i/>
          <w:iCs/>
        </w:rPr>
      </w:pPr>
      <w:r w:rsidRPr="007E2C24">
        <w:rPr>
          <w:b/>
          <w:i/>
        </w:rPr>
        <w:t>Заключения</w:t>
      </w:r>
    </w:p>
    <w:p w:rsidR="006D120B" w:rsidRPr="007E2C24" w:rsidRDefault="00A8798E" w:rsidP="006D120B">
      <w:pPr>
        <w:pStyle w:val="NormalHanging12a"/>
      </w:pPr>
      <w:r>
        <w:t>39</w:t>
      </w:r>
      <w:r w:rsidR="006D120B" w:rsidRPr="007E2C24">
        <w:t>.</w:t>
      </w:r>
      <w:r w:rsidR="006D120B" w:rsidRPr="007E2C24">
        <w:tab/>
        <w:t>признава, че геополитическото напрежение, изменението на климата, предизвикателствата пред конкурентоспособността на ЕС и икономическите различия пораждат значителни рискове за целостта на единния пазар; призовава за стабилен, координиран и стратегически политически отговор с цел укрепване на единния пазар;</w:t>
      </w:r>
    </w:p>
    <w:p w:rsidR="006D120B" w:rsidRPr="007E2C24" w:rsidRDefault="00A8798E" w:rsidP="006D120B">
      <w:pPr>
        <w:pStyle w:val="NormalHanging12a"/>
      </w:pPr>
      <w:r>
        <w:t>40</w:t>
      </w:r>
      <w:r w:rsidR="006D120B" w:rsidRPr="007E2C24">
        <w:t>.</w:t>
      </w:r>
      <w:r w:rsidR="006D120B" w:rsidRPr="007E2C24">
        <w:tab/>
        <w:t xml:space="preserve">призовава за продължаване на развитието на единния пазар с цел преодоляване както на оставащите необосновани пречки, така и на нововъзникващите търговски предизвикателства; счита, че премахването на регулаторната разпокъсаност, насърчаването на опростяването, значителното намаляване на административната </w:t>
      </w:r>
      <w:r w:rsidR="006D120B" w:rsidRPr="007E2C24">
        <w:lastRenderedPageBreak/>
        <w:t>тежест, засилването на правоприлагането и гарантирането на устойчиви вериги на доставки са от решаващо значение за поддържането на конкурентното предимство на ЕС и справедливите пазарни условия, както и за укрепването на единния пазар; подчертава значението на консултациите с всички съответни заинтересовани страни в тези процеси;</w:t>
      </w:r>
    </w:p>
    <w:p w:rsidR="006D120B" w:rsidRPr="007E2C24" w:rsidRDefault="00A8798E" w:rsidP="006D120B">
      <w:pPr>
        <w:pStyle w:val="NormalHanging12a"/>
      </w:pPr>
      <w:r>
        <w:t>41</w:t>
      </w:r>
      <w:r w:rsidR="006D120B" w:rsidRPr="007E2C24">
        <w:t>.</w:t>
      </w:r>
      <w:r w:rsidR="006D120B" w:rsidRPr="007E2C24">
        <w:tab/>
        <w:t>подчертава значението на цифровата трансформация, кръговата икономика и приспособимостта към глобалните икономически промени за гарантиране на дългосрочната икономическа динамика на ЕС;</w:t>
      </w:r>
    </w:p>
    <w:p w:rsidR="006D120B" w:rsidRPr="007E2C24" w:rsidRDefault="00A8798E" w:rsidP="006D120B">
      <w:pPr>
        <w:pStyle w:val="NormalHanging12a"/>
      </w:pPr>
      <w:r>
        <w:t>42</w:t>
      </w:r>
      <w:r w:rsidR="006D120B" w:rsidRPr="007E2C24">
        <w:t>.</w:t>
      </w:r>
      <w:r w:rsidR="006D120B" w:rsidRPr="007E2C24">
        <w:tab/>
        <w:t>отново заявява, че укрепването на вътрешното и външното измерение на единния пазар е от съществено значение за запазването на стратегическата автономност и конкурентоспособност на ЕС;</w:t>
      </w:r>
    </w:p>
    <w:p w:rsidR="006D120B" w:rsidRPr="007E2C24" w:rsidRDefault="00A8798E" w:rsidP="006D120B">
      <w:pPr>
        <w:pStyle w:val="NormalHanging12a"/>
      </w:pPr>
      <w:r>
        <w:t>43</w:t>
      </w:r>
      <w:r w:rsidR="006D120B" w:rsidRPr="007E2C24">
        <w:t>.</w:t>
      </w:r>
      <w:r w:rsidR="006D120B" w:rsidRPr="007E2C24">
        <w:tab/>
        <w:t>поради това настоятелно призовава Комисията да отрази гореизложеното в предстоящата нова стратегия за единния пазар, планирана за юни 2025 г., в програмата за потребителите за 2030 г., насрочена за края на 2025 г., и в законодателния акт за справедливост в областта на цифровите технологии, предвиден за 2026 г.;</w:t>
      </w:r>
    </w:p>
    <w:p w:rsidR="006D120B" w:rsidRPr="007E2C24" w:rsidRDefault="006D120B" w:rsidP="006D120B">
      <w:pPr>
        <w:pStyle w:val="NormalHanging12a"/>
        <w:jc w:val="center"/>
      </w:pPr>
      <w:r w:rsidRPr="007E2C24">
        <w:t>°</w:t>
      </w:r>
    </w:p>
    <w:p w:rsidR="006D120B" w:rsidRPr="007E2C24" w:rsidRDefault="006D120B" w:rsidP="006D120B">
      <w:pPr>
        <w:pStyle w:val="NormalHanging12a"/>
        <w:jc w:val="center"/>
      </w:pPr>
      <w:r w:rsidRPr="007E2C24">
        <w:t>°</w:t>
      </w:r>
      <w:r w:rsidRPr="007E2C24">
        <w:tab/>
        <w:t>°</w:t>
      </w:r>
    </w:p>
    <w:p w:rsidR="00E365E1" w:rsidRPr="007E2C24" w:rsidRDefault="00A8798E" w:rsidP="0039542E">
      <w:pPr>
        <w:ind w:left="567" w:hanging="567"/>
      </w:pPr>
      <w:r>
        <w:t>44</w:t>
      </w:r>
      <w:r w:rsidR="006D120B" w:rsidRPr="007E2C24">
        <w:t>.</w:t>
      </w:r>
      <w:r w:rsidR="006D120B" w:rsidRPr="007E2C24">
        <w:tab/>
        <w:t xml:space="preserve">възлага на своя председател да предаде настоящата резолюция съответно </w:t>
      </w:r>
      <w:r w:rsidR="007E2C24" w:rsidRPr="007E2C24">
        <w:t>на Съвета и на Комисията.</w:t>
      </w:r>
    </w:p>
    <w:sectPr w:rsidR="00E365E1" w:rsidRPr="007E2C24" w:rsidSect="007E2C2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B95" w:rsidRPr="007E2C24" w:rsidRDefault="00C71B95">
      <w:r w:rsidRPr="007E2C24">
        <w:separator/>
      </w:r>
    </w:p>
  </w:endnote>
  <w:endnote w:type="continuationSeparator" w:id="0">
    <w:p w:rsidR="00C71B95" w:rsidRPr="007E2C24" w:rsidRDefault="00C71B95">
      <w:r w:rsidRPr="007E2C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B95" w:rsidRPr="007E2C24" w:rsidRDefault="00C71B95">
      <w:r w:rsidRPr="007E2C24">
        <w:separator/>
      </w:r>
    </w:p>
  </w:footnote>
  <w:footnote w:type="continuationSeparator" w:id="0">
    <w:p w:rsidR="00C71B95" w:rsidRPr="007E2C24" w:rsidRDefault="00C71B95">
      <w:r w:rsidRPr="007E2C24">
        <w:continuationSeparator/>
      </w:r>
    </w:p>
  </w:footnote>
  <w:footnote w:id="1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rStyle w:val="Emphasis"/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rStyle w:val="Emphasis"/>
          <w:sz w:val="24"/>
          <w:shd w:val="clear" w:color="auto" w:fill="FFFFFF"/>
          <w:lang w:val="bg-BG"/>
        </w:rPr>
        <w:tab/>
      </w:r>
      <w:r w:rsidRPr="00075A76">
        <w:rPr>
          <w:rStyle w:val="Emphasis"/>
          <w:i w:val="0"/>
          <w:iCs w:val="0"/>
          <w:sz w:val="24"/>
          <w:shd w:val="clear" w:color="auto" w:fill="FFFFFF"/>
          <w:lang w:val="bg-BG"/>
        </w:rPr>
        <w:t>ОВ С 214, 16.6.2023 г., стр. 8</w:t>
      </w:r>
      <w:r w:rsidRPr="007E2C24">
        <w:rPr>
          <w:rStyle w:val="Emphasis"/>
          <w:sz w:val="24"/>
          <w:shd w:val="clear" w:color="auto" w:fill="FFFFFF"/>
          <w:lang w:val="bg-BG"/>
        </w:rPr>
        <w:t>.</w:t>
      </w:r>
    </w:p>
  </w:footnote>
  <w:footnote w:id="2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sz w:val="24"/>
          <w:shd w:val="clear" w:color="auto" w:fill="FFFFFF"/>
          <w:lang w:val="bg-BG"/>
        </w:rPr>
        <w:tab/>
      </w:r>
      <w:r w:rsidRPr="007E2C24">
        <w:rPr>
          <w:sz w:val="24"/>
          <w:shd w:val="clear" w:color="auto" w:fill="FFFFFF"/>
          <w:lang w:val="bg-BG"/>
        </w:rPr>
        <w:t xml:space="preserve">Регламент (ЕС) 2024/2747 на Европейския парламент и на Съвета от 9 октомври 2024 г. за създаване на рамка от мерки, отнасящи се до извънредните ситуации на вътрешния пазар и до устойчивостта на вътрешния пазар и за изменение на Регламент (ЕО) № 2679/98 </w:t>
      </w:r>
      <w:r w:rsidR="00075A76">
        <w:rPr>
          <w:sz w:val="24"/>
          <w:shd w:val="clear" w:color="auto" w:fill="FFFFFF"/>
          <w:lang w:val="en-GB"/>
        </w:rPr>
        <w:t>(</w:t>
      </w:r>
      <w:r w:rsidRPr="00075A76">
        <w:rPr>
          <w:rStyle w:val="Emphasis"/>
          <w:i w:val="0"/>
          <w:iCs w:val="0"/>
          <w:sz w:val="24"/>
          <w:shd w:val="clear" w:color="auto" w:fill="FFFFFF"/>
          <w:lang w:val="bg-BG"/>
        </w:rPr>
        <w:t>OВ L, 2024/2747, 8.11.2024 г.</w:t>
      </w:r>
      <w:r w:rsidRPr="007E2C24">
        <w:rPr>
          <w:rStyle w:val="Emphasis"/>
          <w:sz w:val="24"/>
          <w:shd w:val="clear" w:color="auto" w:fill="FFFFFF"/>
          <w:lang w:val="bg-BG"/>
        </w:rPr>
        <w:t>, ELI: </w:t>
      </w:r>
      <w:hyperlink r:id="rId1" w:tgtFrame="_blank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7E2C24">
          <w:rPr>
            <w:rStyle w:val="Hyperlink"/>
            <w:sz w:val="24"/>
            <w:lang w:val="bg-BG"/>
          </w:rPr>
          <w:t>http://data.europa.eu/eli/reg/2024/2747/oj</w:t>
        </w:r>
      </w:hyperlink>
      <w:r w:rsidR="00075A76">
        <w:rPr>
          <w:rStyle w:val="Hyperlink"/>
          <w:color w:val="auto"/>
          <w:sz w:val="24"/>
          <w:u w:val="none"/>
          <w:lang w:val="en-GB"/>
        </w:rPr>
        <w:t>)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.</w:t>
      </w:r>
    </w:p>
  </w:footnote>
  <w:footnote w:id="3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sz w:val="24"/>
          <w:shd w:val="clear" w:color="auto" w:fill="FFFFFF"/>
          <w:lang w:val="bg-BG"/>
        </w:rPr>
        <w:tab/>
      </w:r>
      <w:r w:rsidRPr="007E2C24">
        <w:rPr>
          <w:sz w:val="24"/>
          <w:shd w:val="clear" w:color="auto" w:fill="FFFFFF"/>
          <w:lang w:val="bg-BG"/>
        </w:rPr>
        <w:t xml:space="preserve">Регламент (EС) 2018/302 на Европейския парламент и на Съвета от 28 февруари 2018 г. </w:t>
      </w:r>
      <w:r w:rsidRPr="007E2C24">
        <w:rPr>
          <w:sz w:val="24"/>
          <w:shd w:val="clear" w:color="auto" w:fill="FFFFFF"/>
          <w:lang w:val="bg-BG"/>
        </w:rPr>
        <w:t xml:space="preserve">за преодоляване на необоснованото блокиране на географски принцип и на други форми на дискриминация въз основа на националността, местопребиваването или мястото на установяване на клиентите в рамките на вътрешния пазар и за изменение на регламенти (ЕО) № 2006/2004 и (ЕС) 2017/2394 и Директива 2009/22/ЕО </w:t>
      </w:r>
      <w:r w:rsidR="00075A76">
        <w:rPr>
          <w:sz w:val="24"/>
          <w:shd w:val="clear" w:color="auto" w:fill="FFFFFF"/>
          <w:lang w:val="en-GB"/>
        </w:rPr>
        <w:t>(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ОВ L 60</w:t>
      </w:r>
      <w:r w:rsidR="00832DDF">
        <w:rPr>
          <w:rStyle w:val="Emphasis"/>
          <w:i w:val="0"/>
          <w:iCs w:val="0"/>
          <w:sz w:val="24"/>
          <w:shd w:val="clear" w:color="auto" w:fill="FFFFFF"/>
          <w:lang w:val="bg-BG"/>
        </w:rPr>
        <w:t xml:space="preserve"> 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I , 2.3.2018 г., стр. 1,</w:t>
      </w:r>
      <w:r w:rsidRPr="007E2C24">
        <w:rPr>
          <w:rStyle w:val="Emphasis"/>
          <w:sz w:val="24"/>
          <w:shd w:val="clear" w:color="auto" w:fill="FFFFFF"/>
          <w:lang w:val="bg-BG"/>
        </w:rPr>
        <w:t xml:space="preserve"> </w:t>
      </w:r>
      <w:r w:rsidRPr="007E2C24">
        <w:rPr>
          <w:sz w:val="24"/>
          <w:shd w:val="clear" w:color="auto" w:fill="FFFFFF"/>
          <w:lang w:val="bg-BG"/>
        </w:rPr>
        <w:t>ELI: </w:t>
      </w:r>
      <w:hyperlink r:id="rId2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7E2C24">
          <w:rPr>
            <w:rStyle w:val="Hyperlink"/>
            <w:sz w:val="24"/>
            <w:shd w:val="clear" w:color="auto" w:fill="FFFFFF"/>
            <w:lang w:val="bg-BG"/>
          </w:rPr>
          <w:t>http://data.europa.eu/eli/reg/2018/302/oj</w:t>
        </w:r>
      </w:hyperlink>
      <w:r w:rsidR="00075A76" w:rsidRPr="0039542E">
        <w:rPr>
          <w:rStyle w:val="Hyperlink"/>
          <w:color w:val="auto"/>
          <w:sz w:val="24"/>
          <w:u w:val="none"/>
          <w:shd w:val="clear" w:color="auto" w:fill="FFFFFF"/>
          <w:lang w:val="en-GB"/>
        </w:rPr>
        <w:t>)</w:t>
      </w:r>
      <w:r w:rsidRPr="007E2C24">
        <w:rPr>
          <w:sz w:val="24"/>
          <w:lang w:val="bg-BG"/>
        </w:rPr>
        <w:t>.</w:t>
      </w:r>
    </w:p>
  </w:footnote>
  <w:footnote w:id="4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sz w:val="24"/>
          <w:shd w:val="clear" w:color="auto" w:fill="FFFFFF"/>
          <w:lang w:val="bg-BG"/>
        </w:rPr>
        <w:tab/>
      </w:r>
      <w:r w:rsidRPr="007E2C24">
        <w:rPr>
          <w:sz w:val="24"/>
          <w:shd w:val="clear" w:color="auto" w:fill="FFFFFF"/>
          <w:lang w:val="bg-BG"/>
        </w:rPr>
        <w:t xml:space="preserve">Директива (ЕС) 2019/882 на Европейския парламент и на Съвета от 17 април 2019 г. за изискванията за достъпност на продукти и услуги </w:t>
      </w:r>
      <w:r w:rsidR="00075A76">
        <w:rPr>
          <w:sz w:val="24"/>
          <w:shd w:val="clear" w:color="auto" w:fill="FFFFFF"/>
          <w:lang w:val="bg-BG"/>
        </w:rPr>
        <w:t>(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 xml:space="preserve">OB L 151, 7.6.2019 г., стр. 70, </w:t>
      </w:r>
      <w:r w:rsidRPr="007E2C24">
        <w:rPr>
          <w:sz w:val="24"/>
          <w:shd w:val="clear" w:color="auto" w:fill="FFFFFF"/>
          <w:lang w:val="bg-BG"/>
        </w:rPr>
        <w:t>ELI: </w:t>
      </w:r>
      <w:hyperlink r:id="rId3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7E2C24">
          <w:rPr>
            <w:rStyle w:val="Hyperlink"/>
            <w:sz w:val="24"/>
            <w:shd w:val="clear" w:color="auto" w:fill="FFFFFF"/>
            <w:lang w:val="bg-BG"/>
          </w:rPr>
          <w:t>http://data.europa.eu/eli/dir/2019/882/oj</w:t>
        </w:r>
      </w:hyperlink>
      <w:r w:rsidR="00075A76">
        <w:rPr>
          <w:rStyle w:val="Hyperlink"/>
          <w:color w:val="auto"/>
          <w:sz w:val="24"/>
          <w:u w:val="none"/>
          <w:shd w:val="clear" w:color="auto" w:fill="FFFFFF"/>
          <w:lang w:val="bg-BG"/>
        </w:rPr>
        <w:t>)</w:t>
      </w:r>
      <w:r w:rsidRPr="007E2C24">
        <w:rPr>
          <w:sz w:val="24"/>
          <w:lang w:val="bg-BG"/>
        </w:rPr>
        <w:t>.</w:t>
      </w:r>
    </w:p>
  </w:footnote>
  <w:footnote w:id="5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sz w:val="24"/>
          <w:shd w:val="clear" w:color="auto" w:fill="FFFFFF"/>
          <w:lang w:val="bg-BG"/>
        </w:rPr>
        <w:tab/>
      </w:r>
      <w:r w:rsidRPr="007E2C24">
        <w:rPr>
          <w:sz w:val="24"/>
          <w:shd w:val="clear" w:color="auto" w:fill="FFFFFF"/>
          <w:lang w:val="bg-BG"/>
        </w:rPr>
        <w:t xml:space="preserve">Регламент (EС) 2022/1925 на Европейския парламент и на Съвета от 14 септември 2022 г. за достъпни и справедливи пазари в цифровия сектор и за изменение на директиви (EС) 2019/1937 и (ЕС) 2020/1828 </w:t>
      </w:r>
      <w:r w:rsidR="00075A76">
        <w:rPr>
          <w:sz w:val="24"/>
          <w:shd w:val="clear" w:color="auto" w:fill="FFFFFF"/>
          <w:lang w:val="bg-BG"/>
        </w:rPr>
        <w:t>(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ОВ L 265, 12.10.2022 г., стр. 1,</w:t>
      </w:r>
      <w:r w:rsidRPr="007E2C24">
        <w:rPr>
          <w:rStyle w:val="Emphasis"/>
          <w:sz w:val="24"/>
          <w:shd w:val="clear" w:color="auto" w:fill="FFFFFF"/>
          <w:lang w:val="bg-BG"/>
        </w:rPr>
        <w:t xml:space="preserve"> </w:t>
      </w:r>
      <w:r w:rsidRPr="007E2C24">
        <w:rPr>
          <w:sz w:val="24"/>
          <w:shd w:val="clear" w:color="auto" w:fill="FFFFFF"/>
          <w:lang w:val="bg-BG"/>
        </w:rPr>
        <w:t>ELI: </w:t>
      </w:r>
      <w:hyperlink r:id="rId4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7E2C24">
          <w:rPr>
            <w:rStyle w:val="Hyperlink"/>
            <w:sz w:val="24"/>
            <w:shd w:val="clear" w:color="auto" w:fill="FFFFFF"/>
            <w:lang w:val="bg-BG"/>
          </w:rPr>
          <w:t>http://data.europa.eu/eli/reg/2022/1925/oj</w:t>
        </w:r>
      </w:hyperlink>
      <w:r w:rsidRPr="007E2C24">
        <w:rPr>
          <w:sz w:val="24"/>
          <w:lang w:val="bg-BG"/>
        </w:rPr>
        <w:t>.</w:t>
      </w:r>
      <w:r w:rsidR="00075A76">
        <w:rPr>
          <w:sz w:val="24"/>
          <w:lang w:val="bg-BG"/>
        </w:rPr>
        <w:t>)</w:t>
      </w:r>
    </w:p>
  </w:footnote>
  <w:footnote w:id="6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sz w:val="24"/>
          <w:shd w:val="clear" w:color="auto" w:fill="FFFFFF"/>
          <w:lang w:val="bg-BG"/>
        </w:rPr>
        <w:tab/>
      </w:r>
      <w:r w:rsidRPr="007E2C24">
        <w:rPr>
          <w:sz w:val="24"/>
          <w:shd w:val="clear" w:color="auto" w:fill="FFFFFF"/>
          <w:lang w:val="bg-BG"/>
        </w:rPr>
        <w:t xml:space="preserve">Регламент (ЕС) 2022/2065 на Европейския парламент и на Съвета от 19 октомври 2022 г. относно единния пазар на цифрови услуги и за изменение на Директива 2000/31/ЕО </w:t>
      </w:r>
      <w:r w:rsidR="00075A76">
        <w:rPr>
          <w:sz w:val="24"/>
          <w:shd w:val="clear" w:color="auto" w:fill="FFFFFF"/>
          <w:lang w:val="bg-BG"/>
        </w:rPr>
        <w:t>(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ОВ L 277, 27.10.2022 г., стр. 1,</w:t>
      </w:r>
      <w:r w:rsidRPr="007E2C24">
        <w:rPr>
          <w:rStyle w:val="Emphasis"/>
          <w:sz w:val="24"/>
          <w:shd w:val="clear" w:color="auto" w:fill="FFFFFF"/>
          <w:lang w:val="bg-BG"/>
        </w:rPr>
        <w:t xml:space="preserve"> </w:t>
      </w:r>
      <w:r w:rsidRPr="007E2C24">
        <w:rPr>
          <w:sz w:val="24"/>
          <w:shd w:val="clear" w:color="auto" w:fill="FFFFFF"/>
          <w:lang w:val="bg-BG"/>
        </w:rPr>
        <w:t>ELI: </w:t>
      </w:r>
      <w:hyperlink r:id="rId5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7E2C24">
          <w:rPr>
            <w:rStyle w:val="Hyperlink"/>
            <w:sz w:val="24"/>
            <w:shd w:val="clear" w:color="auto" w:fill="FFFFFF"/>
            <w:lang w:val="bg-BG"/>
          </w:rPr>
          <w:t>http://data.europa.eu/eli/reg/2022/2065/oj</w:t>
        </w:r>
      </w:hyperlink>
      <w:r w:rsidR="00075A76">
        <w:rPr>
          <w:rStyle w:val="Hyperlink"/>
          <w:sz w:val="24"/>
          <w:shd w:val="clear" w:color="auto" w:fill="FFFFFF"/>
          <w:lang w:val="bg-BG"/>
        </w:rPr>
        <w:t>)</w:t>
      </w:r>
      <w:r w:rsidRPr="007E2C24">
        <w:rPr>
          <w:sz w:val="24"/>
          <w:lang w:val="bg-BG"/>
        </w:rPr>
        <w:t>.</w:t>
      </w:r>
    </w:p>
  </w:footnote>
  <w:footnote w:id="7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sz w:val="24"/>
          <w:shd w:val="clear" w:color="auto" w:fill="FFFFFF"/>
          <w:lang w:val="bg-BG"/>
        </w:rPr>
        <w:tab/>
      </w:r>
      <w:r w:rsidRPr="007E2C24">
        <w:rPr>
          <w:sz w:val="24"/>
          <w:shd w:val="clear" w:color="auto" w:fill="FFFFFF"/>
          <w:lang w:val="bg-BG"/>
        </w:rPr>
        <w:t xml:space="preserve">Регламент (ЕС) 2024/1689 на Европейския парламент и на Съвета от 13 юни 2024 г. за установяване на хармонизирани правила относно изкуствения интелект и за изменение на регламенти (ЕО) № 300/2008, (ЕС) № 167/2013, (ЕС) № 168/2013, (ЕС) 2018/858, (ЕС) 2018/1139 и (ЕС) 2019/2144 и директиви 2014/90/ЕС, (ЕС) 2016/797 и (ЕС) 2020/1828 </w:t>
      </w:r>
      <w:r w:rsidR="00075A76">
        <w:rPr>
          <w:sz w:val="24"/>
          <w:shd w:val="clear" w:color="auto" w:fill="FFFFFF"/>
          <w:lang w:val="bg-BG"/>
        </w:rPr>
        <w:t>(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OВ L, 2024/1689, 12.7.2024 г.,</w:t>
      </w:r>
      <w:r w:rsidRPr="007E2C24">
        <w:rPr>
          <w:rStyle w:val="Emphasis"/>
          <w:sz w:val="24"/>
          <w:shd w:val="clear" w:color="auto" w:fill="FFFFFF"/>
          <w:lang w:val="bg-BG"/>
        </w:rPr>
        <w:t xml:space="preserve"> </w:t>
      </w:r>
      <w:r w:rsidRPr="00B8671D">
        <w:rPr>
          <w:rStyle w:val="Emphasis"/>
          <w:i w:val="0"/>
          <w:iCs w:val="0"/>
          <w:sz w:val="24"/>
          <w:shd w:val="clear" w:color="auto" w:fill="FFFFFF"/>
          <w:lang w:val="bg-BG"/>
        </w:rPr>
        <w:t>ELI:</w:t>
      </w:r>
      <w:r w:rsidRPr="007E2C24">
        <w:rPr>
          <w:rStyle w:val="Emphasis"/>
          <w:sz w:val="24"/>
          <w:shd w:val="clear" w:color="auto" w:fill="FFFFFF"/>
          <w:lang w:val="bg-BG"/>
        </w:rPr>
        <w:t> </w:t>
      </w:r>
      <w:hyperlink r:id="rId6" w:tgtFrame="_blank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7E2C24">
          <w:rPr>
            <w:rStyle w:val="Hyperlink"/>
            <w:sz w:val="24"/>
            <w:lang w:val="bg-BG"/>
          </w:rPr>
          <w:t>http://data.europa.eu/eli/reg/2024/1689/oj</w:t>
        </w:r>
      </w:hyperlink>
      <w:r w:rsidR="00075A76">
        <w:rPr>
          <w:rStyle w:val="Hyperlink"/>
          <w:color w:val="auto"/>
          <w:sz w:val="24"/>
          <w:u w:val="none"/>
          <w:lang w:val="bg-BG"/>
        </w:rPr>
        <w:t>)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.</w:t>
      </w:r>
    </w:p>
  </w:footnote>
  <w:footnote w:id="8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shd w:val="clear" w:color="auto" w:fill="FFFFFF"/>
          <w:lang w:val="bg-BG"/>
        </w:rPr>
        <w:t xml:space="preserve"> </w:t>
      </w:r>
      <w:r w:rsidR="007E2C24" w:rsidRPr="007E2C24">
        <w:rPr>
          <w:sz w:val="24"/>
          <w:shd w:val="clear" w:color="auto" w:fill="FFFFFF"/>
          <w:lang w:val="bg-BG"/>
        </w:rPr>
        <w:tab/>
      </w:r>
      <w:r w:rsidRPr="007E2C24">
        <w:rPr>
          <w:sz w:val="24"/>
          <w:shd w:val="clear" w:color="auto" w:fill="FFFFFF"/>
          <w:lang w:val="bg-BG"/>
        </w:rPr>
        <w:t xml:space="preserve">Регламент (ЕС) 2017/2394 на Европейския парламент и на Съвета от 12 декември 2017 г. </w:t>
      </w:r>
      <w:r w:rsidRPr="007E2C24">
        <w:rPr>
          <w:sz w:val="24"/>
          <w:shd w:val="clear" w:color="auto" w:fill="FFFFFF"/>
          <w:lang w:val="bg-BG"/>
        </w:rPr>
        <w:t xml:space="preserve">относно сътрудничеството между националните органи, отговорни за прилагането на законодателството за защита на потребителите, и за отмяна на Регламент (ЕО) № 2006/2004 </w:t>
      </w:r>
      <w:r w:rsidR="00075A76">
        <w:rPr>
          <w:sz w:val="24"/>
          <w:shd w:val="clear" w:color="auto" w:fill="FFFFFF"/>
          <w:lang w:val="bg-BG"/>
        </w:rPr>
        <w:t>(</w:t>
      </w:r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ОВ L</w:t>
      </w:r>
      <w:r w:rsidR="00832DDF">
        <w:rPr>
          <w:rStyle w:val="Emphasis"/>
          <w:i w:val="0"/>
          <w:iCs w:val="0"/>
          <w:sz w:val="24"/>
          <w:shd w:val="clear" w:color="auto" w:fill="FFFFFF"/>
          <w:lang w:val="bg-BG"/>
        </w:rPr>
        <w:t>,</w:t>
      </w:r>
      <w:bookmarkStart w:id="7" w:name="_GoBack"/>
      <w:bookmarkEnd w:id="7"/>
      <w:r w:rsidRPr="0039542E">
        <w:rPr>
          <w:rStyle w:val="Emphasis"/>
          <w:i w:val="0"/>
          <w:iCs w:val="0"/>
          <w:sz w:val="24"/>
          <w:shd w:val="clear" w:color="auto" w:fill="FFFFFF"/>
          <w:lang w:val="bg-BG"/>
        </w:rPr>
        <w:t> 345 27.12.2017 г., стр. 1,</w:t>
      </w:r>
      <w:r w:rsidRPr="007E2C24">
        <w:rPr>
          <w:rStyle w:val="Emphasis"/>
          <w:sz w:val="24"/>
          <w:shd w:val="clear" w:color="auto" w:fill="FFFFFF"/>
          <w:lang w:val="bg-BG"/>
        </w:rPr>
        <w:t xml:space="preserve"> </w:t>
      </w:r>
      <w:r w:rsidRPr="007E2C24">
        <w:rPr>
          <w:sz w:val="24"/>
          <w:shd w:val="clear" w:color="auto" w:fill="FFFFFF"/>
          <w:lang w:val="bg-BG"/>
        </w:rPr>
        <w:t>ELI: </w:t>
      </w:r>
      <w:hyperlink r:id="rId7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7E2C24">
          <w:rPr>
            <w:rStyle w:val="Hyperlink"/>
            <w:sz w:val="24"/>
            <w:shd w:val="clear" w:color="auto" w:fill="FFFFFF"/>
            <w:lang w:val="bg-BG"/>
          </w:rPr>
          <w:t>http://data.europa.eu/eli/reg/2017/2394/oj</w:t>
        </w:r>
      </w:hyperlink>
      <w:r w:rsidR="00075A76">
        <w:rPr>
          <w:rStyle w:val="Hyperlink"/>
          <w:color w:val="auto"/>
          <w:sz w:val="24"/>
          <w:u w:val="none"/>
          <w:shd w:val="clear" w:color="auto" w:fill="FFFFFF"/>
          <w:lang w:val="bg-BG"/>
        </w:rPr>
        <w:t>)</w:t>
      </w:r>
      <w:r w:rsidRPr="007E2C24">
        <w:rPr>
          <w:sz w:val="24"/>
          <w:lang w:val="bg-BG"/>
        </w:rPr>
        <w:t>.</w:t>
      </w:r>
    </w:p>
  </w:footnote>
  <w:footnote w:id="9">
    <w:p w:rsidR="006D120B" w:rsidRPr="007E2C24" w:rsidRDefault="006D120B" w:rsidP="007E2C24">
      <w:pPr>
        <w:pStyle w:val="FootnoteText"/>
        <w:ind w:left="567" w:hanging="567"/>
        <w:rPr>
          <w:sz w:val="24"/>
          <w:lang w:val="bg-BG"/>
        </w:rPr>
      </w:pPr>
      <w:r w:rsidRPr="007E2C24">
        <w:rPr>
          <w:rStyle w:val="FootnoteReference"/>
          <w:sz w:val="24"/>
          <w:lang w:val="bg-BG"/>
        </w:rPr>
        <w:footnoteRef/>
      </w:r>
      <w:r w:rsidR="007E2C24" w:rsidRPr="007E2C24">
        <w:rPr>
          <w:sz w:val="24"/>
          <w:lang w:val="bg-BG"/>
        </w:rPr>
        <w:t xml:space="preserve"> </w:t>
      </w:r>
      <w:r w:rsidR="007E2C24" w:rsidRPr="007E2C24">
        <w:rPr>
          <w:sz w:val="24"/>
          <w:lang w:val="bg-BG"/>
        </w:rPr>
        <w:tab/>
      </w:r>
      <w:r w:rsidRPr="007E2C24">
        <w:rPr>
          <w:sz w:val="24"/>
          <w:lang w:val="bg-BG"/>
        </w:rPr>
        <w:t xml:space="preserve">Решение от 5 март 2024 г., </w:t>
      </w:r>
      <w:r w:rsidRPr="007E2C24">
        <w:rPr>
          <w:i/>
          <w:sz w:val="24"/>
          <w:lang w:val="bg-BG"/>
        </w:rPr>
        <w:t>Public.Resource.Org Inc.</w:t>
      </w:r>
      <w:r w:rsidRPr="007E2C24">
        <w:rPr>
          <w:sz w:val="24"/>
          <w:lang w:val="bg-BG"/>
        </w:rPr>
        <w:t xml:space="preserve"> v </w:t>
      </w:r>
      <w:r w:rsidRPr="007E2C24">
        <w:rPr>
          <w:i/>
          <w:sz w:val="24"/>
          <w:lang w:val="bg-BG"/>
        </w:rPr>
        <w:t>Right to Know CLG</w:t>
      </w:r>
      <w:r w:rsidRPr="007E2C24">
        <w:rPr>
          <w:sz w:val="24"/>
          <w:lang w:val="bg-BG"/>
        </w:rPr>
        <w:t>, C‑588/21 P, EU:C:2024:201.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6/2025"/>
    <w:docVar w:name="dvlangue" w:val="BG"/>
    <w:docVar w:name="dvnumam" w:val="0"/>
    <w:docVar w:name="dvpe" w:val="772.165"/>
    <w:docVar w:name="dvtitre" w:val="Резолюция на Европейския парламент от ... 2025 г. относно старите предизвикателства и новите търговски практики на вътрешния пазар(2025/2542(RSP))"/>
  </w:docVars>
  <w:rsids>
    <w:rsidRoot w:val="00C71B95"/>
    <w:rsid w:val="00002272"/>
    <w:rsid w:val="00064002"/>
    <w:rsid w:val="000677B9"/>
    <w:rsid w:val="00075A76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42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20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C24"/>
    <w:rsid w:val="00817416"/>
    <w:rsid w:val="00832DD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D9F"/>
    <w:rsid w:val="00A778C7"/>
    <w:rsid w:val="00A8798E"/>
    <w:rsid w:val="00AB441E"/>
    <w:rsid w:val="00AB6293"/>
    <w:rsid w:val="00AE0928"/>
    <w:rsid w:val="00AF3B82"/>
    <w:rsid w:val="00B12E95"/>
    <w:rsid w:val="00B22876"/>
    <w:rsid w:val="00B558F0"/>
    <w:rsid w:val="00B8671D"/>
    <w:rsid w:val="00BD48FE"/>
    <w:rsid w:val="00BD7BD8"/>
    <w:rsid w:val="00BE6ADC"/>
    <w:rsid w:val="00C05BFE"/>
    <w:rsid w:val="00C23CD4"/>
    <w:rsid w:val="00C44AD7"/>
    <w:rsid w:val="00C61C0C"/>
    <w:rsid w:val="00C67F80"/>
    <w:rsid w:val="00C71B9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E167CF"/>
  <w15:chartTrackingRefBased/>
  <w15:docId w15:val="{92924488-72B0-4E2A-B792-3800F593E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D120B"/>
    <w:pPr>
      <w:spacing w:before="480" w:after="240"/>
    </w:pPr>
  </w:style>
  <w:style w:type="paragraph" w:customStyle="1" w:styleId="NormalHanging12a">
    <w:name w:val="NormalHanging12a"/>
    <w:basedOn w:val="Normal"/>
    <w:rsid w:val="006D120B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6D120B"/>
    <w:rPr>
      <w:i/>
      <w:iCs/>
    </w:rPr>
  </w:style>
  <w:style w:type="character" w:styleId="Hyperlink">
    <w:name w:val="Hyperlink"/>
    <w:basedOn w:val="DefaultParagraphFont"/>
    <w:uiPriority w:val="99"/>
    <w:unhideWhenUsed/>
    <w:rsid w:val="006D120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75A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5A76"/>
    <w:rPr>
      <w:rFonts w:ascii="Segoe UI" w:hAnsi="Segoe UI" w:cs="Segoe UI"/>
      <w:sz w:val="18"/>
      <w:szCs w:val="18"/>
      <w:lang w:val="bg-BG"/>
    </w:rPr>
  </w:style>
  <w:style w:type="paragraph" w:customStyle="1" w:styleId="NormalBold12b">
    <w:name w:val="NormalBold12b"/>
    <w:basedOn w:val="Normal"/>
    <w:link w:val="NormalBold12bChar"/>
    <w:rsid w:val="00C44AD7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rsid w:val="00C44AD7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882/oj" TargetMode="External"/><Relationship Id="rId7" Type="http://schemas.openxmlformats.org/officeDocument/2006/relationships/hyperlink" Target="http://data.europa.eu/eli/reg/2017/2394/oj" TargetMode="External"/><Relationship Id="rId2" Type="http://schemas.openxmlformats.org/officeDocument/2006/relationships/hyperlink" Target="http://data.europa.eu/eli/reg/2018/302/oj" TargetMode="External"/><Relationship Id="rId1" Type="http://schemas.openxmlformats.org/officeDocument/2006/relationships/hyperlink" Target="http://data.europa.eu/eli/reg/2024/2747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reg/2022/19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E2B53-F3B8-43BD-9926-DCC693EF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3651</Words>
  <Characters>21579</Characters>
  <Application>Microsoft Office Word</Application>
  <DocSecurity>0</DocSecurity>
  <Lines>583</Lines>
  <Paragraphs>331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DIMITROV Cvetan</cp:lastModifiedBy>
  <cp:revision>2</cp:revision>
  <cp:lastPrinted>2004-11-19T15:42:00Z</cp:lastPrinted>
  <dcterms:created xsi:type="dcterms:W3CDTF">2025-06-03T13:54:00Z</dcterms:created>
  <dcterms:modified xsi:type="dcterms:W3CDTF">2025-06-03T13:54:00Z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B10-0246/2025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