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3539" w:rsidTr="0010095E">
        <w:trPr>
          <w:trHeight w:hRule="exact" w:val="1418"/>
        </w:trPr>
        <w:tc>
          <w:tcPr>
            <w:tcW w:w="6804" w:type="dxa"/>
            <w:shd w:val="clear" w:color="auto" w:fill="auto"/>
            <w:vAlign w:val="center"/>
          </w:tcPr>
          <w:p w:rsidR="00751A4A" w:rsidRPr="00B63539" w:rsidRDefault="004E6895" w:rsidP="0010095E">
            <w:pPr>
              <w:pStyle w:val="EPName"/>
            </w:pPr>
            <w:r w:rsidRPr="00B63539">
              <w:t>Europa-Parlamentet</w:t>
            </w:r>
          </w:p>
          <w:p w:rsidR="00751A4A" w:rsidRPr="00B63539" w:rsidRDefault="005F1B17" w:rsidP="005F1B17">
            <w:pPr>
              <w:pStyle w:val="EPTerm"/>
              <w:rPr>
                <w:rStyle w:val="HideTWBExt"/>
                <w:noProof w:val="0"/>
                <w:vanish w:val="0"/>
                <w:color w:val="auto"/>
              </w:rPr>
            </w:pPr>
            <w:r w:rsidRPr="00B63539">
              <w:t>2024</w:t>
            </w:r>
            <w:r w:rsidR="00817416" w:rsidRPr="00B63539">
              <w:t>-202</w:t>
            </w:r>
            <w:r w:rsidRPr="00B63539">
              <w:t>9</w:t>
            </w:r>
          </w:p>
        </w:tc>
        <w:tc>
          <w:tcPr>
            <w:tcW w:w="2268" w:type="dxa"/>
            <w:shd w:val="clear" w:color="auto" w:fill="auto"/>
          </w:tcPr>
          <w:p w:rsidR="00751A4A" w:rsidRPr="00B63539" w:rsidRDefault="00187494" w:rsidP="0010095E">
            <w:pPr>
              <w:pStyle w:val="EPLogo"/>
            </w:pPr>
            <w:r w:rsidRPr="00B63539">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63539" w:rsidRDefault="00D058B8" w:rsidP="004C5D52">
      <w:pPr>
        <w:pStyle w:val="LineTop"/>
      </w:pPr>
    </w:p>
    <w:p w:rsidR="00680577" w:rsidRPr="00B63539" w:rsidRDefault="004E6895" w:rsidP="00680577">
      <w:pPr>
        <w:pStyle w:val="EPBodyTA1"/>
      </w:pPr>
      <w:r w:rsidRPr="00B63539">
        <w:t>VEDTAGNE TEKSTER</w:t>
      </w:r>
    </w:p>
    <w:p w:rsidR="00D058B8" w:rsidRPr="00B63539" w:rsidRDefault="00D058B8" w:rsidP="00D058B8">
      <w:pPr>
        <w:pStyle w:val="LineBottom"/>
      </w:pPr>
    </w:p>
    <w:p w:rsidR="004E6895" w:rsidRPr="00B63539" w:rsidRDefault="004E6895" w:rsidP="004E6895">
      <w:pPr>
        <w:pStyle w:val="ATHeading1"/>
      </w:pPr>
      <w:bookmarkStart w:id="0" w:name="TANumber"/>
      <w:r w:rsidRPr="00B63539">
        <w:t>P10_TA(2025)0</w:t>
      </w:r>
      <w:bookmarkEnd w:id="0"/>
      <w:r w:rsidR="00F62498">
        <w:t>107</w:t>
      </w:r>
    </w:p>
    <w:p w:rsidR="004E6895" w:rsidRPr="00B63539" w:rsidRDefault="00C07B2E" w:rsidP="004E6895">
      <w:pPr>
        <w:pStyle w:val="ATHeading2"/>
      </w:pPr>
      <w:r w:rsidRPr="00C07B2E">
        <w:t>Gamle udfordringer og ny handelspraksis i det indre marked</w:t>
      </w:r>
    </w:p>
    <w:p w:rsidR="004E6895" w:rsidRPr="00B63539" w:rsidRDefault="004E6895" w:rsidP="004E6895">
      <w:pPr>
        <w:rPr>
          <w:i/>
          <w:vanish/>
        </w:rPr>
      </w:pPr>
      <w:r w:rsidRPr="00B63539">
        <w:rPr>
          <w:i/>
        </w:rPr>
        <w:fldChar w:fldCharType="begin"/>
      </w:r>
      <w:r w:rsidRPr="00B63539">
        <w:rPr>
          <w:i/>
        </w:rPr>
        <w:instrText xml:space="preserve"> TC"(</w:instrText>
      </w:r>
      <w:bookmarkStart w:id="1" w:name="DocNumber"/>
      <w:r w:rsidRPr="00B63539">
        <w:rPr>
          <w:i/>
        </w:rPr>
        <w:instrText>B10-0246/2025</w:instrText>
      </w:r>
      <w:bookmarkEnd w:id="1"/>
      <w:r w:rsidRPr="00B63539">
        <w:rPr>
          <w:i/>
        </w:rPr>
        <w:instrText xml:space="preserve">)"\l3 \n&gt; \* MERGEFORMAT </w:instrText>
      </w:r>
      <w:r w:rsidRPr="00B63539">
        <w:rPr>
          <w:i/>
        </w:rPr>
        <w:fldChar w:fldCharType="end"/>
      </w:r>
    </w:p>
    <w:p w:rsidR="004E6895" w:rsidRPr="00B63539" w:rsidRDefault="004E6895" w:rsidP="004E6895">
      <w:pPr>
        <w:rPr>
          <w:vanish/>
        </w:rPr>
      </w:pPr>
      <w:bookmarkStart w:id="2" w:name="PE"/>
      <w:r w:rsidRPr="00B63539">
        <w:rPr>
          <w:vanish/>
        </w:rPr>
        <w:t>PE772.165</w:t>
      </w:r>
      <w:bookmarkEnd w:id="2"/>
    </w:p>
    <w:p w:rsidR="004E6895" w:rsidRPr="00B63539" w:rsidRDefault="004E6895" w:rsidP="004E6895">
      <w:pPr>
        <w:pStyle w:val="ATHeading3"/>
      </w:pPr>
      <w:bookmarkStart w:id="3" w:name="Sujet"/>
      <w:r w:rsidRPr="00B63539">
        <w:t xml:space="preserve">Europa-Parlamentets beslutning af </w:t>
      </w:r>
      <w:r w:rsidR="000F45B9">
        <w:t>8</w:t>
      </w:r>
      <w:r w:rsidRPr="00B63539">
        <w:t>.</w:t>
      </w:r>
      <w:r w:rsidR="00C07B2E">
        <w:t xml:space="preserve"> maj</w:t>
      </w:r>
      <w:r w:rsidRPr="00B63539">
        <w:t xml:space="preserve"> 2025 om gamle udfordringer og ny handelspraksis i det indre marked</w:t>
      </w:r>
      <w:bookmarkEnd w:id="3"/>
      <w:r w:rsidRPr="00B63539">
        <w:t xml:space="preserve"> </w:t>
      </w:r>
      <w:bookmarkStart w:id="4" w:name="References"/>
      <w:r w:rsidRPr="00B63539">
        <w:t>(2025/2542(RSP))</w:t>
      </w:r>
      <w:bookmarkEnd w:id="4"/>
    </w:p>
    <w:p w:rsidR="00850E0E" w:rsidRPr="00B63539" w:rsidRDefault="00850E0E" w:rsidP="00850E0E">
      <w:pPr>
        <w:pStyle w:val="EPComma"/>
      </w:pPr>
      <w:bookmarkStart w:id="5" w:name="TextBodyBegin"/>
      <w:bookmarkEnd w:id="5"/>
      <w:r w:rsidRPr="00B63539">
        <w:rPr>
          <w:i/>
          <w:iCs/>
        </w:rPr>
        <w:t>Europa-Parlamentet,</w:t>
      </w:r>
    </w:p>
    <w:p w:rsidR="00850E0E" w:rsidRPr="00B63539" w:rsidRDefault="00850E0E" w:rsidP="00850E0E">
      <w:pPr>
        <w:pStyle w:val="NormalHanging12a"/>
      </w:pPr>
      <w:r w:rsidRPr="00B63539">
        <w:t>–</w:t>
      </w:r>
      <w:r w:rsidRPr="00B63539">
        <w:tab/>
        <w:t>der henviser til sin beslutning af 18. januar 2023 om 30-året for det indre marked: fejring af opnåede resultater og blik imod fremtidig udvikling</w:t>
      </w:r>
      <w:r w:rsidRPr="00B63539">
        <w:rPr>
          <w:rStyle w:val="FootnoteReference"/>
        </w:rPr>
        <w:footnoteReference w:id="1"/>
      </w:r>
      <w:r w:rsidRPr="00B63539">
        <w:t>,</w:t>
      </w:r>
    </w:p>
    <w:p w:rsidR="00850E0E" w:rsidRPr="00B63539" w:rsidRDefault="00850E0E" w:rsidP="00850E0E">
      <w:pPr>
        <w:pStyle w:val="NormalHanging12a"/>
      </w:pPr>
      <w:r w:rsidRPr="00B63539">
        <w:t>–</w:t>
      </w:r>
      <w:r w:rsidRPr="00B63539">
        <w:tab/>
        <w:t>der henviser til Enrico Lettas rapport af 17. april 2024 med titlen "Much more than a market" (Meget mere end et marked) (Letta-rapporten),</w:t>
      </w:r>
    </w:p>
    <w:p w:rsidR="00850E0E" w:rsidRPr="00B63539" w:rsidRDefault="00850E0E" w:rsidP="00850E0E">
      <w:pPr>
        <w:pStyle w:val="NormalHanging12a"/>
      </w:pPr>
      <w:r w:rsidRPr="00B63539">
        <w:t>–</w:t>
      </w:r>
      <w:r w:rsidRPr="00B63539">
        <w:tab/>
        <w:t>der henviser til Mario Draghis rapport af 9. september 2024 med titlen "The future of European competitiveness" (Fremtiden for den europæiske konkurrenceevne) (Draghi-rapporten),</w:t>
      </w:r>
    </w:p>
    <w:p w:rsidR="00850E0E" w:rsidRPr="00B63539" w:rsidRDefault="00850E0E" w:rsidP="00850E0E">
      <w:pPr>
        <w:pStyle w:val="NormalHanging12a"/>
      </w:pPr>
      <w:r w:rsidRPr="00B63539">
        <w:t>–</w:t>
      </w:r>
      <w:r w:rsidRPr="00B63539">
        <w:tab/>
        <w:t>der henviser til Kommissionens meddelelse af 29. januar 2025 med titlen "Årsrapport om det indre marked og konkurrenceevnen 2025" (COM(2025)0026),</w:t>
      </w:r>
    </w:p>
    <w:p w:rsidR="00850E0E" w:rsidRPr="00B63539" w:rsidRDefault="00850E0E" w:rsidP="00850E0E">
      <w:pPr>
        <w:pStyle w:val="NormalHanging12a"/>
      </w:pPr>
      <w:r w:rsidRPr="00B63539">
        <w:t>–</w:t>
      </w:r>
      <w:r w:rsidRPr="00B63539">
        <w:tab/>
        <w:t>der henviser til Kommissionens meddelelse af 29. januar 2025 med titlen "Et konkurrenceevnekompas for EU" (COM(2025)0030),</w:t>
      </w:r>
    </w:p>
    <w:p w:rsidR="00850E0E" w:rsidRPr="00B63539" w:rsidRDefault="00850E0E" w:rsidP="00850E0E">
      <w:pPr>
        <w:pStyle w:val="NormalHanging12a"/>
      </w:pPr>
      <w:r w:rsidRPr="00B63539">
        <w:t>–</w:t>
      </w:r>
      <w:r w:rsidRPr="00B63539">
        <w:tab/>
        <w:t xml:space="preserve">der henviser til Kommissionens meddelelse af 11. februar 2025 med titlen "Et enklere og hurtigere Europa: Meddelelse om gennemførelse og forenkling" (COM(2025)0047), </w:t>
      </w:r>
    </w:p>
    <w:p w:rsidR="00850E0E" w:rsidRPr="00B63539" w:rsidRDefault="00850E0E" w:rsidP="00850E0E">
      <w:pPr>
        <w:pStyle w:val="NormalHanging12a"/>
      </w:pPr>
      <w:r w:rsidRPr="00B63539">
        <w:t>–</w:t>
      </w:r>
      <w:r w:rsidRPr="00B63539">
        <w:tab/>
        <w:t>der henviser til forespørgsel til Kommissionen om de gamle udfordringer og nye former for handelspraksis i det indre marked (O-000012/2025 – B10</w:t>
      </w:r>
      <w:r w:rsidRPr="00B63539">
        <w:noBreakHyphen/>
        <w:t>0264/2025),</w:t>
      </w:r>
    </w:p>
    <w:p w:rsidR="00850E0E" w:rsidRPr="00B63539" w:rsidRDefault="00850E0E" w:rsidP="00850E0E">
      <w:pPr>
        <w:pStyle w:val="NormalHanging12a"/>
      </w:pPr>
      <w:r w:rsidRPr="00B63539">
        <w:t>–</w:t>
      </w:r>
      <w:r w:rsidRPr="00B63539">
        <w:tab/>
        <w:t>der henviser til forretningsordenens artikel 142, stk. 5, og artikel 136, stk. 2,</w:t>
      </w:r>
    </w:p>
    <w:p w:rsidR="00850E0E" w:rsidRPr="00B63539" w:rsidRDefault="00850E0E" w:rsidP="00850E0E">
      <w:pPr>
        <w:pStyle w:val="NormalHanging12a"/>
      </w:pPr>
      <w:r w:rsidRPr="00B63539">
        <w:t>A.</w:t>
      </w:r>
      <w:r w:rsidRPr="00B63539">
        <w:tab/>
        <w:t>der henviser til, at Den Europæiske Unions evne til at konkurrere og trives i den globale økonomi er afgørende, navnlig i lyset af de aktuelle geopolitiske udfordringer og klimakrisen og andre miljøkriser; der henviser til, at EU's nuværende konkurrenceevne på mellemlang og lang sigt afhænger af et fuldt integreret og effektivt indre marked, der gør det muligt for europæiske virksomheder at innovere og trives, og hvor der er en prioritering af en reduktion af de administrative byrder;</w:t>
      </w:r>
    </w:p>
    <w:p w:rsidR="00850E0E" w:rsidRPr="00B63539" w:rsidRDefault="00850E0E" w:rsidP="00850E0E">
      <w:pPr>
        <w:pStyle w:val="NormalHanging12a"/>
      </w:pPr>
      <w:r w:rsidRPr="00B63539">
        <w:t>B.</w:t>
      </w:r>
      <w:r w:rsidRPr="00B63539">
        <w:tab/>
        <w:t xml:space="preserve">der henviser til, at det indre marked, der omfatter næsten 450 mio. borgere og 23 mio. </w:t>
      </w:r>
      <w:r w:rsidRPr="00B63539">
        <w:lastRenderedPageBreak/>
        <w:t>virksomheder, genererer et bruttonationalprodukt (BNP) på 17 billioner EUR, hvilket placerer EU blandt verdens tre største økonomier og bidrager med ca. en sjettedel af det globale økonomiske output;</w:t>
      </w:r>
    </w:p>
    <w:p w:rsidR="00850E0E" w:rsidRPr="00B63539" w:rsidRDefault="00850E0E" w:rsidP="00850E0E">
      <w:pPr>
        <w:pStyle w:val="NormalHanging12a"/>
      </w:pPr>
      <w:r w:rsidRPr="00B63539">
        <w:t>C.</w:t>
      </w:r>
      <w:r w:rsidRPr="00B63539">
        <w:tab/>
        <w:t>der henviser til, at Draghi-rapporten viste, at efterlevelsesomkostningerne som følge af forskellige retsakter fortsat er meget høje for europæiske virksomheder, hvilket hæmmer den europæiske innovationskapacitet;</w:t>
      </w:r>
    </w:p>
    <w:p w:rsidR="00850E0E" w:rsidRPr="00B63539" w:rsidRDefault="00850E0E" w:rsidP="00850E0E">
      <w:pPr>
        <w:pStyle w:val="NormalHanging12a"/>
      </w:pPr>
      <w:r w:rsidRPr="00B63539">
        <w:t>D.</w:t>
      </w:r>
      <w:r w:rsidRPr="00B63539">
        <w:tab/>
        <w:t>der henviser til, at det fortsat er afgørende at forbedre det indre markeds funktion ved at afhjælpe den vedvarende fragmentering gennem fælles harmoniserede EU-politikker og mere effektiv gennemførelse og håndhævelse og forenkling af EU-reglerne; der henviser til, at en reduktion af de administrative byrder og omkostninger, navnlig for små og mellemstore virksomheder (SMV'er), kan bidrage til at fremme innovation og støtte europæiske virksomheder; der henviser til, at frigørelse af det indre markeds fulde potentiale kræver, at de vedvarende hindringer for den frie bevægelighed for varer og tjenesteydelser overvindes;</w:t>
      </w:r>
    </w:p>
    <w:p w:rsidR="00850E0E" w:rsidRPr="00B63539" w:rsidRDefault="00850E0E" w:rsidP="00850E0E">
      <w:pPr>
        <w:pStyle w:val="NormalHanging12a"/>
      </w:pPr>
      <w:r w:rsidRPr="00B63539">
        <w:t>E.</w:t>
      </w:r>
      <w:r w:rsidRPr="00B63539">
        <w:tab/>
        <w:t>der henviser til, at den hurtige udvidelse af digitale platforme og e-handel har skabt ny markedsdynamik, og at udviklingen i den globale e-handel lægger yderligere pres på toldkontrollen, markedsovervågningen og forbrugerbeskyttelsesmyndighederne;</w:t>
      </w:r>
    </w:p>
    <w:p w:rsidR="00850E0E" w:rsidRPr="00B63539" w:rsidRDefault="00850E0E" w:rsidP="00850E0E">
      <w:pPr>
        <w:pStyle w:val="NormalHanging12a"/>
      </w:pPr>
      <w:r w:rsidRPr="00B63539">
        <w:t>F.</w:t>
      </w:r>
      <w:r w:rsidRPr="00B63539">
        <w:tab/>
        <w:t>der henviser til, at geopolitiske forandringer og globale økonomiske forandringer er i færd med at omforme forsyningskæderne, hvilket nødvendiggør, at EU tilpasser sine politikker for det indre marked; der henviser til, at EU har fastsat de højeste standarder for produktsikkerhed og forbrugerbeskyttelse, både offline og online;</w:t>
      </w:r>
    </w:p>
    <w:p w:rsidR="00850E0E" w:rsidRPr="00B63539" w:rsidRDefault="00850E0E" w:rsidP="00850E0E">
      <w:pPr>
        <w:pStyle w:val="NormalHanging12a"/>
      </w:pPr>
      <w:r w:rsidRPr="00B63539">
        <w:t>G.</w:t>
      </w:r>
      <w:r w:rsidRPr="00B63539">
        <w:tab/>
        <w:t>der henviser til, at der er blevet gjort opmærksom på det stigende antal indberettede tilfælde i hele EU, hvor varer og tjenesteydelser tilbydes i mindre mængde eller i dårligere kvalitet, til trods for at priserne forbliver stabile eller stiger;</w:t>
      </w:r>
    </w:p>
    <w:p w:rsidR="00850E0E" w:rsidRPr="00B63539" w:rsidRDefault="00850E0E" w:rsidP="00850E0E">
      <w:pPr>
        <w:pStyle w:val="NormalHanging12a"/>
        <w:rPr>
          <w:b/>
          <w:i/>
          <w:iCs/>
        </w:rPr>
      </w:pPr>
      <w:r w:rsidRPr="00B63539">
        <w:rPr>
          <w:b/>
          <w:i/>
        </w:rPr>
        <w:t>Gamle og vedvarende udfordringer</w:t>
      </w:r>
    </w:p>
    <w:p w:rsidR="00850E0E" w:rsidRPr="00B63539" w:rsidRDefault="00850E0E" w:rsidP="00850E0E">
      <w:pPr>
        <w:pStyle w:val="NormalHanging12a"/>
      </w:pPr>
      <w:r w:rsidRPr="00B63539">
        <w:t>1.</w:t>
      </w:r>
      <w:r w:rsidRPr="00B63539">
        <w:tab/>
        <w:t>bekræfter på ny, at det indre marked har været en hjørnesten i den europæiske økonomiske integration og muliggjort fri bevægelighed for varer, tjenesteydelser, kapital og personer; understreger imidlertid, at der er langvarige og nye udfordringer, der nødvendiggør ambitiøse reformer uden at skade den europæiske konkurrenceevne eller pålægge virksomhederne unødvendige administrative byrder; opfordrer Kommissionen og medlemsstaterne til at fremskynde bestræbelserne på at gennemføre disse reformer og fjerne de resterende uberettigede hindringer for den frie bevægelighed for varer og tjenesteydelser, samtidig med at der sikres et højt forbrugerbeskyttelsesniveau;</w:t>
      </w:r>
    </w:p>
    <w:p w:rsidR="00850E0E" w:rsidRDefault="00850E0E" w:rsidP="00850E0E">
      <w:pPr>
        <w:pStyle w:val="NormalHanging12a"/>
      </w:pPr>
      <w:r w:rsidRPr="00B63539">
        <w:t>2.</w:t>
      </w:r>
      <w:r w:rsidRPr="00B63539">
        <w:tab/>
        <w:t>opfordrer Kommissionen og medlemsstaterne til at opretholde en stærk forbrugerbeskyttelse og samtidig fastsætte konkurrenceregler, der er innovationsvenlige, fremtidssikrede og forholdsmæssige; understreger behovet for at sikre retssikkerhed og sammenhæng og minimere reguleringsmæssig kompleksitet og fragmentering, som kan påvirke SMV'er, nystartede virksomheder og vækstvirksomheder uforholdsmæssigt meget;</w:t>
      </w:r>
    </w:p>
    <w:p w:rsidR="00F62498" w:rsidRPr="00B63539" w:rsidRDefault="00F62498" w:rsidP="00850E0E">
      <w:pPr>
        <w:pStyle w:val="NormalHanging12a"/>
      </w:pPr>
      <w:r>
        <w:t>3.</w:t>
      </w:r>
      <w:r>
        <w:tab/>
      </w:r>
      <w:r w:rsidRPr="00F62498">
        <w:t xml:space="preserve">fremhæver, at de vedvarende hindringer og lovgivningen har hæmmet udviklingen af det indre marked som konstateret i Draghi-rapporten; opfordrer til et skifte i retning af en lovgivningsmæssig tilgang, der sætter virksomhederne i stand til at vokse, innovere </w:t>
      </w:r>
      <w:r w:rsidRPr="00F62498">
        <w:lastRenderedPageBreak/>
        <w:t>og tage føringen internationalt og dermed genoprette det indre marked som en reel drivkraft for vækst og konkurrenceevne;</w:t>
      </w:r>
    </w:p>
    <w:p w:rsidR="00850E0E" w:rsidRPr="00B63539" w:rsidRDefault="00A1255F" w:rsidP="00850E0E">
      <w:pPr>
        <w:pStyle w:val="NormalHanging12a"/>
      </w:pPr>
      <w:r>
        <w:t>4</w:t>
      </w:r>
      <w:r w:rsidR="00850E0E" w:rsidRPr="00B63539">
        <w:t>.</w:t>
      </w:r>
      <w:r w:rsidR="00850E0E" w:rsidRPr="00B63539">
        <w:tab/>
        <w:t>opfordrer Kommissionen til at sikre, at fremtidige lovgivningsinitiativer konsekvent styres af de strategiske prioriteter, der er skitseret i dens meddelelser og strategi for konkurrenceevne;</w:t>
      </w:r>
    </w:p>
    <w:p w:rsidR="00850E0E" w:rsidRPr="00B63539" w:rsidRDefault="00A1255F" w:rsidP="00850E0E">
      <w:pPr>
        <w:pStyle w:val="NormalHanging12a"/>
      </w:pPr>
      <w:r>
        <w:t>5</w:t>
      </w:r>
      <w:r w:rsidR="00850E0E" w:rsidRPr="00B63539">
        <w:t>.</w:t>
      </w:r>
      <w:r w:rsidR="00850E0E" w:rsidRPr="00B63539">
        <w:tab/>
        <w:t>understreger, at der, som det fremgår af Letta- og Draghi-rapporterne, stadig er uudnyttet potentiale i servicesektoren; opfordrer til yderligere tiltag i denne sektor for at tackle de betydelige hindringer, der fortsat findes, begyndende med fastsættelse af ambitiøse mål i den kommende strategi for det indre marked; bemærker, at tjenesteydelser tegner sig for tre fjerdedele af EU's BNP, for to tredjedele af beskæftigelsen og skaber 9 ud af 10 nye job i EU's økonomi; bemærker imidlertid også, at tjenesteydelser stadig er det mindst udviklede segment af EU's indre marked;</w:t>
      </w:r>
    </w:p>
    <w:p w:rsidR="00850E0E" w:rsidRPr="00B63539" w:rsidRDefault="00A1255F" w:rsidP="00850E0E">
      <w:pPr>
        <w:pStyle w:val="NormalHanging12a"/>
      </w:pPr>
      <w:r>
        <w:t>6</w:t>
      </w:r>
      <w:r w:rsidR="00850E0E" w:rsidRPr="00B63539">
        <w:t>.</w:t>
      </w:r>
      <w:r w:rsidR="00850E0E" w:rsidRPr="00B63539">
        <w:tab/>
        <w:t>glæder sig over forslaget til forordning om en offentlig brugerflade, der er forbundet til informationssystemet for det indre marked, vedrørende erklæringen om udstationering af arbejdstagere og om ændring af forordning (EU) nr. 1024/2012 (COM</w:t>
      </w:r>
      <w:r w:rsidR="000F45B9">
        <w:t>(</w:t>
      </w:r>
      <w:r w:rsidR="00850E0E" w:rsidRPr="00B63539">
        <w:t>2024</w:t>
      </w:r>
      <w:r w:rsidR="000F45B9">
        <w:t>)0</w:t>
      </w:r>
      <w:r w:rsidR="00850E0E" w:rsidRPr="00B63539">
        <w:t>531), som bør føre til forenkling og styrket håndhævelse; bemærker også, at digitalisering i væsentlig grad kan reducere de administrative byrder for grænseoverskridende tjenester og sikre bedre adgang for virksomheder og forbrugere; opfordrer i denne forbindelse til en fælles erklæringsportal og digitalisering af A1-formularer for grænseoverskridende tjenester;</w:t>
      </w:r>
    </w:p>
    <w:p w:rsidR="00850E0E" w:rsidRPr="00B63539" w:rsidRDefault="00A1255F" w:rsidP="00850E0E">
      <w:pPr>
        <w:pStyle w:val="NormalHanging12a"/>
      </w:pPr>
      <w:r>
        <w:t>7</w:t>
      </w:r>
      <w:r w:rsidR="00850E0E" w:rsidRPr="00B63539">
        <w:t>.</w:t>
      </w:r>
      <w:r w:rsidR="00850E0E" w:rsidRPr="00B63539">
        <w:tab/>
        <w:t>understreger betydningen af en effektiv anerkendelse af erhvervsmæssige kvalifikationer og fjernelse af uberettigede hindringer for erhvervsudøveres frie bevægelighed med henblik på at gøre EU's liberale tjenesteydelser globalt konkurrencedygtige i de kommende årtier; opfordrer Kommissionen til fortsat at være årvågen i forbindelse med traktatbrudsprocedurer, hvor medlemsstaterne ikke overholder EU-lovgivningen om anerkendelse af kvalifikationer;</w:t>
      </w:r>
    </w:p>
    <w:p w:rsidR="00850E0E" w:rsidRPr="00B63539" w:rsidRDefault="00A1255F" w:rsidP="00850E0E">
      <w:pPr>
        <w:pStyle w:val="NormalHanging12a"/>
      </w:pPr>
      <w:r>
        <w:t>8</w:t>
      </w:r>
      <w:r w:rsidR="00850E0E" w:rsidRPr="00B63539">
        <w:t>.</w:t>
      </w:r>
      <w:r w:rsidR="00850E0E" w:rsidRPr="00B63539">
        <w:tab/>
        <w:t>understreger, at reglerne for det indre marked bør sikre adgangen til offentlige tjenesteydelser og beskytte forbrugernes rettigheder samt andre tvingende almene hensyn; tilføjer, at enhver vurdering af restriktioner på det indre marked for tjenesteydelser bør omfatte kvalitative kriterier;</w:t>
      </w:r>
    </w:p>
    <w:p w:rsidR="00850E0E" w:rsidRPr="00B63539" w:rsidRDefault="00A1255F" w:rsidP="00850E0E">
      <w:pPr>
        <w:pStyle w:val="NormalHanging12a"/>
      </w:pPr>
      <w:r>
        <w:t>9</w:t>
      </w:r>
      <w:r w:rsidR="00850E0E" w:rsidRPr="00B63539">
        <w:t>.</w:t>
      </w:r>
      <w:r w:rsidR="00850E0E" w:rsidRPr="00B63539">
        <w:tab/>
        <w:t>bemærker den rolle, som EU's offentlige udbud kan spille med hensyn til at overvinde hindringer for markedsadgang, støtte bæredygtige og modstandsdygtige industrielle økosystemer, job af høj kvalitet og værdiskabelse i EU;</w:t>
      </w:r>
    </w:p>
    <w:p w:rsidR="00850E0E" w:rsidRPr="00B63539" w:rsidRDefault="00A1255F" w:rsidP="00850E0E">
      <w:pPr>
        <w:pStyle w:val="NormalHanging12a"/>
      </w:pPr>
      <w:r>
        <w:t>10</w:t>
      </w:r>
      <w:r w:rsidR="00850E0E" w:rsidRPr="00B63539">
        <w:t>.</w:t>
      </w:r>
      <w:r w:rsidR="00850E0E" w:rsidRPr="00B63539">
        <w:tab/>
        <w:t>anerkender, at den nye lovgivningsmæssige ramme har bidraget til sammenhæng i EU's produktlovgivning, og at industrisektoren, forsyningskæderne og produkterne siden dens vedtagelse har undergået betydelige forandringer i lyset af den digitale og grønne omstilling, og bemærker, at der også er sket ændringer i markedsdynamikken; bemærker, at evalueringen i 2022 af de nye retlige rammer kortlagde kritiske udfordringer såsom potentiel udenlandsk indflydelse, ulovlig praksis, mangler i håndteringen af digitalisering og den cirkulære økonomi og potentielle ajourføringer af forpligtelser og definitioner for visse økonomiske aktører for at afspejle nye markedsrealiteter;</w:t>
      </w:r>
    </w:p>
    <w:p w:rsidR="00850E0E" w:rsidRPr="00B63539" w:rsidRDefault="00A1255F" w:rsidP="00850E0E">
      <w:pPr>
        <w:pStyle w:val="NormalHanging12a"/>
      </w:pPr>
      <w:r>
        <w:t>11</w:t>
      </w:r>
      <w:r w:rsidR="00850E0E" w:rsidRPr="00B63539">
        <w:t>.</w:t>
      </w:r>
      <w:r w:rsidR="00850E0E" w:rsidRPr="00B63539">
        <w:tab/>
        <w:t xml:space="preserve">understreger, at det er afgørende at tackle disse spørgsmål og fremtidssikre de nye retlige rammer for at sikre sammenhæng, reducere omkostningerne og sikre varernes </w:t>
      </w:r>
      <w:r w:rsidR="00850E0E" w:rsidRPr="00B63539">
        <w:lastRenderedPageBreak/>
        <w:t>frie bevægelighed; opfordrer derfor til en ajourføring af de nye retlige rammer for at strømline produktreglerne, fremme digitalisering og forenkle procedurerne for overholdelse og markedsovervågning; mener, at de nye retlige rammer bør fremme brugen af digitale produktpas som et middel til at påvise produkternes overensstemmelse og opfylde oplysningskravene;</w:t>
      </w:r>
    </w:p>
    <w:p w:rsidR="00850E0E" w:rsidRDefault="00A1255F" w:rsidP="00850E0E">
      <w:pPr>
        <w:pStyle w:val="NormalHanging12a"/>
      </w:pPr>
      <w:r>
        <w:t>12</w:t>
      </w:r>
      <w:r w:rsidR="00850E0E" w:rsidRPr="00B63539">
        <w:t>.</w:t>
      </w:r>
      <w:r w:rsidR="00850E0E" w:rsidRPr="00B63539">
        <w:tab/>
        <w:t>opfordrer Kommissionen og medlemsstaterne til at forenkle EU-reglerne og gøre dem lettere at gennemføre og til i væsentlig grad at reducere de administrative byrder, navnlig for SMV'er, som spiller en afgørende rolle med hensyn til at understøtte lokalsamfund og økonomier; understreger betydningen af at sikre retssikkerhed og sammenhæng for virksomheder samt forudsigelighed for langsigtede investeringer, hvilket er afgørende for at fremme konkurrenceevne, innovation og modstandsdygtighed og for at levere hurtige og meningsfulde forbedringer for forbrugere og virksomheder; opfordrer endvidere medlemsstaterne til at forhindre foranstaltninger, der kan bringe de lige konkurrencevilkår på det indre marked i fare;</w:t>
      </w:r>
    </w:p>
    <w:p w:rsidR="00F62498" w:rsidRPr="00B63539" w:rsidRDefault="00A1255F" w:rsidP="00850E0E">
      <w:pPr>
        <w:pStyle w:val="NormalHanging12a"/>
      </w:pPr>
      <w:r>
        <w:t>13</w:t>
      </w:r>
      <w:r w:rsidR="00F62498">
        <w:t>.</w:t>
      </w:r>
      <w:r w:rsidR="00F62498">
        <w:tab/>
      </w:r>
      <w:r w:rsidR="00F62498" w:rsidRPr="00F62498">
        <w:t>opfordrer Kommissionen til at fremme SMV'ers og små midcapselskabers virksomhed i det indre marked, navnlig med en særlig omnibuspakke om forenkling;</w:t>
      </w:r>
    </w:p>
    <w:p w:rsidR="00850E0E" w:rsidRPr="00B63539" w:rsidRDefault="00A1255F" w:rsidP="00850E0E">
      <w:pPr>
        <w:pStyle w:val="NormalHanging12a"/>
      </w:pPr>
      <w:r>
        <w:t>14</w:t>
      </w:r>
      <w:r w:rsidR="00850E0E" w:rsidRPr="00B63539">
        <w:t>.</w:t>
      </w:r>
      <w:r w:rsidR="00850E0E" w:rsidRPr="00B63539">
        <w:tab/>
        <w:t>anerkender, at inkonsekvent og fragmenteret håndhævelse af EU-lovgivningen i medlemsstaterne fortsat forvrider konkurrencen og underminerer det indre markeds integritet; tilføjer, at det primære ansvar for håndhævelse af EU-reglerne ligger hos medlemsstaterne. opfordrer Kommissionen til at gøre fuld brug af sine håndhævelsesbeføjelser; opfordrer til forbedrede overvågnings- og håndhævelsesmekanismer på EU-plan såsom harmoniserede regler om minimumsniveauer for kontrol, harmoniserede metoder til gennemførelse af disse kontroller og fælles inspektioner for at sikre en ensartet anvendelse af EU-retten og, hvor det er relevant, hurtig klageadgang for forbrugerne;</w:t>
      </w:r>
    </w:p>
    <w:p w:rsidR="00850E0E" w:rsidRPr="00B63539" w:rsidRDefault="00A1255F" w:rsidP="00850E0E">
      <w:pPr>
        <w:pStyle w:val="NormalHanging12a"/>
      </w:pPr>
      <w:r>
        <w:t>15</w:t>
      </w:r>
      <w:r w:rsidR="00850E0E" w:rsidRPr="00B63539">
        <w:t>.</w:t>
      </w:r>
      <w:r w:rsidR="00850E0E" w:rsidRPr="00B63539">
        <w:tab/>
        <w:t>understreger betydningen af at opretholde et konkurrencedygtigt og dynamisk økonomisk miljø ved at beskytte forbrugernes rettigheder og håndhæve digitale konkurrenceregler for at imødegå urimelig handelspraksis, der forvrider markedsvilkårene; opfordrer endvidere medlemsstaterne til at øge markedsovervågningsmyndighedernes og toldmyndighedernes kapacitet til at sikre en effektiv håndhævelse af reglerne for det indre marked, navnlig med hensyn til e-handel og import fra lande uden for EU;</w:t>
      </w:r>
    </w:p>
    <w:p w:rsidR="00850E0E" w:rsidRPr="00B63539" w:rsidRDefault="00A1255F" w:rsidP="00850E0E">
      <w:pPr>
        <w:pStyle w:val="NormalHanging12a"/>
      </w:pPr>
      <w:r>
        <w:t>16</w:t>
      </w:r>
      <w:r w:rsidR="00850E0E" w:rsidRPr="00B63539">
        <w:t>.</w:t>
      </w:r>
      <w:r w:rsidR="00850E0E" w:rsidRPr="00B63539">
        <w:tab/>
        <w:t>minder om, at territoriale forsyningsbegrænsninger i detail- og engrossegmenterne fragmenterer det indre marked, begrænser forbrugernes valgmuligheder og bidrager til betydelige prisforskelle i Unionen, hvilket navnlig påvirker priserne på basale forbrugsgoder; fremhæver, at selv om konkurrencelovgivningen straffer nogle af disse praksisser effektivt, falder mange uden for dens anvendelsesområde; opfordrer derfor Kommissionen til at foreslå foranstaltninger til at løse dette problem, herunder en stærkere håndhævelse mod konkurrencebegrænsende distributionsaftaler, for at sikre fair konkurrence og dermed sikre det indre markeds integritet;</w:t>
      </w:r>
    </w:p>
    <w:p w:rsidR="00850E0E" w:rsidRPr="00B63539" w:rsidRDefault="00A1255F" w:rsidP="00850E0E">
      <w:pPr>
        <w:pStyle w:val="NormalHanging12a"/>
      </w:pPr>
      <w:r>
        <w:t>17</w:t>
      </w:r>
      <w:r w:rsidR="00850E0E" w:rsidRPr="00B63539">
        <w:t>.</w:t>
      </w:r>
      <w:r w:rsidR="00850E0E" w:rsidRPr="00B63539">
        <w:tab/>
        <w:t>opfordrer Kommissionen til at undersøge årsagerne til de forskellige inflationsniveauer for basale varer og de stigninger i forbrugerpriserne, der er konstateret i nogle EU-medlemsstater;</w:t>
      </w:r>
    </w:p>
    <w:p w:rsidR="00850E0E" w:rsidRPr="00B63539" w:rsidRDefault="00A1255F" w:rsidP="00850E0E">
      <w:pPr>
        <w:pStyle w:val="NormalHanging12a"/>
      </w:pPr>
      <w:r>
        <w:t>18</w:t>
      </w:r>
      <w:r w:rsidR="00850E0E" w:rsidRPr="00B63539">
        <w:t>.</w:t>
      </w:r>
      <w:r w:rsidR="00850E0E" w:rsidRPr="00B63539">
        <w:tab/>
        <w:t xml:space="preserve">mener, at det indre marked er et vigtigt redskab i krisetider, hvis medlemsstaterne kan handle på en koordineret måde; mener, at den nyligt vedtagne forordning om </w:t>
      </w:r>
      <w:r w:rsidR="00850E0E" w:rsidRPr="00B63539">
        <w:lastRenderedPageBreak/>
        <w:t>nødsituationer for det indre marked og det indre markeds modstandsdygtighed</w:t>
      </w:r>
      <w:r w:rsidR="00850E0E" w:rsidRPr="00B63539">
        <w:rPr>
          <w:rStyle w:val="FootnoteReference"/>
        </w:rPr>
        <w:footnoteReference w:id="2"/>
      </w:r>
      <w:r w:rsidR="00850E0E" w:rsidRPr="00B63539">
        <w:t xml:space="preserve"> vil være nødvendig for at sikre koordinering for at undgå mangler og sikre et velfungerende indre marked, herunder fri bevægelighed af nødvendige varer og tjenesteydelser i EU;</w:t>
      </w:r>
    </w:p>
    <w:p w:rsidR="00850E0E" w:rsidRPr="00B63539" w:rsidRDefault="00A1255F" w:rsidP="00850E0E">
      <w:pPr>
        <w:pStyle w:val="NormalHanging12a"/>
      </w:pPr>
      <w:r>
        <w:t>19</w:t>
      </w:r>
      <w:r w:rsidR="00850E0E" w:rsidRPr="00B63539">
        <w:t>.</w:t>
      </w:r>
      <w:r w:rsidR="00850E0E" w:rsidRPr="00B63539">
        <w:tab/>
        <w:t>opfordrer Kommissionen til at sætte forbrugerne i stand til let at udøve deres passagerrettigheder ved at oprette nationale håndhævelsesorganer, som bør tildeles harmoniserede undersøgelses- og håndhævelsesbeføjelser, og som bør være i stand til effektivt at behandle individuelle klager og tilhørende bøder;</w:t>
      </w:r>
    </w:p>
    <w:p w:rsidR="00850E0E" w:rsidRPr="00B63539" w:rsidRDefault="00A1255F" w:rsidP="00850E0E">
      <w:pPr>
        <w:pStyle w:val="NormalHanging12a"/>
        <w:keepNext/>
        <w:keepLines/>
      </w:pPr>
      <w:r>
        <w:t>20</w:t>
      </w:r>
      <w:r w:rsidR="00850E0E" w:rsidRPr="00B63539">
        <w:t>.</w:t>
      </w:r>
      <w:r w:rsidR="00850E0E" w:rsidRPr="00B63539">
        <w:tab/>
        <w:t>fremhæver, at e-handelsforanstaltninger rettet mod geoblokering</w:t>
      </w:r>
      <w:r w:rsidR="00850E0E" w:rsidRPr="00B63539">
        <w:rPr>
          <w:rStyle w:val="FootnoteReference"/>
        </w:rPr>
        <w:footnoteReference w:id="3"/>
      </w:r>
      <w:r w:rsidR="00850E0E" w:rsidRPr="00B63539">
        <w:t xml:space="preserve"> har været en succes med hensyn til at skabe rammerne for et mindre fragmenteret indre marked og øge forbrugernes valgmuligheder for onlinehandel; bemærker med bekymring, at gennemførelsen af forordningen har været utilstrækkelig;</w:t>
      </w:r>
    </w:p>
    <w:p w:rsidR="00850E0E" w:rsidRPr="00B63539" w:rsidRDefault="00A1255F" w:rsidP="00850E0E">
      <w:pPr>
        <w:pStyle w:val="NormalHanging12a"/>
      </w:pPr>
      <w:r>
        <w:t>21</w:t>
      </w:r>
      <w:r w:rsidR="00850E0E" w:rsidRPr="00B63539">
        <w:t>.</w:t>
      </w:r>
      <w:r w:rsidR="00850E0E" w:rsidRPr="00B63539">
        <w:tab/>
        <w:t>bemærker, at det europæiske tilgængelighedsdirektiv</w:t>
      </w:r>
      <w:r w:rsidR="00850E0E" w:rsidRPr="00B63539">
        <w:rPr>
          <w:rStyle w:val="FootnoteReference"/>
        </w:rPr>
        <w:footnoteReference w:id="4"/>
      </w:r>
      <w:r w:rsidR="00850E0E" w:rsidRPr="00B63539">
        <w:t xml:space="preserve"> vil finde anvendelse i alle EU's medlemsstater fra den 28. juni 2025; understreger, at det er vigtigt, at medlemsstaterne gennemfører dette direktiv fuldt ud og på effektiv vis for at sikre harmonisering af tilgængelighedskravene for produkter og tjenester og dermed garantere deres tilgængelighed for personer med handicap i hele EU's indre marked;</w:t>
      </w:r>
    </w:p>
    <w:p w:rsidR="00850E0E" w:rsidRPr="00B63539" w:rsidRDefault="00850E0E" w:rsidP="00850E0E">
      <w:pPr>
        <w:pStyle w:val="NormalHanging12a"/>
        <w:rPr>
          <w:b/>
          <w:i/>
          <w:iCs/>
        </w:rPr>
      </w:pPr>
      <w:r w:rsidRPr="00B63539">
        <w:rPr>
          <w:b/>
          <w:i/>
        </w:rPr>
        <w:t>Ny handelspraksis</w:t>
      </w:r>
    </w:p>
    <w:p w:rsidR="00850E0E" w:rsidRPr="00B63539" w:rsidRDefault="00A1255F" w:rsidP="00850E0E">
      <w:pPr>
        <w:pStyle w:val="NormalHanging12a"/>
      </w:pPr>
      <w:r>
        <w:t>22</w:t>
      </w:r>
      <w:r w:rsidR="00850E0E" w:rsidRPr="00B63539">
        <w:t>.</w:t>
      </w:r>
      <w:r w:rsidR="00850E0E" w:rsidRPr="00B63539">
        <w:tab/>
        <w:t>fremhæver, at den hurtige udbredelse af digitale platforme og e-handel har skabt en ny markedsdynamik samt udvidede muligheder og udfordringer og risici for brugerne; anerkender, at forordningen om digitale markeder</w:t>
      </w:r>
      <w:r w:rsidR="00850E0E" w:rsidRPr="00B63539">
        <w:rPr>
          <w:rStyle w:val="FootnoteReference"/>
        </w:rPr>
        <w:footnoteReference w:id="5"/>
      </w:r>
      <w:r w:rsidR="00850E0E" w:rsidRPr="00B63539">
        <w:t xml:space="preserve"> og forordningen om digitale tjenester</w:t>
      </w:r>
      <w:r w:rsidR="00850E0E" w:rsidRPr="00B63539">
        <w:rPr>
          <w:rStyle w:val="FootnoteReference"/>
        </w:rPr>
        <w:footnoteReference w:id="6"/>
      </w:r>
      <w:r w:rsidR="00850E0E" w:rsidRPr="00B63539">
        <w:t xml:space="preserve"> udgør centrale lovgivningsmæssige instrumenter, der sikrer fair konkurrence, fri markedsadgang og retfærdighed på digitale platforme, samtidig med at de også fremmer forbrugerbeskyttelse og et sikrere, mere pålideligt og mere gennemsigtigt digitalt miljø i den digitale økonomi; opfordrer til en korrekt håndhævelse af EU's nye teknologilovgivning for at sikre reelle, uafhængige og velinformerede forbrugervalg, beskyttelse og fair konkurrence;</w:t>
      </w:r>
    </w:p>
    <w:p w:rsidR="00850E0E" w:rsidRDefault="00A1255F" w:rsidP="00850E0E">
      <w:pPr>
        <w:pStyle w:val="NormalHanging12a"/>
      </w:pPr>
      <w:r>
        <w:t>23</w:t>
      </w:r>
      <w:r w:rsidR="00850E0E" w:rsidRPr="00B63539">
        <w:t>.</w:t>
      </w:r>
      <w:r w:rsidR="00850E0E" w:rsidRPr="00B63539">
        <w:tab/>
        <w:t xml:space="preserve">mener, at det er afgørende at sikre en effektiv gennemførelse og håndhævelse af disse to </w:t>
      </w:r>
      <w:r w:rsidR="00850E0E" w:rsidRPr="00B63539">
        <w:lastRenderedPageBreak/>
        <w:t>retsakter, og opfordrer indtrængende Kommissionen til at afslutte sine igangværende undersøgelser inden for rammerne af forordningen om digitale tjenester og forordningen om digitale markeder;</w:t>
      </w:r>
    </w:p>
    <w:p w:rsidR="00F62498" w:rsidRPr="00B63539" w:rsidRDefault="00A1255F" w:rsidP="00850E0E">
      <w:pPr>
        <w:pStyle w:val="NormalHanging12a"/>
      </w:pPr>
      <w:r>
        <w:t>24</w:t>
      </w:r>
      <w:r w:rsidR="00F62498">
        <w:t>.</w:t>
      </w:r>
      <w:r w:rsidR="00F62498">
        <w:tab/>
      </w:r>
      <w:r w:rsidR="00F62498" w:rsidRPr="00F62498">
        <w:t>understreger, at gennemførelsen af forordningen om digitale tjenester fuldt ud skal respektere ytringsfriheden; understreger, at foranstaltninger mod ulovligt indhold ikke må begrænse lovlig tale, og opfordrer til en gennemsigtig håndhævelse for at beskytte et åbent og demokratisk digitalt rum;</w:t>
      </w:r>
    </w:p>
    <w:p w:rsidR="00850E0E" w:rsidRPr="00B63539" w:rsidRDefault="00A1255F" w:rsidP="00850E0E">
      <w:pPr>
        <w:pStyle w:val="NormalHanging12a"/>
      </w:pPr>
      <w:r>
        <w:t>25</w:t>
      </w:r>
      <w:r w:rsidR="00850E0E" w:rsidRPr="00B63539">
        <w:t>.</w:t>
      </w:r>
      <w:r w:rsidR="00850E0E" w:rsidRPr="00B63539">
        <w:tab/>
        <w:t>opfordrer Kommissionen og medlemsstaterne til at sikre, at forordningen om kunstig intelligens</w:t>
      </w:r>
      <w:r w:rsidR="00850E0E" w:rsidRPr="00B63539">
        <w:rPr>
          <w:rStyle w:val="FootnoteReference"/>
        </w:rPr>
        <w:footnoteReference w:id="7"/>
      </w:r>
      <w:r w:rsidR="00850E0E" w:rsidRPr="00B63539">
        <w:t xml:space="preserve"> (AI) opretholder en risikobaseret og innovationsvenlig tilgang, som sikrer, at overensstemmelseskravene står i et rimeligt forhold til de faktiske risici, der er forbundet med AI-applikationer, samtidig med at behovet for at sikre et højt niveau af beskyttelse af sundhed, sikkerhed og de grundlæggende rettigheder respekteres;</w:t>
      </w:r>
    </w:p>
    <w:p w:rsidR="00850E0E" w:rsidRPr="00B63539" w:rsidRDefault="00A1255F" w:rsidP="00850E0E">
      <w:pPr>
        <w:pStyle w:val="NormalHanging12a"/>
      </w:pPr>
      <w:r>
        <w:t>26</w:t>
      </w:r>
      <w:r w:rsidR="00850E0E" w:rsidRPr="00B63539">
        <w:t>.</w:t>
      </w:r>
      <w:r w:rsidR="00850E0E" w:rsidRPr="00B63539">
        <w:tab/>
        <w:t>glæder sig over Kommissionens kvalitetskontrol af forbrugerlovgivningen med hensyn til "digital retfærdighed" og den kommende offentlige høring; understreger, at der stadig ikke er taget hånd om visse spørgsmål vedrørende beskyttelsen af forbrugerne online, hvilket fører til en ubalance mellem forbrugere og erhvervsdrivende i den digitale økonomi; opfordrer Kommissionen til at tage disse spørgsmål op i den kommende retsakt om digital retfærdighed; mener, at digital afhængighed, onlinespil, beskyttelse af mindreårige online og overtalende teknologier, der anvendes af onlineaktører, såsom målrettet reklame, influencerreklamer og mørke mønstre, bør høre ind under retsakten om digital retfærdighed, som bør lukke juridiske smuthuller og være i overensstemmelse med de gældende retlige instrumenter for bedre at kunne beskytte forbrugerne online, idet der tages hensyn til behovet for at undgå unødvendige reguleringsmæssige byrder;</w:t>
      </w:r>
    </w:p>
    <w:p w:rsidR="00850E0E" w:rsidRPr="00B63539" w:rsidRDefault="00A1255F" w:rsidP="00850E0E">
      <w:pPr>
        <w:pStyle w:val="NormalHanging12a"/>
      </w:pPr>
      <w:r>
        <w:t>27</w:t>
      </w:r>
      <w:r w:rsidR="00850E0E" w:rsidRPr="00B63539">
        <w:t>.</w:t>
      </w:r>
      <w:r w:rsidR="00850E0E" w:rsidRPr="00B63539">
        <w:tab/>
        <w:t>bemærker, at nye tendenser inden for den globale e-handel og omstruktureringen af forsyningskæden lægger større pres på toldkontrollen, markedsovervågningen og forbrugerbeskyttelsesmyndighederne; fremhæver, at mængden af usikre og ulovlige produkter, der sælges på e-handelsplatforme, især fra lande uden for EU, har været stigende i de seneste år; fremhæver betydningen af digitale produktpas i disse processer; opfordrer derfor til en styrket ramme for markedsovervågning og en revision af forordningen om forbrugerbeskyttelsessamarbejde</w:t>
      </w:r>
      <w:r w:rsidR="00850E0E" w:rsidRPr="00B63539">
        <w:rPr>
          <w:rStyle w:val="FootnoteReference"/>
        </w:rPr>
        <w:footnoteReference w:id="8"/>
      </w:r>
      <w:r w:rsidR="00850E0E" w:rsidRPr="00B63539">
        <w:t xml:space="preserve"> og opfordrer Rådet til hurtigt at vedtage sin holdning med henblik på at muliggøre vedtagelsen af den reviderede EU-toldkodeks og oprettelsen af en EU-toldmyndighed i 2026;</w:t>
      </w:r>
    </w:p>
    <w:p w:rsidR="00850E0E" w:rsidRPr="00B63539" w:rsidRDefault="00A1255F" w:rsidP="00850E0E">
      <w:pPr>
        <w:pStyle w:val="NormalHanging12a"/>
      </w:pPr>
      <w:r>
        <w:t>28</w:t>
      </w:r>
      <w:r w:rsidR="00850E0E" w:rsidRPr="00B63539">
        <w:t>.</w:t>
      </w:r>
      <w:r w:rsidR="00850E0E" w:rsidRPr="00B63539">
        <w:tab/>
        <w:t xml:space="preserve">opfordrer medlemsstaterne til at afsætte tilstrækkelige tekniske, menneskelige og økonomiske ressourcer til de nationale myndigheder; opfordrer medlemsstaterne og Kommissionen til at sikre tilstrækkelige midler og tilstrækkelig ekspertise til at styrke toldmyndighederne og markedsovervågningen i hele Unionen og til at intensivere fælles </w:t>
      </w:r>
      <w:r w:rsidR="00850E0E" w:rsidRPr="00B63539">
        <w:lastRenderedPageBreak/>
        <w:t>aktiviteter og EU-test;</w:t>
      </w:r>
    </w:p>
    <w:p w:rsidR="00850E0E" w:rsidRPr="00B63539" w:rsidRDefault="00A1255F" w:rsidP="00850E0E">
      <w:pPr>
        <w:pStyle w:val="NormalHanging12a"/>
      </w:pPr>
      <w:r>
        <w:t>29</w:t>
      </w:r>
      <w:r w:rsidR="00850E0E" w:rsidRPr="00B63539">
        <w:t>.</w:t>
      </w:r>
      <w:r w:rsidR="00850E0E" w:rsidRPr="00B63539">
        <w:tab/>
        <w:t>understreger, at det er nødvendigt at styrke forbrugerbeskyttelsen på både online- og offlinemarkeder ved at sikre gennemsigtighed i reklamer og prisfastsættelse, især med hensyn til dynamisk prisfastsættelse, og ved at sikre fair forretningspraksis og stærkere beskyttelsesforanstaltninger mod svig for at fremme forbrugernes tillid til grænseoverskridende handel og det højeste beskyttelsesniveau;</w:t>
      </w:r>
    </w:p>
    <w:p w:rsidR="00850E0E" w:rsidRPr="00B63539" w:rsidRDefault="00A1255F" w:rsidP="00850E0E">
      <w:pPr>
        <w:pStyle w:val="NormalHanging12a"/>
      </w:pPr>
      <w:r>
        <w:t>30</w:t>
      </w:r>
      <w:r w:rsidR="00850E0E" w:rsidRPr="00B63539">
        <w:t>.</w:t>
      </w:r>
      <w:r w:rsidR="00850E0E" w:rsidRPr="00B63539">
        <w:tab/>
        <w:t>understreger, at der i stigende grad har været fokus på tilfælde, hvor varer og tjenesteydelser tilbyder mindre med hensyn til kvantitet eller kvalitet, mens priserne forbliver de samme eller stiger; opfordrer Kommissionen til at vurdere omfanget af og de underliggende årsager til en sådan praksis og til at undersøge passende foranstaltninger til at øge gennemsigtigheden og forbrugernes bevidsthed;</w:t>
      </w:r>
    </w:p>
    <w:p w:rsidR="00850E0E" w:rsidRPr="00B63539" w:rsidRDefault="00A1255F" w:rsidP="00850E0E">
      <w:pPr>
        <w:pStyle w:val="NormalHanging12a"/>
      </w:pPr>
      <w:r>
        <w:t>31</w:t>
      </w:r>
      <w:r w:rsidR="00850E0E" w:rsidRPr="00B63539">
        <w:t>.</w:t>
      </w:r>
      <w:r w:rsidR="00850E0E" w:rsidRPr="00B63539">
        <w:tab/>
        <w:t>understreger, at hensynet til miljømæssig bæredygtighed og fair handel i stigende grad former handelspraksis, idet det spiller en vigtig rolle i forbrugernes købsbeslutninger og dermed skubber virksomhederne i retning af bæredygtighed; tilføjer, at gennemsigtighed og information til forbrugerne vedrørende miljøaspekter og vedrørende socialt ansvarlige og etiske produktionsprocesser giver forbrugerne mulighed for at gå over til bæredygtige forbrugsmønstre;</w:t>
      </w:r>
    </w:p>
    <w:p w:rsidR="00850E0E" w:rsidRPr="00B63539" w:rsidRDefault="00A1255F" w:rsidP="00850E0E">
      <w:pPr>
        <w:pStyle w:val="NormalHanging12a"/>
      </w:pPr>
      <w:r>
        <w:t>32</w:t>
      </w:r>
      <w:r w:rsidR="00850E0E" w:rsidRPr="00B63539">
        <w:t>.</w:t>
      </w:r>
      <w:r w:rsidR="00850E0E" w:rsidRPr="00B63539">
        <w:tab/>
        <w:t>opfordrer Kommissionen og medlemsstaterne til at fastholde deres ambitionsniveau i den henseende og arbejde videre med EU-dækkende mærkningsordninger; minder om, at formålet med direktivet om grønne anprisninger er at oprette et redskab, der kan beskytte forbrugerne mod grønvaskning ved at fastsætte krav om underbygning og verifikation;</w:t>
      </w:r>
    </w:p>
    <w:p w:rsidR="00850E0E" w:rsidRPr="00B63539" w:rsidRDefault="00A1255F" w:rsidP="00850E0E">
      <w:pPr>
        <w:pStyle w:val="NormalHanging12a"/>
      </w:pPr>
      <w:r>
        <w:t>33</w:t>
      </w:r>
      <w:r w:rsidR="00850E0E" w:rsidRPr="00B63539">
        <w:t>.</w:t>
      </w:r>
      <w:r w:rsidR="00850E0E" w:rsidRPr="00B63539">
        <w:tab/>
        <w:t>fremhæver, at det er nødvendigt yderligere at bekæmpe vildledende reklamer og grønvaskning og styrke markedet for brugte produkter; bemærker imidlertid, at restriktive bæredygtighedsregler kan have en negativ indvirkning på den europæiske konkurrenceevne;</w:t>
      </w:r>
    </w:p>
    <w:p w:rsidR="00850E0E" w:rsidRPr="00B63539" w:rsidRDefault="00A1255F" w:rsidP="00850E0E">
      <w:pPr>
        <w:pStyle w:val="NormalHanging12a"/>
        <w:rPr>
          <w:bCs/>
          <w:iCs/>
        </w:rPr>
      </w:pPr>
      <w:r>
        <w:t>34</w:t>
      </w:r>
      <w:r w:rsidR="00850E0E" w:rsidRPr="00B63539">
        <w:t>.</w:t>
      </w:r>
      <w:r w:rsidR="00850E0E" w:rsidRPr="00B63539">
        <w:tab/>
        <w:t>fremhæver, at visse stigende tendenser inden for e-handel giver anledning til bekymring med hensyn til varer fra lande uden for EU, der ikke opfylder EU's sikkerheds- og bæredygtighedskrav og dermed har en negativ indvirkning på SMV'er i EU; glæder sig over Kommissionens meddelelse med titlen "En omfattende EU-værktøjskasse til sikker og bæredygtig e-handel" og anmoder Kommissionen om hurtigt at gennemføre henstillingerne heri;</w:t>
      </w:r>
    </w:p>
    <w:p w:rsidR="00850E0E" w:rsidRPr="00B63539" w:rsidRDefault="00A1255F" w:rsidP="00850E0E">
      <w:pPr>
        <w:pStyle w:val="NormalHanging12a"/>
      </w:pPr>
      <w:r>
        <w:t>35</w:t>
      </w:r>
      <w:r w:rsidR="00850E0E" w:rsidRPr="00B63539">
        <w:t>.</w:t>
      </w:r>
      <w:r w:rsidR="00850E0E" w:rsidRPr="00B63539">
        <w:tab/>
        <w:t>understreger, at harmoniserede tekniske standarder er afgørende for den fri bevægelighed for varer i det indre marked og sikrer produkters sikkerhed, kvalitet og ydeevne på tværs af medlemsstaterne; fremhæver, at standarderne skal afspejle Unionens interesser, politiske mål og værdier ved at tage højde for alle interessenters synspunkter; tilføjer, at Den Europæiske Unions Domstol i sin nylige dom</w:t>
      </w:r>
      <w:r w:rsidR="00850E0E" w:rsidRPr="00B63539">
        <w:rPr>
          <w:rStyle w:val="FootnoteReference"/>
          <w:color w:val="000000"/>
        </w:rPr>
        <w:footnoteReference w:id="9"/>
      </w:r>
      <w:r w:rsidR="00850E0E" w:rsidRPr="00B63539">
        <w:t xml:space="preserve"> anerkender merværdien af harmoniserede standarder, der er en del af EU-retten på grund af deres retsvirkninger, og fastslår, at de bør gøres frit tilgængelige; understreger, at det er nødvendigt at forbedre standardiseringsrammens smidighed, især for nye grønne og digitale værdikæder, og at hjælpe industrien med at forblive konkurrencedygtig på </w:t>
      </w:r>
      <w:r w:rsidR="00850E0E" w:rsidRPr="00B63539">
        <w:lastRenderedPageBreak/>
        <w:t>centrale teknologimarkeder;</w:t>
      </w:r>
    </w:p>
    <w:p w:rsidR="00850E0E" w:rsidRPr="00B63539" w:rsidRDefault="00A1255F" w:rsidP="00850E0E">
      <w:pPr>
        <w:pStyle w:val="NormalHanging12a"/>
      </w:pPr>
      <w:r>
        <w:t>36</w:t>
      </w:r>
      <w:r w:rsidR="00850E0E" w:rsidRPr="00B63539">
        <w:t>.</w:t>
      </w:r>
      <w:r w:rsidR="00850E0E" w:rsidRPr="00B63539">
        <w:tab/>
        <w:t>mener, at EU skal øge sine bestræbelser på at oprette en ny mekanisme med medlemsstaterne og de nationale standardiseringsorganer med henblik på at udveksle oplysninger samt koordinere og styrke den europæiske tilgang til internationale standardiseringsaktiviteter; opfordrer til en hurtig indsats for at ajourføre EU's standardiseringsramme med henblik på at fremskynde standardiseringsprocessen og sikre hurtig offentliggørelse af harmoniserede standarder, der giver formodning om overensstemmelse og er i overensstemmelse med internationale standarder til støtte for den globale handel, samtidig med at der tilskyndes til større deltagelse fra industriens side, navnlig fra SMV'ers side;</w:t>
      </w:r>
    </w:p>
    <w:p w:rsidR="00850E0E" w:rsidRPr="00B63539" w:rsidRDefault="00A1255F" w:rsidP="00850E0E">
      <w:pPr>
        <w:pStyle w:val="NormalHanging12a"/>
        <w:rPr>
          <w:szCs w:val="24"/>
        </w:rPr>
      </w:pPr>
      <w:r>
        <w:t>37</w:t>
      </w:r>
      <w:r w:rsidR="00850E0E" w:rsidRPr="00B63539">
        <w:t>.</w:t>
      </w:r>
      <w:r w:rsidR="00850E0E" w:rsidRPr="00B63539">
        <w:tab/>
        <w:t>understreger, at det er nødvendigt at styrke det indre markeds eksterne dimension for at sikre EU's strategiske autonomi og globale indflydelse, og glæder sig over EU-kandidatlandenes gradvise integration i det indre marked med henblik på deres fremtidige EU-medlemskab; understreger, at EU's høje reguleringsmæssige standarder kan tjene som et globalt benchmark og skal håndhæves effektivt for at sikre lige vilkår for europæiske virksomheder; opfordrer Kommissionen til at intensivere de reguleringsmæssige dialoger og det politiske samarbejde med andre relevante lande uden for EU med henblik på at indkredse fælles udfordringer og forsøge at opbygge fælles tiltag, især vedrørende e-handel, digitale regler og forbrugere;</w:t>
      </w:r>
    </w:p>
    <w:p w:rsidR="00850E0E" w:rsidRPr="00B63539" w:rsidRDefault="00A1255F" w:rsidP="00850E0E">
      <w:pPr>
        <w:pStyle w:val="NormalHanging12a"/>
        <w:rPr>
          <w:szCs w:val="24"/>
        </w:rPr>
      </w:pPr>
      <w:r>
        <w:t>38</w:t>
      </w:r>
      <w:r w:rsidR="00850E0E" w:rsidRPr="00B63539">
        <w:t>.</w:t>
      </w:r>
      <w:r w:rsidR="00850E0E" w:rsidRPr="00B63539">
        <w:tab/>
        <w:t>slår endnu engang til lyd for et innovativt, komplementært og fleksibelt samspil mellem det igangværende arbejde med gennemførelsen af den gældende associeringsaftale mellem EU og Ukraine og forhandlingsprocessen om EU-tiltrædelse, således at Ukraine gradvist kan integreres i EU's indre marked og sektorprogrammer;</w:t>
      </w:r>
    </w:p>
    <w:p w:rsidR="00850E0E" w:rsidRPr="00B63539" w:rsidRDefault="00850E0E" w:rsidP="00850E0E">
      <w:pPr>
        <w:pStyle w:val="NormalHanging12a"/>
        <w:rPr>
          <w:b/>
          <w:i/>
          <w:iCs/>
        </w:rPr>
      </w:pPr>
      <w:r w:rsidRPr="00B63539">
        <w:rPr>
          <w:b/>
          <w:i/>
        </w:rPr>
        <w:t>Konklusioner</w:t>
      </w:r>
    </w:p>
    <w:p w:rsidR="00850E0E" w:rsidRPr="00B63539" w:rsidRDefault="00A1255F" w:rsidP="00850E0E">
      <w:pPr>
        <w:pStyle w:val="NormalHanging12a"/>
      </w:pPr>
      <w:r>
        <w:t>39</w:t>
      </w:r>
      <w:r w:rsidR="00850E0E" w:rsidRPr="00B63539">
        <w:t>.</w:t>
      </w:r>
      <w:r w:rsidR="00850E0E" w:rsidRPr="00B63539">
        <w:tab/>
        <w:t>erkender, at geopolitiske spændinger, klimaændringer, udfordringer for EU's konkurrenceevne og økonomiske forskelle udgør en betydelig risiko for det indre markeds integritet; opfordrer til en solid, koordineret og strategisk politisk reaktion for at styrke det indre marked;</w:t>
      </w:r>
    </w:p>
    <w:p w:rsidR="00850E0E" w:rsidRPr="00B63539" w:rsidRDefault="00A1255F" w:rsidP="00850E0E">
      <w:pPr>
        <w:pStyle w:val="NormalHanging12a"/>
      </w:pPr>
      <w:r>
        <w:t>40</w:t>
      </w:r>
      <w:r w:rsidR="00850E0E" w:rsidRPr="00B63539">
        <w:t>.</w:t>
      </w:r>
      <w:r w:rsidR="00850E0E" w:rsidRPr="00B63539">
        <w:tab/>
        <w:t>opfordrer til den fortsatte udvikling af det indre marked for at imødegå både de resterende uberettigede hindringer og nye kommercielle udfordringer; er af den opfattelse, at det er afgørende at afhjælpe lovgivningsmæssig fragmentering, fremme forenkling, væsentligt at mindske de administrative byrder, styrke håndhævelsen og sikre modstandsdygtige forsyningskæder for at kunne bevare EU's konkurrencefordel og retfærdige markedsvilkår og styrke det indre marked; understreger vigtigheden af at høre alle relevante interessenter i disse processer;</w:t>
      </w:r>
    </w:p>
    <w:p w:rsidR="00850E0E" w:rsidRPr="00B63539" w:rsidRDefault="00A1255F" w:rsidP="00850E0E">
      <w:pPr>
        <w:pStyle w:val="NormalHanging12a"/>
      </w:pPr>
      <w:r>
        <w:t>41</w:t>
      </w:r>
      <w:r w:rsidR="00850E0E" w:rsidRPr="00B63539">
        <w:t>.</w:t>
      </w:r>
      <w:r w:rsidR="00850E0E" w:rsidRPr="00B63539">
        <w:tab/>
        <w:t>understreger, at digital omstilling, den cirkulære økonomi og evnen til at kunne tilpasse sig globale økonomiske forandringer er væsentlige for at sikre EU's langsigtede økonomiske dynamik;</w:t>
      </w:r>
    </w:p>
    <w:p w:rsidR="00850E0E" w:rsidRPr="00B63539" w:rsidRDefault="00A1255F" w:rsidP="00850E0E">
      <w:pPr>
        <w:pStyle w:val="NormalHanging12a"/>
      </w:pPr>
      <w:r>
        <w:t>42</w:t>
      </w:r>
      <w:r w:rsidR="00850E0E" w:rsidRPr="00B63539">
        <w:t>.</w:t>
      </w:r>
      <w:r w:rsidR="00850E0E" w:rsidRPr="00B63539">
        <w:tab/>
        <w:t>gentager, at en styrkelse af det indre markeds interne og eksterne dimensioner er afgørende for at bevare EU's strategiske autonomi og konkurrenceevne;</w:t>
      </w:r>
    </w:p>
    <w:p w:rsidR="00850E0E" w:rsidRPr="00B63539" w:rsidRDefault="00A1255F" w:rsidP="00850E0E">
      <w:pPr>
        <w:pStyle w:val="NormalHanging12a"/>
      </w:pPr>
      <w:r>
        <w:t>43</w:t>
      </w:r>
      <w:r w:rsidR="00850E0E" w:rsidRPr="00B63539">
        <w:t>.</w:t>
      </w:r>
      <w:r w:rsidR="00850E0E" w:rsidRPr="00B63539">
        <w:tab/>
        <w:t xml:space="preserve">opfordrer derfor indtrængende Kommissionen til at afspejle ovenstående i den kommende nye strategi for det indre marked, der efter planen vil blive offentliggjort i juni 2025, i forbrugerdagsordenen 2030, der efter planen vil blive offentliggjort i </w:t>
      </w:r>
      <w:r w:rsidR="00850E0E" w:rsidRPr="00B63539">
        <w:lastRenderedPageBreak/>
        <w:t>udgangen af 2025, og i retsakten om digital retfærdighed, der efter planen vil blive offentliggjort i 2026;</w:t>
      </w:r>
    </w:p>
    <w:p w:rsidR="00850E0E" w:rsidRPr="00B63539" w:rsidRDefault="00850E0E" w:rsidP="00850E0E">
      <w:pPr>
        <w:pStyle w:val="NormalHanging12a"/>
        <w:jc w:val="center"/>
      </w:pPr>
      <w:r w:rsidRPr="00B63539">
        <w:t>°</w:t>
      </w:r>
    </w:p>
    <w:p w:rsidR="00850E0E" w:rsidRPr="00B63539" w:rsidRDefault="00850E0E" w:rsidP="00850E0E">
      <w:pPr>
        <w:pStyle w:val="NormalHanging12a"/>
        <w:jc w:val="center"/>
      </w:pPr>
      <w:r w:rsidRPr="00B63539">
        <w:t>°</w:t>
      </w:r>
      <w:r w:rsidRPr="00B63539">
        <w:tab/>
        <w:t>°</w:t>
      </w:r>
    </w:p>
    <w:p w:rsidR="00E365E1" w:rsidRPr="00B63539" w:rsidRDefault="00A1255F" w:rsidP="00C07B2E">
      <w:pPr>
        <w:ind w:left="567" w:hanging="567"/>
      </w:pPr>
      <w:r>
        <w:t>44</w:t>
      </w:r>
      <w:r w:rsidR="00850E0E" w:rsidRPr="00B63539">
        <w:t>.</w:t>
      </w:r>
      <w:r w:rsidR="00850E0E" w:rsidRPr="00B63539">
        <w:tab/>
        <w:t xml:space="preserve">pålægger sin formand at sende denne beslutning til Rådet </w:t>
      </w:r>
      <w:r w:rsidR="00B63539" w:rsidRPr="00B63539">
        <w:t>og Kommissionen.</w:t>
      </w:r>
    </w:p>
    <w:sectPr w:rsidR="00E365E1" w:rsidRPr="00B63539" w:rsidSect="00B6353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895" w:rsidRPr="00B63539" w:rsidRDefault="004E6895">
      <w:r w:rsidRPr="00B63539">
        <w:separator/>
      </w:r>
    </w:p>
  </w:endnote>
  <w:endnote w:type="continuationSeparator" w:id="0">
    <w:p w:rsidR="004E6895" w:rsidRPr="00B63539" w:rsidRDefault="004E6895">
      <w:r w:rsidRPr="00B635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895" w:rsidRPr="00B63539" w:rsidRDefault="004E6895">
      <w:r w:rsidRPr="00B63539">
        <w:separator/>
      </w:r>
    </w:p>
  </w:footnote>
  <w:footnote w:type="continuationSeparator" w:id="0">
    <w:p w:rsidR="004E6895" w:rsidRPr="00B63539" w:rsidRDefault="004E6895">
      <w:r w:rsidRPr="00B63539">
        <w:continuationSeparator/>
      </w:r>
    </w:p>
  </w:footnote>
  <w:footnote w:id="1">
    <w:p w:rsidR="00850E0E" w:rsidRPr="00B63539" w:rsidRDefault="00850E0E" w:rsidP="00B63539">
      <w:pPr>
        <w:pStyle w:val="FootnoteText"/>
        <w:ind w:left="567" w:hanging="567"/>
        <w:rPr>
          <w:sz w:val="24"/>
          <w:lang w:val="da-DK"/>
        </w:rPr>
      </w:pPr>
      <w:r w:rsidRPr="00B63539">
        <w:rPr>
          <w:rStyle w:val="FootnoteReference"/>
          <w:sz w:val="24"/>
          <w:lang w:val="da-DK"/>
        </w:rPr>
        <w:footnoteRef/>
      </w:r>
      <w:r w:rsidR="00B63539" w:rsidRPr="00B63539">
        <w:rPr>
          <w:rStyle w:val="Emphasis"/>
          <w:sz w:val="24"/>
          <w:shd w:val="clear" w:color="auto" w:fill="FFFFFF"/>
          <w:lang w:val="da-DK"/>
        </w:rPr>
        <w:t xml:space="preserve"> </w:t>
      </w:r>
      <w:r w:rsidR="00B63539" w:rsidRPr="00B63539">
        <w:rPr>
          <w:rStyle w:val="Emphasis"/>
          <w:sz w:val="24"/>
          <w:shd w:val="clear" w:color="auto" w:fill="FFFFFF"/>
          <w:lang w:val="da-DK"/>
        </w:rPr>
        <w:tab/>
      </w:r>
      <w:r w:rsidRPr="00D01281">
        <w:rPr>
          <w:rStyle w:val="Emphasis"/>
          <w:i w:val="0"/>
          <w:sz w:val="24"/>
          <w:shd w:val="clear" w:color="auto" w:fill="FFFFFF"/>
          <w:lang w:val="da-DK"/>
        </w:rPr>
        <w:t>EUT C 214 af 16.6.2023, s. 8.</w:t>
      </w:r>
    </w:p>
  </w:footnote>
  <w:footnote w:id="2">
    <w:p w:rsidR="00850E0E" w:rsidRPr="00B63539" w:rsidRDefault="00850E0E" w:rsidP="00B63539">
      <w:pPr>
        <w:pStyle w:val="FootnoteText"/>
        <w:ind w:left="567" w:hanging="567"/>
        <w:rPr>
          <w:sz w:val="24"/>
          <w:lang w:val="da-DK"/>
        </w:rPr>
      </w:pPr>
      <w:r w:rsidRPr="00B63539">
        <w:rPr>
          <w:rStyle w:val="FootnoteReference"/>
          <w:sz w:val="24"/>
          <w:lang w:val="da-DK"/>
        </w:rPr>
        <w:footnoteRef/>
      </w:r>
      <w:r w:rsidR="00B63539" w:rsidRPr="00B63539">
        <w:rPr>
          <w:sz w:val="24"/>
          <w:shd w:val="clear" w:color="auto" w:fill="FFFFFF"/>
          <w:lang w:val="da-DK"/>
        </w:rPr>
        <w:t xml:space="preserve"> </w:t>
      </w:r>
      <w:r w:rsidR="00B63539" w:rsidRPr="00B63539">
        <w:rPr>
          <w:sz w:val="24"/>
          <w:shd w:val="clear" w:color="auto" w:fill="FFFFFF"/>
          <w:lang w:val="da-DK"/>
        </w:rPr>
        <w:tab/>
      </w:r>
      <w:r w:rsidRPr="00B63539">
        <w:rPr>
          <w:sz w:val="24"/>
          <w:shd w:val="clear" w:color="auto" w:fill="FFFFFF"/>
          <w:lang w:val="da-DK"/>
        </w:rPr>
        <w:t xml:space="preserve">Europa-Parlamentets og Rådets forordning (EU) 2024/2747 om fastlæggelse af en ramme for foranstaltninger vedrørende en nødsituation for det indre marked og det indre markeds modstandsdygtighed og om ændring af Rådets forordning (EF) nr. 2679/98 </w:t>
      </w:r>
      <w:r w:rsidR="000F45B9">
        <w:rPr>
          <w:sz w:val="24"/>
          <w:shd w:val="clear" w:color="auto" w:fill="FFFFFF"/>
          <w:lang w:val="da-DK"/>
        </w:rPr>
        <w:t>(</w:t>
      </w:r>
      <w:r w:rsidRPr="00D01281">
        <w:rPr>
          <w:rStyle w:val="Emphasis"/>
          <w:i w:val="0"/>
          <w:sz w:val="24"/>
          <w:shd w:val="clear" w:color="auto" w:fill="FFFFFF"/>
          <w:lang w:val="da-DK"/>
        </w:rPr>
        <w:t>EUT L, 2024/2747, 8.11.2024</w:t>
      </w:r>
      <w:r w:rsidRPr="00D01281">
        <w:rPr>
          <w:i/>
          <w:sz w:val="24"/>
          <w:shd w:val="clear" w:color="auto" w:fill="FFFFFF"/>
          <w:lang w:val="da-DK"/>
        </w:rPr>
        <w:t>,</w:t>
      </w:r>
      <w:r w:rsidRPr="00B63539">
        <w:rPr>
          <w:rStyle w:val="Emphasis"/>
          <w:sz w:val="24"/>
          <w:shd w:val="clear" w:color="auto" w:fill="FFFFFF"/>
          <w:lang w:val="da-DK"/>
        </w:rPr>
        <w:t> </w:t>
      </w:r>
      <w:hyperlink r:id="rId1" w:tgtFrame="_blank" w:tooltip="Giver adgang til dokumentet via dets ELI-URI." w:history="1">
        <w:r w:rsidRPr="00B63539">
          <w:rPr>
            <w:rStyle w:val="Hyperlink"/>
            <w:sz w:val="24"/>
            <w:lang w:val="da-DK"/>
          </w:rPr>
          <w:t>http://data.europa.eu/eli/reg/2024/2747/oj</w:t>
        </w:r>
      </w:hyperlink>
      <w:r w:rsidR="000F45B9">
        <w:rPr>
          <w:rStyle w:val="Hyperlink"/>
          <w:sz w:val="24"/>
          <w:lang w:val="da-DK"/>
        </w:rPr>
        <w:t>)</w:t>
      </w:r>
      <w:r w:rsidRPr="00B63539">
        <w:rPr>
          <w:rStyle w:val="Emphasis"/>
          <w:sz w:val="24"/>
          <w:shd w:val="clear" w:color="auto" w:fill="FFFFFF"/>
          <w:lang w:val="da-DK"/>
        </w:rPr>
        <w:t>.</w:t>
      </w:r>
    </w:p>
  </w:footnote>
  <w:footnote w:id="3">
    <w:p w:rsidR="00850E0E" w:rsidRPr="00B63539" w:rsidRDefault="00850E0E" w:rsidP="00B63539">
      <w:pPr>
        <w:pStyle w:val="FootnoteText"/>
        <w:ind w:left="567" w:hanging="567"/>
        <w:rPr>
          <w:sz w:val="24"/>
          <w:lang w:val="da-DK"/>
        </w:rPr>
      </w:pPr>
      <w:r w:rsidRPr="00B63539">
        <w:rPr>
          <w:rStyle w:val="FootnoteReference"/>
          <w:sz w:val="24"/>
          <w:lang w:val="da-DK"/>
        </w:rPr>
        <w:footnoteRef/>
      </w:r>
      <w:r w:rsidR="00B63539" w:rsidRPr="00B63539">
        <w:rPr>
          <w:sz w:val="24"/>
          <w:shd w:val="clear" w:color="auto" w:fill="FFFFFF"/>
          <w:lang w:val="da-DK"/>
        </w:rPr>
        <w:t xml:space="preserve"> </w:t>
      </w:r>
      <w:r w:rsidR="00B63539" w:rsidRPr="00B63539">
        <w:rPr>
          <w:sz w:val="24"/>
          <w:shd w:val="clear" w:color="auto" w:fill="FFFFFF"/>
          <w:lang w:val="da-DK"/>
        </w:rPr>
        <w:tab/>
      </w:r>
      <w:r w:rsidRPr="00B63539">
        <w:rPr>
          <w:sz w:val="24"/>
          <w:shd w:val="clear" w:color="auto" w:fill="FFFFFF"/>
          <w:lang w:val="da-DK"/>
        </w:rPr>
        <w:t>Europa-Parlamentets og Rådets forordning (EU) 2018/302 af 28. februar 2018 om imødegåelse af uberettiget geoblokering og andre former for forskelsbehandling på grundlag af kundernes nationalitet, bopæl eller hjemsted i det indre marked og om ændring af forordning (EF) nr. 2006/2004 og (EU) 2017/2394 og af direktiv 2009/22/EF</w:t>
      </w:r>
      <w:r w:rsidR="00A35BC6">
        <w:rPr>
          <w:sz w:val="24"/>
          <w:shd w:val="clear" w:color="auto" w:fill="FFFFFF"/>
          <w:lang w:val="da-DK"/>
        </w:rPr>
        <w:t xml:space="preserve"> </w:t>
      </w:r>
      <w:bookmarkStart w:id="6" w:name="_GoBack"/>
      <w:bookmarkEnd w:id="6"/>
      <w:r w:rsidRPr="00B63539">
        <w:rPr>
          <w:sz w:val="24"/>
          <w:shd w:val="clear" w:color="auto" w:fill="FFFFFF"/>
          <w:lang w:val="da-DK"/>
        </w:rPr>
        <w:t xml:space="preserve"> (EUT L 60I af 2.3.2018, s. 1, ELI: </w:t>
      </w:r>
      <w:hyperlink r:id="rId2" w:tooltip="Giver adgang til dokumentet via dets ELI-URI." w:history="1">
        <w:r w:rsidRPr="00B63539">
          <w:rPr>
            <w:rStyle w:val="Hyperlink"/>
            <w:sz w:val="24"/>
            <w:shd w:val="clear" w:color="auto" w:fill="FFFFFF"/>
            <w:lang w:val="da-DK"/>
          </w:rPr>
          <w:t>http://data.europa.eu/eli/reg/2018/302/oj</w:t>
        </w:r>
      </w:hyperlink>
      <w:r w:rsidRPr="00B63539">
        <w:rPr>
          <w:sz w:val="24"/>
          <w:lang w:val="da-DK"/>
        </w:rPr>
        <w:t>).</w:t>
      </w:r>
    </w:p>
  </w:footnote>
  <w:footnote w:id="4">
    <w:p w:rsidR="00850E0E" w:rsidRPr="00B63539" w:rsidRDefault="00850E0E" w:rsidP="00B63539">
      <w:pPr>
        <w:pStyle w:val="FootnoteText"/>
        <w:ind w:left="567" w:hanging="567"/>
        <w:rPr>
          <w:sz w:val="24"/>
          <w:lang w:val="da-DK"/>
        </w:rPr>
      </w:pPr>
      <w:r w:rsidRPr="00B63539">
        <w:rPr>
          <w:rStyle w:val="FootnoteReference"/>
          <w:sz w:val="24"/>
          <w:lang w:val="da-DK"/>
        </w:rPr>
        <w:footnoteRef/>
      </w:r>
      <w:r w:rsidR="00B63539" w:rsidRPr="00B63539">
        <w:rPr>
          <w:sz w:val="24"/>
          <w:shd w:val="clear" w:color="auto" w:fill="FFFFFF"/>
          <w:lang w:val="da-DK"/>
        </w:rPr>
        <w:t xml:space="preserve"> </w:t>
      </w:r>
      <w:r w:rsidR="00B63539" w:rsidRPr="00B63539">
        <w:rPr>
          <w:sz w:val="24"/>
          <w:shd w:val="clear" w:color="auto" w:fill="FFFFFF"/>
          <w:lang w:val="da-DK"/>
        </w:rPr>
        <w:tab/>
      </w:r>
      <w:r w:rsidRPr="00B63539">
        <w:rPr>
          <w:sz w:val="24"/>
          <w:shd w:val="clear" w:color="auto" w:fill="FFFFFF"/>
          <w:lang w:val="da-DK"/>
        </w:rPr>
        <w:t>Europa-Parlamentets og Rådets direktiv (EU) 2019/882 af 17. april 2019 om tilgængelighedskrav for produkter og tjenester (EUT L 151 af 7.6.2019, s. 70, ELI: </w:t>
      </w:r>
      <w:hyperlink r:id="rId3" w:tooltip="Giver adgang til dokumentet via dets ELI-URI." w:history="1">
        <w:r w:rsidRPr="00B63539">
          <w:rPr>
            <w:rStyle w:val="Hyperlink"/>
            <w:sz w:val="24"/>
            <w:shd w:val="clear" w:color="auto" w:fill="FFFFFF"/>
            <w:lang w:val="da-DK"/>
          </w:rPr>
          <w:t>http://data.europa.eu/eli/dir/2019/882/oj</w:t>
        </w:r>
      </w:hyperlink>
      <w:r w:rsidRPr="00B63539">
        <w:rPr>
          <w:sz w:val="24"/>
          <w:lang w:val="da-DK"/>
        </w:rPr>
        <w:t>).</w:t>
      </w:r>
    </w:p>
  </w:footnote>
  <w:footnote w:id="5">
    <w:p w:rsidR="00850E0E" w:rsidRPr="00B63539" w:rsidRDefault="00850E0E" w:rsidP="00B63539">
      <w:pPr>
        <w:pStyle w:val="FootnoteText"/>
        <w:ind w:left="567" w:hanging="567"/>
        <w:rPr>
          <w:sz w:val="24"/>
          <w:lang w:val="da-DK"/>
        </w:rPr>
      </w:pPr>
      <w:r w:rsidRPr="00B63539">
        <w:rPr>
          <w:rStyle w:val="FootnoteReference"/>
          <w:sz w:val="24"/>
          <w:lang w:val="da-DK"/>
        </w:rPr>
        <w:footnoteRef/>
      </w:r>
      <w:r w:rsidR="00B63539" w:rsidRPr="00B63539">
        <w:rPr>
          <w:sz w:val="24"/>
          <w:shd w:val="clear" w:color="auto" w:fill="FFFFFF"/>
          <w:lang w:val="da-DK"/>
        </w:rPr>
        <w:t xml:space="preserve"> </w:t>
      </w:r>
      <w:r w:rsidR="00B63539" w:rsidRPr="00B63539">
        <w:rPr>
          <w:sz w:val="24"/>
          <w:shd w:val="clear" w:color="auto" w:fill="FFFFFF"/>
          <w:lang w:val="da-DK"/>
        </w:rPr>
        <w:tab/>
      </w:r>
      <w:r w:rsidRPr="00B63539">
        <w:rPr>
          <w:sz w:val="24"/>
          <w:shd w:val="clear" w:color="auto" w:fill="FFFFFF"/>
          <w:lang w:val="da-DK"/>
        </w:rPr>
        <w:t>Europa-Parlamentets og Rådets forordning (EU) 2022/1925 af 14. september 2022 om åbne og fair markeder i den digitale sektor og om ændring af direktiv (EU) 2019/1937 og (EU) 2020/1828 (EUT L 265 af 12.10.2022, s. 1, ELI: </w:t>
      </w:r>
      <w:hyperlink r:id="rId4" w:tooltip="Giver adgang til dokumentet via dets ELI-URI." w:history="1">
        <w:r w:rsidRPr="00B63539">
          <w:rPr>
            <w:rStyle w:val="Hyperlink"/>
            <w:sz w:val="24"/>
            <w:shd w:val="clear" w:color="auto" w:fill="FFFFFF"/>
            <w:lang w:val="da-DK"/>
          </w:rPr>
          <w:t>http://data.europa.eu/eli/reg/2022/1925/oj</w:t>
        </w:r>
      </w:hyperlink>
      <w:r w:rsidRPr="00B63539">
        <w:rPr>
          <w:sz w:val="24"/>
          <w:lang w:val="da-DK"/>
        </w:rPr>
        <w:t>).</w:t>
      </w:r>
    </w:p>
  </w:footnote>
  <w:footnote w:id="6">
    <w:p w:rsidR="00850E0E" w:rsidRPr="00B63539" w:rsidRDefault="00850E0E" w:rsidP="00B63539">
      <w:pPr>
        <w:pStyle w:val="FootnoteText"/>
        <w:ind w:left="567" w:hanging="567"/>
        <w:rPr>
          <w:sz w:val="24"/>
          <w:lang w:val="da-DK"/>
        </w:rPr>
      </w:pPr>
      <w:r w:rsidRPr="00B63539">
        <w:rPr>
          <w:rStyle w:val="FootnoteReference"/>
          <w:sz w:val="24"/>
          <w:lang w:val="da-DK"/>
        </w:rPr>
        <w:footnoteRef/>
      </w:r>
      <w:r w:rsidR="00B63539" w:rsidRPr="00B63539">
        <w:rPr>
          <w:sz w:val="24"/>
          <w:shd w:val="clear" w:color="auto" w:fill="FFFFFF"/>
          <w:lang w:val="da-DK"/>
        </w:rPr>
        <w:t xml:space="preserve"> </w:t>
      </w:r>
      <w:r w:rsidR="00B63539" w:rsidRPr="00B63539">
        <w:rPr>
          <w:sz w:val="24"/>
          <w:shd w:val="clear" w:color="auto" w:fill="FFFFFF"/>
          <w:lang w:val="da-DK"/>
        </w:rPr>
        <w:tab/>
      </w:r>
      <w:r w:rsidRPr="00B63539">
        <w:rPr>
          <w:sz w:val="24"/>
          <w:shd w:val="clear" w:color="auto" w:fill="FFFFFF"/>
          <w:lang w:val="da-DK"/>
        </w:rPr>
        <w:t>Europa-Parlamentets og Rådets forordning (EU) 2022/2065 af 19. oktober 2022 om et indre marked for digitale tjenester og om ændring af direktiv 2000/31/EF (EUT L 277 af 27.10.2022, s. 1, ELI: </w:t>
      </w:r>
      <w:hyperlink r:id="rId5" w:tooltip="Giver adgang til dokumentet via dets ELI-URI." w:history="1">
        <w:r w:rsidRPr="00B63539">
          <w:rPr>
            <w:rStyle w:val="Hyperlink"/>
            <w:sz w:val="24"/>
            <w:shd w:val="clear" w:color="auto" w:fill="FFFFFF"/>
            <w:lang w:val="da-DK"/>
          </w:rPr>
          <w:t>http://data.europa.eu/eli/reg/2022/2065/oj</w:t>
        </w:r>
      </w:hyperlink>
      <w:r w:rsidRPr="00B63539">
        <w:rPr>
          <w:sz w:val="24"/>
          <w:lang w:val="da-DK"/>
        </w:rPr>
        <w:t>).</w:t>
      </w:r>
    </w:p>
  </w:footnote>
  <w:footnote w:id="7">
    <w:p w:rsidR="00850E0E" w:rsidRPr="00B63539" w:rsidRDefault="00850E0E" w:rsidP="00B63539">
      <w:pPr>
        <w:pStyle w:val="FootnoteText"/>
        <w:ind w:left="567" w:hanging="567"/>
        <w:rPr>
          <w:sz w:val="24"/>
          <w:lang w:val="da-DK"/>
        </w:rPr>
      </w:pPr>
      <w:r w:rsidRPr="00B63539">
        <w:rPr>
          <w:rStyle w:val="FootnoteReference"/>
          <w:sz w:val="24"/>
          <w:lang w:val="da-DK"/>
        </w:rPr>
        <w:footnoteRef/>
      </w:r>
      <w:r w:rsidR="00B63539" w:rsidRPr="00B63539">
        <w:rPr>
          <w:sz w:val="24"/>
          <w:shd w:val="clear" w:color="auto" w:fill="FFFFFF"/>
          <w:lang w:val="da-DK"/>
        </w:rPr>
        <w:t xml:space="preserve"> </w:t>
      </w:r>
      <w:r w:rsidR="00B63539" w:rsidRPr="00B63539">
        <w:rPr>
          <w:sz w:val="24"/>
          <w:shd w:val="clear" w:color="auto" w:fill="FFFFFF"/>
          <w:lang w:val="da-DK"/>
        </w:rPr>
        <w:tab/>
      </w:r>
      <w:r w:rsidRPr="00B63539">
        <w:rPr>
          <w:sz w:val="24"/>
          <w:shd w:val="clear" w:color="auto" w:fill="FFFFFF"/>
          <w:lang w:val="da-DK"/>
        </w:rPr>
        <w:t>Europa-Parlamentets og Rådets forordning (EU) 2024/1689 af 13. juni 2024 om harmoniserede regler for kunstig intelligens og om ændring af forordning (EF) nr. 300/2008, (EU) nr. 167/2013, (EU) nr. 168/2013, (EU) 2018/858, (EU) 2018/1139 og (EU) 2019/2144 samt direktiv 2014/90/EU, (EU) 2016/797 og (EU) 2020/1828 (EUT L, 2024/1689, 12.7.2024, ELI:</w:t>
      </w:r>
      <w:r w:rsidRPr="00B63539">
        <w:rPr>
          <w:rStyle w:val="Emphasis"/>
          <w:sz w:val="24"/>
          <w:shd w:val="clear" w:color="auto" w:fill="FFFFFF"/>
          <w:lang w:val="da-DK"/>
        </w:rPr>
        <w:t> </w:t>
      </w:r>
      <w:hyperlink r:id="rId6" w:tgtFrame="_blank" w:tooltip="Giver adgang til dokumentet via dets ELI-URI." w:history="1">
        <w:r w:rsidRPr="00B63539">
          <w:rPr>
            <w:rStyle w:val="Hyperlink"/>
            <w:sz w:val="24"/>
            <w:lang w:val="da-DK"/>
          </w:rPr>
          <w:t>http://data.europa.eu/eli/reg/2024/1689/oj</w:t>
        </w:r>
      </w:hyperlink>
      <w:r w:rsidRPr="00B63539">
        <w:rPr>
          <w:rStyle w:val="Emphasis"/>
          <w:sz w:val="24"/>
          <w:shd w:val="clear" w:color="auto" w:fill="FFFFFF"/>
          <w:lang w:val="da-DK"/>
        </w:rPr>
        <w:t>).</w:t>
      </w:r>
    </w:p>
  </w:footnote>
  <w:footnote w:id="8">
    <w:p w:rsidR="00850E0E" w:rsidRPr="00B63539" w:rsidRDefault="00850E0E" w:rsidP="00B63539">
      <w:pPr>
        <w:pStyle w:val="FootnoteText"/>
        <w:ind w:left="567" w:hanging="567"/>
        <w:rPr>
          <w:sz w:val="24"/>
          <w:lang w:val="da-DK"/>
        </w:rPr>
      </w:pPr>
      <w:r w:rsidRPr="00B63539">
        <w:rPr>
          <w:rStyle w:val="FootnoteReference"/>
          <w:sz w:val="24"/>
          <w:lang w:val="da-DK"/>
        </w:rPr>
        <w:footnoteRef/>
      </w:r>
      <w:r w:rsidR="00B63539" w:rsidRPr="00B63539">
        <w:rPr>
          <w:sz w:val="24"/>
          <w:shd w:val="clear" w:color="auto" w:fill="FFFFFF"/>
          <w:lang w:val="da-DK"/>
        </w:rPr>
        <w:t xml:space="preserve"> </w:t>
      </w:r>
      <w:r w:rsidR="00B63539" w:rsidRPr="00B63539">
        <w:rPr>
          <w:sz w:val="24"/>
          <w:shd w:val="clear" w:color="auto" w:fill="FFFFFF"/>
          <w:lang w:val="da-DK"/>
        </w:rPr>
        <w:tab/>
      </w:r>
      <w:r w:rsidRPr="00B63539">
        <w:rPr>
          <w:sz w:val="24"/>
          <w:shd w:val="clear" w:color="auto" w:fill="FFFFFF"/>
          <w:lang w:val="da-DK"/>
        </w:rPr>
        <w:t>Europa-Parlamentets og Rådets forordning (EU) 2017/2394 af 12. december 2017 om samarbejde mellem nationale myndigheder med ansvar for håndhævelse af lovgivning om forbrugerbeskyttelse og om ophævelse af forordning (EF) nr. 2006/2004 (EUT L 345 af 27.12.2017, s. 1, ELI: </w:t>
      </w:r>
      <w:hyperlink r:id="rId7" w:tooltip="Giver adgang til dokumentet via dets ELI-URI." w:history="1">
        <w:r w:rsidRPr="00B63539">
          <w:rPr>
            <w:rStyle w:val="Hyperlink"/>
            <w:sz w:val="24"/>
            <w:shd w:val="clear" w:color="auto" w:fill="FFFFFF"/>
            <w:lang w:val="da-DK"/>
          </w:rPr>
          <w:t>http://data.europa.eu/eli/reg/2017/2394/oj</w:t>
        </w:r>
      </w:hyperlink>
      <w:r w:rsidRPr="00B63539">
        <w:rPr>
          <w:sz w:val="24"/>
          <w:lang w:val="da-DK"/>
        </w:rPr>
        <w:t>).</w:t>
      </w:r>
    </w:p>
  </w:footnote>
  <w:footnote w:id="9">
    <w:p w:rsidR="00850E0E" w:rsidRPr="00B63539" w:rsidRDefault="00850E0E" w:rsidP="00B63539">
      <w:pPr>
        <w:pStyle w:val="FootnoteText"/>
        <w:ind w:left="567" w:hanging="567"/>
        <w:rPr>
          <w:sz w:val="24"/>
          <w:lang w:val="da-DK"/>
        </w:rPr>
      </w:pPr>
      <w:r w:rsidRPr="00B63539">
        <w:rPr>
          <w:rStyle w:val="FootnoteReference"/>
          <w:sz w:val="24"/>
          <w:lang w:val="da-DK"/>
        </w:rPr>
        <w:footnoteRef/>
      </w:r>
      <w:r w:rsidR="00B63539" w:rsidRPr="00B63539">
        <w:rPr>
          <w:sz w:val="24"/>
          <w:lang w:val="da-DK"/>
        </w:rPr>
        <w:t xml:space="preserve"> </w:t>
      </w:r>
      <w:r w:rsidR="00B63539" w:rsidRPr="00B63539">
        <w:rPr>
          <w:sz w:val="24"/>
          <w:lang w:val="da-DK"/>
        </w:rPr>
        <w:tab/>
      </w:r>
      <w:r w:rsidRPr="00B63539">
        <w:rPr>
          <w:sz w:val="24"/>
          <w:lang w:val="da-DK"/>
        </w:rPr>
        <w:t>Dom af 5. marts 2024, Public.Resource.Org Inc. mod Right to Know CLG, C‑588/21 P, EU:C:2024:201.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6/2025"/>
    <w:docVar w:name="dvlangue" w:val="DA"/>
    <w:docVar w:name="dvnumam" w:val="0"/>
    <w:docVar w:name="dvpe" w:val="772.165"/>
    <w:docVar w:name="dvtitre" w:val="Europa-Parlamentets beslutning af xx.xx 2025 om gamle udfordringer og ny handelspraksis i det indre marked(2025/2542(RSP))"/>
  </w:docVars>
  <w:rsids>
    <w:rsidRoot w:val="004E6895"/>
    <w:rsid w:val="00002272"/>
    <w:rsid w:val="00064002"/>
    <w:rsid w:val="000677B9"/>
    <w:rsid w:val="000831BA"/>
    <w:rsid w:val="000A42CC"/>
    <w:rsid w:val="000E7DD9"/>
    <w:rsid w:val="000F45B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6895"/>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0E0E"/>
    <w:rsid w:val="00865F67"/>
    <w:rsid w:val="00881A7B"/>
    <w:rsid w:val="008840E5"/>
    <w:rsid w:val="00887B3E"/>
    <w:rsid w:val="008C2AC6"/>
    <w:rsid w:val="00930C23"/>
    <w:rsid w:val="0093193B"/>
    <w:rsid w:val="009509D8"/>
    <w:rsid w:val="00950B64"/>
    <w:rsid w:val="00981893"/>
    <w:rsid w:val="00A1255F"/>
    <w:rsid w:val="00A1687D"/>
    <w:rsid w:val="00A35BC6"/>
    <w:rsid w:val="00A43E52"/>
    <w:rsid w:val="00A4678D"/>
    <w:rsid w:val="00A778C7"/>
    <w:rsid w:val="00AB441E"/>
    <w:rsid w:val="00AB6293"/>
    <w:rsid w:val="00AE0928"/>
    <w:rsid w:val="00AF3B82"/>
    <w:rsid w:val="00B12E95"/>
    <w:rsid w:val="00B22876"/>
    <w:rsid w:val="00B558F0"/>
    <w:rsid w:val="00B63539"/>
    <w:rsid w:val="00BD48FE"/>
    <w:rsid w:val="00BD7BD8"/>
    <w:rsid w:val="00BE1D35"/>
    <w:rsid w:val="00BE6ADC"/>
    <w:rsid w:val="00C05BFE"/>
    <w:rsid w:val="00C07B2E"/>
    <w:rsid w:val="00C23CD4"/>
    <w:rsid w:val="00C61C0C"/>
    <w:rsid w:val="00C941CB"/>
    <w:rsid w:val="00CC2357"/>
    <w:rsid w:val="00CF071A"/>
    <w:rsid w:val="00D01281"/>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249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740A5"/>
  <w15:chartTrackingRefBased/>
  <w15:docId w15:val="{3697DE67-9E12-4824-8232-2BD3DAD88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50E0E"/>
    <w:pPr>
      <w:spacing w:before="480" w:after="240"/>
    </w:pPr>
  </w:style>
  <w:style w:type="paragraph" w:customStyle="1" w:styleId="NormalHanging12a">
    <w:name w:val="NormalHanging12a"/>
    <w:basedOn w:val="Normal"/>
    <w:rsid w:val="00850E0E"/>
    <w:pPr>
      <w:spacing w:after="240"/>
      <w:ind w:left="567" w:hanging="567"/>
    </w:pPr>
  </w:style>
  <w:style w:type="character" w:styleId="Emphasis">
    <w:name w:val="Emphasis"/>
    <w:basedOn w:val="DefaultParagraphFont"/>
    <w:uiPriority w:val="20"/>
    <w:qFormat/>
    <w:rsid w:val="00850E0E"/>
    <w:rPr>
      <w:i/>
      <w:iCs/>
    </w:rPr>
  </w:style>
  <w:style w:type="character" w:styleId="Hyperlink">
    <w:name w:val="Hyperlink"/>
    <w:basedOn w:val="DefaultParagraphFont"/>
    <w:uiPriority w:val="99"/>
    <w:unhideWhenUsed/>
    <w:rsid w:val="00850E0E"/>
    <w:rPr>
      <w:color w:val="0000FF"/>
      <w:u w:val="single"/>
    </w:rPr>
  </w:style>
  <w:style w:type="paragraph" w:styleId="BalloonText">
    <w:name w:val="Balloon Text"/>
    <w:basedOn w:val="Normal"/>
    <w:link w:val="BalloonTextChar"/>
    <w:rsid w:val="00C07B2E"/>
    <w:rPr>
      <w:rFonts w:ascii="Segoe UI" w:hAnsi="Segoe UI" w:cs="Segoe UI"/>
      <w:sz w:val="18"/>
      <w:szCs w:val="18"/>
    </w:rPr>
  </w:style>
  <w:style w:type="character" w:customStyle="1" w:styleId="BalloonTextChar">
    <w:name w:val="Balloon Text Char"/>
    <w:basedOn w:val="DefaultParagraphFont"/>
    <w:link w:val="BalloonText"/>
    <w:rsid w:val="00C07B2E"/>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882/oj" TargetMode="External"/><Relationship Id="rId7" Type="http://schemas.openxmlformats.org/officeDocument/2006/relationships/hyperlink" Target="http://data.europa.eu/eli/reg/2017/2394/oj" TargetMode="External"/><Relationship Id="rId2" Type="http://schemas.openxmlformats.org/officeDocument/2006/relationships/hyperlink" Target="http://data.europa.eu/eli/reg/2018/302/oj" TargetMode="External"/><Relationship Id="rId1" Type="http://schemas.openxmlformats.org/officeDocument/2006/relationships/hyperlink" Target="http://data.europa.eu/eli/reg/2024/2747/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BDEDC-AB20-4879-8A31-9089CBC5D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3324</Words>
  <Characters>20278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JOHANNSEN Lena</cp:lastModifiedBy>
  <cp:revision>2</cp:revision>
  <cp:lastPrinted>2004-11-19T15:42:00Z</cp:lastPrinted>
  <dcterms:created xsi:type="dcterms:W3CDTF">2025-06-05T07:20:00Z</dcterms:created>
  <dcterms:modified xsi:type="dcterms:W3CDTF">2025-06-05T07:20:00Z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B10-0246/2025</vt:lpwstr>
  </property>
  <property fmtid="{D5CDD505-2E9C-101B-9397-08002B2CF9AE}" pid="4" name="&lt;Type&gt;">
    <vt:lpwstr>RR</vt:lpwstr>
  </property>
</Properties>
</file>