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3CFE" w14:paraId="4905782C" w14:textId="77777777" w:rsidTr="0010095E">
        <w:trPr>
          <w:trHeight w:hRule="exact" w:val="1418"/>
        </w:trPr>
        <w:tc>
          <w:tcPr>
            <w:tcW w:w="6804" w:type="dxa"/>
            <w:shd w:val="clear" w:color="auto" w:fill="auto"/>
            <w:vAlign w:val="center"/>
          </w:tcPr>
          <w:p w14:paraId="09D73548" w14:textId="77777777" w:rsidR="00751A4A" w:rsidRPr="00F03CFE" w:rsidRDefault="00A10CA9" w:rsidP="0010095E">
            <w:pPr>
              <w:pStyle w:val="EPName"/>
            </w:pPr>
            <w:r w:rsidRPr="00F03CFE">
              <w:t>Ευρωπαϊκό Κοινοβούλιο</w:t>
            </w:r>
          </w:p>
          <w:p w14:paraId="2023B4F8" w14:textId="77777777" w:rsidR="00751A4A" w:rsidRPr="00F03CFE" w:rsidRDefault="005F1B17" w:rsidP="005F1B17">
            <w:pPr>
              <w:pStyle w:val="EPTerm"/>
              <w:rPr>
                <w:rStyle w:val="HideTWBExt"/>
                <w:noProof w:val="0"/>
                <w:vanish w:val="0"/>
                <w:color w:val="auto"/>
              </w:rPr>
            </w:pPr>
            <w:r w:rsidRPr="00F03CFE">
              <w:t>2024</w:t>
            </w:r>
            <w:r w:rsidR="00817416" w:rsidRPr="00F03CFE">
              <w:t>-202</w:t>
            </w:r>
            <w:r w:rsidRPr="00F03CFE">
              <w:t>9</w:t>
            </w:r>
          </w:p>
        </w:tc>
        <w:tc>
          <w:tcPr>
            <w:tcW w:w="2268" w:type="dxa"/>
            <w:shd w:val="clear" w:color="auto" w:fill="auto"/>
          </w:tcPr>
          <w:p w14:paraId="14E24F36" w14:textId="77777777" w:rsidR="00751A4A" w:rsidRPr="00F03CFE" w:rsidRDefault="00187494" w:rsidP="0010095E">
            <w:pPr>
              <w:pStyle w:val="EPLogo"/>
            </w:pPr>
            <w:r w:rsidRPr="00F03CFE">
              <w:rPr>
                <w:noProof/>
                <w:lang w:val="en-GB"/>
              </w:rPr>
              <w:drawing>
                <wp:inline distT="0" distB="0" distL="0" distR="0" wp14:anchorId="54DC3800" wp14:editId="1F5D49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E01A9B" w14:textId="77777777" w:rsidR="00D058B8" w:rsidRPr="00F03CFE" w:rsidRDefault="00D058B8" w:rsidP="004C5D52">
      <w:pPr>
        <w:pStyle w:val="LineTop"/>
      </w:pPr>
    </w:p>
    <w:p w14:paraId="3D69985B" w14:textId="77777777" w:rsidR="00680577" w:rsidRPr="00F03CFE" w:rsidRDefault="00A10CA9" w:rsidP="00680577">
      <w:pPr>
        <w:pStyle w:val="EPBodyTA1"/>
      </w:pPr>
      <w:r w:rsidRPr="00F03CFE">
        <w:t>ΚΕΙΜΕΝΑ ΠΟΥ ΕΓΚΡΙΘΗΚΑΝ</w:t>
      </w:r>
    </w:p>
    <w:p w14:paraId="1706B234" w14:textId="77777777" w:rsidR="00D058B8" w:rsidRPr="00F03CFE" w:rsidRDefault="00D058B8" w:rsidP="00D058B8">
      <w:pPr>
        <w:pStyle w:val="LineBottom"/>
      </w:pPr>
    </w:p>
    <w:p w14:paraId="76EF31E1" w14:textId="77777777" w:rsidR="00A10CA9" w:rsidRPr="00F03CFE" w:rsidRDefault="00A10CA9" w:rsidP="00A10CA9">
      <w:pPr>
        <w:pStyle w:val="ATHeading1"/>
      </w:pPr>
      <w:bookmarkStart w:id="0" w:name="TANumber"/>
      <w:r w:rsidRPr="00F03CFE">
        <w:t>P10_TA(2025)0</w:t>
      </w:r>
      <w:r w:rsidR="00DB2898" w:rsidRPr="00F03CFE">
        <w:t>107</w:t>
      </w:r>
      <w:bookmarkEnd w:id="0"/>
    </w:p>
    <w:p w14:paraId="51597F65" w14:textId="77777777" w:rsidR="00A10CA9" w:rsidRPr="00F03CFE" w:rsidRDefault="00A10CA9" w:rsidP="00A10CA9">
      <w:pPr>
        <w:pStyle w:val="ATHeading2"/>
      </w:pPr>
      <w:bookmarkStart w:id="1" w:name="title"/>
      <w:r w:rsidRPr="00F03CFE">
        <w:t>Παλιές προκλήσεις και νέες εμπορικές πρακτικές στην εσωτερική αγορά</w:t>
      </w:r>
      <w:bookmarkEnd w:id="1"/>
    </w:p>
    <w:p w14:paraId="71792CDD" w14:textId="77777777" w:rsidR="00A10CA9" w:rsidRPr="00F03CFE" w:rsidRDefault="00A10CA9" w:rsidP="00A10CA9">
      <w:pPr>
        <w:rPr>
          <w:i/>
          <w:vanish/>
        </w:rPr>
      </w:pPr>
      <w:r w:rsidRPr="00F03CFE">
        <w:rPr>
          <w:i/>
        </w:rPr>
        <w:fldChar w:fldCharType="begin"/>
      </w:r>
      <w:r w:rsidRPr="00F03CFE">
        <w:rPr>
          <w:i/>
        </w:rPr>
        <w:instrText xml:space="preserve"> TC"(</w:instrText>
      </w:r>
      <w:bookmarkStart w:id="2" w:name="DocNumber"/>
      <w:r w:rsidRPr="00F03CFE">
        <w:rPr>
          <w:i/>
        </w:rPr>
        <w:instrText>B10-0246/2025</w:instrText>
      </w:r>
      <w:bookmarkEnd w:id="2"/>
      <w:r w:rsidRPr="00F03CFE">
        <w:rPr>
          <w:i/>
        </w:rPr>
        <w:instrText xml:space="preserve">)"\l3 \n&gt; \* MERGEFORMAT </w:instrText>
      </w:r>
      <w:r w:rsidRPr="00F03CFE">
        <w:rPr>
          <w:i/>
        </w:rPr>
        <w:fldChar w:fldCharType="end"/>
      </w:r>
    </w:p>
    <w:p w14:paraId="50BB1F0F" w14:textId="77777777" w:rsidR="00A10CA9" w:rsidRPr="00F03CFE" w:rsidRDefault="00A10CA9" w:rsidP="00A10CA9">
      <w:pPr>
        <w:rPr>
          <w:vanish/>
        </w:rPr>
      </w:pPr>
      <w:bookmarkStart w:id="3" w:name="PE"/>
      <w:r w:rsidRPr="00F03CFE">
        <w:rPr>
          <w:vanish/>
        </w:rPr>
        <w:t>PE772.165</w:t>
      </w:r>
      <w:bookmarkEnd w:id="3"/>
    </w:p>
    <w:p w14:paraId="35A35732" w14:textId="77777777" w:rsidR="00A10CA9" w:rsidRPr="00F03CFE" w:rsidRDefault="00A10CA9" w:rsidP="00A10CA9">
      <w:pPr>
        <w:pStyle w:val="ATHeading3"/>
      </w:pPr>
      <w:bookmarkStart w:id="4" w:name="Sujet"/>
      <w:r w:rsidRPr="00F03CFE">
        <w:t xml:space="preserve">Ψήφισμα του Ευρωπαϊκού Κοινοβουλίου </w:t>
      </w:r>
      <w:r w:rsidR="00890081" w:rsidRPr="00F03CFE">
        <w:t xml:space="preserve">της 8ης Μαΐου 2025 </w:t>
      </w:r>
      <w:r w:rsidRPr="00F03CFE">
        <w:t>σχετικά με τις παλιές προκλήσεις και τις νέες εμπορικές πρακτικές στην εσωτερική αγορά</w:t>
      </w:r>
      <w:bookmarkEnd w:id="4"/>
      <w:r w:rsidRPr="00F03CFE">
        <w:t xml:space="preserve"> </w:t>
      </w:r>
      <w:bookmarkStart w:id="5" w:name="References"/>
      <w:r w:rsidRPr="00F03CFE">
        <w:t>(2025/2542(RSP))</w:t>
      </w:r>
      <w:bookmarkEnd w:id="5"/>
    </w:p>
    <w:p w14:paraId="5654DD59" w14:textId="77777777" w:rsidR="005D14C3" w:rsidRPr="00F03CFE" w:rsidRDefault="005D14C3" w:rsidP="005D14C3">
      <w:pPr>
        <w:pStyle w:val="EPComma"/>
      </w:pPr>
      <w:bookmarkStart w:id="6" w:name="TextBodyBegin"/>
      <w:bookmarkEnd w:id="6"/>
      <w:r w:rsidRPr="00F03CFE">
        <w:rPr>
          <w:i/>
        </w:rPr>
        <w:t>Το Ευρωπαϊκό Κοινοβούλιο</w:t>
      </w:r>
      <w:r w:rsidRPr="00F03CFE">
        <w:t>,</w:t>
      </w:r>
    </w:p>
    <w:p w14:paraId="10BC846A" w14:textId="77777777" w:rsidR="005D14C3" w:rsidRPr="00F03CFE" w:rsidRDefault="005D14C3" w:rsidP="005D14C3">
      <w:pPr>
        <w:pStyle w:val="NormalHanging12a"/>
      </w:pPr>
      <w:r w:rsidRPr="00F03CFE">
        <w:t>–</w:t>
      </w:r>
      <w:r w:rsidRPr="00F03CFE">
        <w:tab/>
        <w:t>έχοντας υπόψη το ψήφισμά του, της 18ης Ιανουαρίου 2023, σχετικά με την 30ή επέτειο της ενιαίας αγοράς: εορτασμός των επιτευγμάτων με το βλέμμα στις μελλοντικές εξελίξεις</w:t>
      </w:r>
      <w:r w:rsidRPr="00F03CFE">
        <w:rPr>
          <w:rStyle w:val="FootnoteReference"/>
        </w:rPr>
        <w:footnoteReference w:id="1"/>
      </w:r>
      <w:r w:rsidRPr="00F03CFE">
        <w:t>,</w:t>
      </w:r>
    </w:p>
    <w:p w14:paraId="2B308B42" w14:textId="77777777" w:rsidR="005D14C3" w:rsidRPr="00F03CFE" w:rsidRDefault="005D14C3" w:rsidP="005D14C3">
      <w:pPr>
        <w:pStyle w:val="NormalHanging12a"/>
      </w:pPr>
      <w:r w:rsidRPr="00F03CFE">
        <w:t>–</w:t>
      </w:r>
      <w:r w:rsidRPr="00F03CFE">
        <w:tab/>
        <w:t>έχοντας υπόψη την έκθεση του Enrico Letta, της 17ης Απριλίου 2024, με τίτλο «Much more than a market» («Πολύ περισσότερο από μια απλή αγορά») (η έκθεση Letta),</w:t>
      </w:r>
    </w:p>
    <w:p w14:paraId="005B3806" w14:textId="77777777" w:rsidR="005D14C3" w:rsidRPr="00F03CFE" w:rsidRDefault="005D14C3" w:rsidP="005D14C3">
      <w:pPr>
        <w:pStyle w:val="NormalHanging12a"/>
      </w:pPr>
      <w:r w:rsidRPr="00F03CFE">
        <w:t>–</w:t>
      </w:r>
      <w:r w:rsidRPr="00F03CFE">
        <w:tab/>
        <w:t>έχοντας υπόψη την έκθεση του Mario Draghi, της 9ης Σεπτεμβρίου 2024, με τίτλο «The future of European competitiveness» («Το μέλλον της ευρωπαϊκής ανταγωνιστικότητας») (η έκθεση Draghi),</w:t>
      </w:r>
    </w:p>
    <w:p w14:paraId="4680F7E0" w14:textId="77777777" w:rsidR="005D14C3" w:rsidRPr="00F03CFE" w:rsidRDefault="005D14C3" w:rsidP="005D14C3">
      <w:pPr>
        <w:pStyle w:val="NormalHanging12a"/>
      </w:pPr>
      <w:r w:rsidRPr="00F03CFE">
        <w:t>–</w:t>
      </w:r>
      <w:r w:rsidRPr="00F03CFE">
        <w:tab/>
        <w:t>έχοντας υπόψη την ανακοίνωση της Επιτροπής, της 29ης Ιανουαρίου 2025, με τίτλο «Ετήσια έκθεση για την ενιαία αγορά και την ανταγωνιστικότητα 2025» (COM(2025)0026),</w:t>
      </w:r>
    </w:p>
    <w:p w14:paraId="5CB220F8" w14:textId="77777777" w:rsidR="005D14C3" w:rsidRPr="00F03CFE" w:rsidRDefault="005D14C3" w:rsidP="005D14C3">
      <w:pPr>
        <w:pStyle w:val="NormalHanging12a"/>
      </w:pPr>
      <w:r w:rsidRPr="00F03CFE">
        <w:t>–</w:t>
      </w:r>
      <w:r w:rsidRPr="00F03CFE">
        <w:tab/>
        <w:t>έχοντας υπόψη την ανακοίνωση της Επιτροπής, της 29ης Ιανουαρίου 2025, με τίτλο «Πυξίδα ανταγωνιστικότητας για την ΕΕ» (COM(2025)0030),</w:t>
      </w:r>
    </w:p>
    <w:p w14:paraId="38A7B518" w14:textId="77777777" w:rsidR="005D14C3" w:rsidRPr="00F03CFE" w:rsidRDefault="005D14C3" w:rsidP="005D14C3">
      <w:pPr>
        <w:pStyle w:val="NormalHanging12a"/>
      </w:pPr>
      <w:r w:rsidRPr="00F03CFE">
        <w:t>–</w:t>
      </w:r>
      <w:r w:rsidRPr="00F03CFE">
        <w:tab/>
        <w:t>έχοντας υπόψη την ανακοίνωση της Επιτροπής, της 11ης Φεβρουαρίου 2025, με τίτλο «Μια απλούστερη και ταχύτερη Ευρώπη: Ανακοίνωση για την εφαρμογή και την απλούστευση» (COM(2025)0047),</w:t>
      </w:r>
    </w:p>
    <w:p w14:paraId="14DB1BE2" w14:textId="77777777" w:rsidR="005D14C3" w:rsidRPr="00F03CFE" w:rsidRDefault="005D14C3" w:rsidP="005D14C3">
      <w:pPr>
        <w:pStyle w:val="NormalHanging12a"/>
      </w:pPr>
      <w:r w:rsidRPr="00F03CFE">
        <w:t>–</w:t>
      </w:r>
      <w:r w:rsidRPr="00F03CFE">
        <w:tab/>
        <w:t xml:space="preserve">έχοντας υπόψη την ερώτηση προς την Επιτροπή σχετικά με τις παλιές προκλήσεις και τις νέες εμπορικές πρακτικές στην εσωτερική αγορά (O-000012/2025 </w:t>
      </w:r>
      <w:r w:rsidRPr="00B63F54">
        <w:t>— B10</w:t>
      </w:r>
      <w:r w:rsidR="00BA1877" w:rsidRPr="00B63F54">
        <w:t>-0</w:t>
      </w:r>
      <w:r w:rsidR="00413D40" w:rsidRPr="00B63F54">
        <w:t>264</w:t>
      </w:r>
      <w:r w:rsidRPr="00B63F54">
        <w:t>/2025),</w:t>
      </w:r>
    </w:p>
    <w:p w14:paraId="34C96F7D" w14:textId="77777777" w:rsidR="005D14C3" w:rsidRPr="00F03CFE" w:rsidRDefault="005D14C3" w:rsidP="005D14C3">
      <w:pPr>
        <w:pStyle w:val="NormalHanging12a"/>
      </w:pPr>
      <w:r w:rsidRPr="00F03CFE">
        <w:t>–</w:t>
      </w:r>
      <w:r w:rsidRPr="00F03CFE">
        <w:tab/>
        <w:t>έχοντας υπόψη το άρθρο 142 παράγραφος 5 και το άρθρο 136 παράγραφος 2 του Κανονισμού του,</w:t>
      </w:r>
    </w:p>
    <w:p w14:paraId="2EC6E5B4" w14:textId="77777777" w:rsidR="005D14C3" w:rsidRPr="00F03CFE" w:rsidRDefault="005D14C3" w:rsidP="005D14C3">
      <w:pPr>
        <w:pStyle w:val="NormalHanging12a"/>
      </w:pPr>
      <w:r w:rsidRPr="00F03CFE">
        <w:t>Α.</w:t>
      </w:r>
      <w:r w:rsidRPr="00F03CFE">
        <w:tab/>
        <w:t xml:space="preserve">λαμβάνοντας υπόψη ότι η ικανότητα της Ευρωπαϊκής Ένωσης να ανταγωνίζεται και να ευημερεί εντός της παγκόσμιας οικονομίας είναι ζωτικής σημασίας, ιδίως εν μέσω των σημερινών γεωπολιτικών προκλήσεων και των κλιματικών και άλλων περιβαλλοντικών </w:t>
      </w:r>
      <w:r w:rsidRPr="00F03CFE">
        <w:lastRenderedPageBreak/>
        <w:t>κρίσεων· λαμβάνοντας υπόψη ότι ανταγωνιστικότητά της στο παρόν, στο εγγύς και στο απώτερο μέλλον βασίζεται σε μια πλήρως ολοκληρωμένη και αποτελεσματική ενιαία αγορά που επιτρέπει στις ευρωπαϊκές επιχειρήσεις να καινοτομούν και να ευημερούν και δίνει προτεραιότητα στη μείωση του διοικητικού φόρτου·</w:t>
      </w:r>
    </w:p>
    <w:p w14:paraId="1F66F552" w14:textId="77777777" w:rsidR="005D14C3" w:rsidRPr="00F03CFE" w:rsidRDefault="005D14C3" w:rsidP="005D14C3">
      <w:pPr>
        <w:pStyle w:val="NormalHanging12a"/>
      </w:pPr>
      <w:r w:rsidRPr="00F03CFE">
        <w:t>Β.</w:t>
      </w:r>
      <w:r w:rsidRPr="00F03CFE">
        <w:tab/>
        <w:t>λαμβάνοντας υπόψη ότι η ενιαία αγορά, η οποία περιλαμβάνει σχεδόν 450 εκατομμύρια πολίτες και 23 εκατομμύρια επιχειρήσεις, παράγει ακαθάριστο εγχώριο προϊόν (ΑΕγχΠ) ύψους 17 τρισεκατομμυρίων EUR, πράγμα που τοποθετεί την ΕΕ στις τρεις μεγαλύτερες οικονομίες του κόσμου και συνεισφέρει περίπου το ένα έκτο της παγκόσμιας οικονομικής παραγωγής·</w:t>
      </w:r>
    </w:p>
    <w:p w14:paraId="4BDE16D7" w14:textId="77777777" w:rsidR="005D14C3" w:rsidRPr="00F03CFE" w:rsidRDefault="005D14C3" w:rsidP="005D14C3">
      <w:pPr>
        <w:pStyle w:val="NormalHanging12a"/>
      </w:pPr>
      <w:r w:rsidRPr="00F03CFE">
        <w:t>Γ.</w:t>
      </w:r>
      <w:r w:rsidRPr="00F03CFE">
        <w:tab/>
        <w:t>λαμβάνοντας υπόψη ότι η έκθεση Draghi κατέδειξε ότι το κόστος συμμόρφωσης που προκύπτει από τις διαφορετικές νομοθετικές πράξεις παραμένει πολύ υψηλό για τις ευρωπαϊκές εταιρείες, εμποδίζοντας έτσι την ευρωπαϊκή ικανότητα καινοτομίας·</w:t>
      </w:r>
    </w:p>
    <w:p w14:paraId="221F1DF5" w14:textId="77777777" w:rsidR="005D14C3" w:rsidRPr="00F03CFE" w:rsidRDefault="005D14C3" w:rsidP="005D14C3">
      <w:pPr>
        <w:pStyle w:val="NormalHanging12a"/>
      </w:pPr>
      <w:r w:rsidRPr="00F03CFE">
        <w:t>Δ.</w:t>
      </w:r>
      <w:r w:rsidRPr="00F03CFE">
        <w:tab/>
        <w:t>λαμβάνοντας υπόψη ότι παραμένει ζωτικής σημασίας η βελτίωση της λειτουργίας της ενιαίας αγοράς με την αντιμετώπιση του συνεχιζόμενου κατακερματισμού μέσω κοινών, εναρμονισμένων ενωσιακών πολιτικών, της αποτελεσματικότερης εφαρμογής και επιβολής και της απλούστευσης των κανόνων της ΕΕ· λαμβάνοντας υπόψη ότι η μείωση του διοικητικού φόρτου και κόστους, ιδίως για τις μικρές και μεσαίες επιχειρήσεις (ΜΜΕ), μπορεί να συμβάλει στην προώθηση της καινοτομίας και στη στήριξη των ευρωπαϊκών επιχειρήσεων· λαμβάνοντας υπόψη ότι η απελευθέρωση του πλήρους δυναμικού της ενιαίας αγοράς απαιτεί την υπέρβαση των επίμονων φραγμών στην ελεύθερη κυκλοφορία αγαθών και υπηρεσιών·</w:t>
      </w:r>
    </w:p>
    <w:p w14:paraId="1ECD1068" w14:textId="77777777" w:rsidR="005D14C3" w:rsidRPr="00F03CFE" w:rsidRDefault="005D14C3" w:rsidP="005D14C3">
      <w:pPr>
        <w:pStyle w:val="NormalHanging12a"/>
      </w:pPr>
      <w:r w:rsidRPr="00F03CFE">
        <w:t>Ε.</w:t>
      </w:r>
      <w:r w:rsidRPr="00F03CFE">
        <w:tab/>
        <w:t>λαμβάνοντας υπόψη ότι η ταχεία επέκταση των ψηφιακών πλατφορμών και του ηλεκτρονικού εμπορίου έχει εισαγάγει μια νέα δυναμική αγοράς και ότι οι εξελισσόμενες τάσεις στο παγκόσμιο ηλεκτρονικό εμπόριο ασκούν πρόσθετη πίεση στους τελωνειακούς ελέγχους, την εποπτεία της αγοράς και τις αρχές προστασίας των καταναλωτών·</w:t>
      </w:r>
    </w:p>
    <w:p w14:paraId="3BFB1570" w14:textId="77777777" w:rsidR="005D14C3" w:rsidRPr="00F03CFE" w:rsidRDefault="005D14C3" w:rsidP="005D14C3">
      <w:pPr>
        <w:pStyle w:val="NormalHanging12a"/>
      </w:pPr>
      <w:r w:rsidRPr="00F03CFE">
        <w:t>ΣΤ.</w:t>
      </w:r>
      <w:r w:rsidRPr="00F03CFE">
        <w:tab/>
        <w:t>λαμβάνοντας υπόψη ότι οι γεωπολιτικές αλλαγές και οι παγκόσμιοι οικονομικοί μετασχηματισμοί αναδιαμορφώνουν τις αλυσίδες εφοδιασμού, γεγονός που απαιτεί από την ΕΕ να προσαρμόσει τις πολιτικές της για την ενιαία αγορά· λαμβάνοντας υπόψη ότι η ΕΕ έχει θέσει τα υψηλότερα πρότυπα για την ασφάλεια των προϊόντων και την προστασία των καταναλωτών, τόσο εντός όσο και εκτός διαδικτύου·</w:t>
      </w:r>
    </w:p>
    <w:p w14:paraId="2A72313F" w14:textId="77777777" w:rsidR="005D14C3" w:rsidRPr="00F03CFE" w:rsidRDefault="005D14C3" w:rsidP="005D14C3">
      <w:pPr>
        <w:pStyle w:val="NormalHanging12a"/>
      </w:pPr>
      <w:r w:rsidRPr="00F03CFE">
        <w:t>Ζ.</w:t>
      </w:r>
      <w:r w:rsidRPr="00F03CFE">
        <w:tab/>
        <w:t>λαμβάνοντας υπόψη ότι έχει επισημανθεί η αύξηση των αναφορών περιπτώσεων ανά την ΕΕ στις οποίες αγαθά και υπηρεσίες προσφέρουν μειωμένη ποσότητα ή ποιότητα, παρά τις σταθερές ή αυξανόμενες τιμές·</w:t>
      </w:r>
    </w:p>
    <w:p w14:paraId="79D80344" w14:textId="77777777" w:rsidR="005D14C3" w:rsidRPr="00F03CFE" w:rsidRDefault="005D14C3" w:rsidP="005D14C3">
      <w:pPr>
        <w:pStyle w:val="NormalHanging12a"/>
        <w:rPr>
          <w:b/>
          <w:i/>
          <w:iCs/>
        </w:rPr>
      </w:pPr>
      <w:r w:rsidRPr="00F03CFE">
        <w:rPr>
          <w:b/>
          <w:i/>
        </w:rPr>
        <w:t>Παλαιές και διαρκείς προκλήσεις</w:t>
      </w:r>
    </w:p>
    <w:p w14:paraId="6F024F8C" w14:textId="77777777" w:rsidR="005D14C3" w:rsidRPr="00F03CFE" w:rsidRDefault="00F03CFE" w:rsidP="00F03CFE">
      <w:pPr>
        <w:pStyle w:val="NormalHanging12a"/>
        <w:ind w:hanging="570"/>
      </w:pPr>
      <w:r w:rsidRPr="00F03CFE">
        <w:t>1.</w:t>
      </w:r>
      <w:r w:rsidRPr="00F03CFE">
        <w:tab/>
      </w:r>
      <w:r w:rsidR="005D14C3" w:rsidRPr="00F03CFE">
        <w:t>επαναβεβαιώνει ότι η ενιαία αγορά αποτελεί ακρογωνιαίο λίθο της ευρωπαϊκής οικονομικής ολοκλήρωσης, επιτρέποντας την ελεύθερη κυκλοφορία εμπορευμάτων, υπηρεσιών, κεφαλαίων και προσώπων· τονίζει, ωστόσο, ότι υπάρχουν μακροχρόνιες και αναδυόμενες προκλήσεις που απαιτούν φιλόδοξες μεταρρυθμίσεις, χωρίς να βλάπτουν την ευρωπαϊκή ανταγωνιστικότητα ή να επιβάλλουν περιττό διοικητικό φόρτο στις εταιρείες· καλεί την Επιτροπή και τα κράτη μέλη να επιταχύνουν τις προσπάθειες για την εφαρμογή αυτών των μεταρρυθμίσεων και να εξαλείψουν τα εναπομείναντα αδικαιολόγητα εμπόδια στην ελεύθερη κυκλοφορία αγαθών και υπηρεσιών, διασφαλίζοντας παράλληλα υψηλό επίπεδο προστασίας των καταναλωτών·</w:t>
      </w:r>
    </w:p>
    <w:p w14:paraId="46B293D6" w14:textId="77777777" w:rsidR="005D14C3" w:rsidRPr="00F03CFE" w:rsidRDefault="00F03CFE" w:rsidP="00F03CFE">
      <w:pPr>
        <w:pStyle w:val="NormalHanging12a"/>
        <w:ind w:hanging="570"/>
      </w:pPr>
      <w:r w:rsidRPr="00F03CFE">
        <w:lastRenderedPageBreak/>
        <w:t>2.</w:t>
      </w:r>
      <w:r w:rsidRPr="00F03CFE">
        <w:tab/>
      </w:r>
      <w:r w:rsidR="005D14C3" w:rsidRPr="00F03CFE">
        <w:t>καλεί την Επιτροπή και τα κράτη μέλη να διατηρούν στιβαρή την προστασία των καταναλωτών, προβλέποντας παράλληλα κανόνες ανταγωνισμού που είναι φιλικοί προς την καινοτομία, ανθεκτικοί στις μελλοντικές εξελίξεις και αναλογικοί· τονίζει την ανάγκη να κατοχυρωθούν η ασφάλεια δικαίου και η συνέπεια και να ελαχιστοποιηθεί η κανονιστική πολυπλοκότητα και ο κατακερματισμός, που θα μπορούσαν να επηρεάσουν δυσανάλογα τις ΜΜΕ, τις νεοφυείς και τις αναπτυσσόμενες νέες επιχειρήσεις·</w:t>
      </w:r>
    </w:p>
    <w:p w14:paraId="4BDE5AD3" w14:textId="77777777" w:rsidR="00DB2898" w:rsidRPr="00F03CFE" w:rsidRDefault="00F03CFE" w:rsidP="00F03CFE">
      <w:pPr>
        <w:pStyle w:val="NormalHanging12a"/>
        <w:ind w:hanging="570"/>
      </w:pPr>
      <w:r w:rsidRPr="00F03CFE">
        <w:t>3.</w:t>
      </w:r>
      <w:r w:rsidRPr="00F03CFE">
        <w:tab/>
      </w:r>
      <w:r w:rsidR="00DB2898" w:rsidRPr="00F03CFE">
        <w:t>επισημαίνει ότι οι συνεχιζόμενοι φραγμοί και η πολιτική πίεση για την επέκταση των κανονισμών έχουν περιορίσει την ανάπτυξη της ενιαίας αγοράς, όπως επισημαίνεται στην έκθεση Draghi· ζητεί τη στροφή προς μια ρυθμιστική προσέγγιση που θα δίνει τη δυνατότητα στις εταιρείες να αναπτύσσονται, να καινοτομούν και να ηγούνται διεθνώς, αποκαθιστώντας έτσι την ενιαία αγορά ως πραγματική κινητήρια δύναμη για την ανάπτυξη και την ανταγωνιστικότητα·</w:t>
      </w:r>
    </w:p>
    <w:p w14:paraId="2C4F2194" w14:textId="77777777" w:rsidR="005D14C3" w:rsidRPr="00F03CFE" w:rsidRDefault="00F03CFE" w:rsidP="00F03CFE">
      <w:pPr>
        <w:pStyle w:val="NormalHanging12a"/>
        <w:ind w:hanging="570"/>
      </w:pPr>
      <w:r w:rsidRPr="00F03CFE">
        <w:t>4.</w:t>
      </w:r>
      <w:r w:rsidRPr="00F03CFE">
        <w:tab/>
      </w:r>
      <w:r w:rsidR="005D14C3" w:rsidRPr="00F03CFE">
        <w:t>καλεί την Επιτροπή να διασφαλίσει ότι οι μελλοντικές νομοθετικές πρωτοβουλίες θα καθοδηγούνται με συνέπεια από τις στρατηγικές προτεραιότητες που περιγράφονται στη στρατηγική της για την επικοινωνία και την ανταγωνιστικότητα·</w:t>
      </w:r>
    </w:p>
    <w:p w14:paraId="72C7E4D5" w14:textId="77777777" w:rsidR="005D14C3" w:rsidRPr="00F03CFE" w:rsidRDefault="00F03CFE" w:rsidP="00F03CFE">
      <w:pPr>
        <w:pStyle w:val="NormalHanging12a"/>
        <w:ind w:hanging="570"/>
      </w:pPr>
      <w:r w:rsidRPr="00F03CFE">
        <w:t>5.</w:t>
      </w:r>
      <w:r w:rsidRPr="00F03CFE">
        <w:tab/>
      </w:r>
      <w:r w:rsidR="005D14C3" w:rsidRPr="00F03CFE">
        <w:t>υπογραμμίζει ότι, όπως καταδεικνύεται από τις εκθέσεις Letta και Draghi, εξακολουθεί να υπάρχει αναξιοποίητο δυναμικό στον τομέα των υπηρεσιών· ζητεί να αναληφθεί περαιτέρω δράση σε αυτόν τον τομέα για την αντιμετώπιση των σημαντικών εμποδίων που εξακολουθούν να υφίστανται, αρχής γενομένης από τον καθορισμό φιλόδοξων στόχων στην επικείμενη στρατηγική για την ενιαία αγορά· σημειώνει ότι οι υπηρεσίες αντιπροσωπεύουν τα τρία τέταρτα του ΑΕγχΠ της ΕΕ, αντιπροσωπεύουν τα δύο τρίτα της απασχόλησης και δημιουργούν 9 από τις 10 νέες θέσεις εργασίας στην οικονομία της ΕΕ· σημειώνει, ωστόσο, ότι οι υπηρεσίες εξακολουθούν να αποτελούν το λιγότερο ανεπτυγμένο τμήμα της ενιαίας αγοράς της ΕΕ·</w:t>
      </w:r>
    </w:p>
    <w:p w14:paraId="79A2B6D0" w14:textId="77777777" w:rsidR="005D14C3" w:rsidRPr="00F03CFE" w:rsidRDefault="00F03CFE" w:rsidP="00F03CFE">
      <w:pPr>
        <w:pStyle w:val="NormalHanging12a"/>
        <w:ind w:hanging="570"/>
      </w:pPr>
      <w:r w:rsidRPr="00F03CFE">
        <w:t>6.</w:t>
      </w:r>
      <w:r w:rsidRPr="00F03CFE">
        <w:tab/>
      </w:r>
      <w:r w:rsidR="005D14C3" w:rsidRPr="00F03CFE">
        <w:t>χαιρετίζει την πρόταση κανονισμού σχετικά με μια δημόσια διεπαφή συνδεδεμένη με το Σύστημα Πληροφόρησης για την Εσωτερική Αγορά για τη δήλωση απόσπασης εργαζομένων και την τροποποίηση του κανονισμού (ΕΕ) αριθ. 1024/2012 (</w:t>
      </w:r>
      <w:r w:rsidR="005D14C3" w:rsidRPr="00F03CFE">
        <w:rPr>
          <w:shd w:val="clear" w:color="auto" w:fill="FFFFFF"/>
        </w:rPr>
        <w:t>COM</w:t>
      </w:r>
      <w:r w:rsidR="00890081" w:rsidRPr="00F03CFE">
        <w:rPr>
          <w:shd w:val="clear" w:color="auto" w:fill="FFFFFF"/>
        </w:rPr>
        <w:t>(</w:t>
      </w:r>
      <w:r w:rsidR="005D14C3" w:rsidRPr="00F03CFE">
        <w:rPr>
          <w:shd w:val="clear" w:color="auto" w:fill="FFFFFF"/>
        </w:rPr>
        <w:t>2024</w:t>
      </w:r>
      <w:r w:rsidR="00890081" w:rsidRPr="00F03CFE">
        <w:rPr>
          <w:shd w:val="clear" w:color="auto" w:fill="FFFFFF"/>
        </w:rPr>
        <w:t>)0</w:t>
      </w:r>
      <w:r w:rsidR="005D14C3" w:rsidRPr="00F03CFE">
        <w:rPr>
          <w:shd w:val="clear" w:color="auto" w:fill="FFFFFF"/>
        </w:rPr>
        <w:t>531</w:t>
      </w:r>
      <w:r w:rsidR="005D14C3" w:rsidRPr="00F03CFE">
        <w:t>), η οποία αναμένεται να οδηγήσει σε απλούστευση και ενισχυμένη επιβολή· σημειώνει επίσης ότι η ψηφιοποίηση θα μπορούσε να μειώσει σημαντικά τον διοικητικό φόρτο για τις διασυνοριακές υπηρεσίες και να διασφαλίσει καλύτερη πρόσβαση για τις επιχειρήσεις και τους καταναλωτές· ζητεί, στο πλαίσιο αυτό, μια ενιαία πύλη δηλώσεων και την ψηφιοποίηση των εντύπων Α1 για τις διασυνοριακές υπηρεσίες·</w:t>
      </w:r>
    </w:p>
    <w:p w14:paraId="724C3814" w14:textId="77777777" w:rsidR="005D14C3" w:rsidRPr="00F03CFE" w:rsidRDefault="00F03CFE" w:rsidP="00F03CFE">
      <w:pPr>
        <w:pStyle w:val="NormalHanging12a"/>
        <w:ind w:hanging="570"/>
      </w:pPr>
      <w:r w:rsidRPr="00F03CFE">
        <w:t>7.</w:t>
      </w:r>
      <w:r w:rsidRPr="00F03CFE">
        <w:tab/>
      </w:r>
      <w:r w:rsidR="005D14C3" w:rsidRPr="00F03CFE">
        <w:t>τονίζει τη σημασία της αποτελεσματικής αναγνώρισης των επαγγελματικών προσόντων και της άρσης των αδικαιολόγητων φραγμών στην ελεύθερη κυκλοφορία των επαγγελματιών, προκειμένου οι επαγγελματικές υπηρεσίες της ΕΕ να καταστούν ανταγωνιστικές σε παγκόσμιο επίπεδο τις επόμενες δεκαετίες· ενθαρρύνει την Επιτροπή να συνεχίσει να επαγρυπνεί όσον αφορά τη συνέχιση των διαδικασιών επί παραβάσει όταν τα κράτη μέλη δεν συμμορφώνονται με τη νομοθεσία της ΕΕ σχετικά με την αναγνώριση των προσόντων·</w:t>
      </w:r>
    </w:p>
    <w:p w14:paraId="71105478" w14:textId="77777777" w:rsidR="005D14C3" w:rsidRPr="00F03CFE" w:rsidRDefault="00F03CFE" w:rsidP="00F03CFE">
      <w:pPr>
        <w:pStyle w:val="NormalHanging12a"/>
        <w:ind w:hanging="570"/>
      </w:pPr>
      <w:r w:rsidRPr="00F03CFE">
        <w:t>8.</w:t>
      </w:r>
      <w:r w:rsidRPr="00F03CFE">
        <w:tab/>
      </w:r>
      <w:r w:rsidR="005D14C3" w:rsidRPr="00F03CFE">
        <w:t>τονίζει ότι οι κανόνες της ενιαίας αγοράς θα πρέπει να διασφαλίζουν την πρόσβαση σε δημόσιες υπηρεσίες και να διαφυλάσσουν τα δικαιώματα των καταναλωτών, καθώς και άλλους επιτακτικούς λόγους δημόσιου συμφέροντος· προσθέτει ότι οποιαδήποτε εκτίμηση αξιολογεί τους περιορισμούς στην ενιαία αγορά υπηρεσιών θα πρέπει να περιλαμβάνει ποιοτικά κριτήρια·</w:t>
      </w:r>
    </w:p>
    <w:p w14:paraId="1A856D84" w14:textId="77777777" w:rsidR="005D14C3" w:rsidRPr="00F03CFE" w:rsidRDefault="00F03CFE" w:rsidP="00F03CFE">
      <w:pPr>
        <w:pStyle w:val="NormalHanging12a"/>
        <w:ind w:hanging="570"/>
      </w:pPr>
      <w:r w:rsidRPr="00F03CFE">
        <w:lastRenderedPageBreak/>
        <w:t>9.</w:t>
      </w:r>
      <w:r w:rsidRPr="00F03CFE">
        <w:tab/>
      </w:r>
      <w:r w:rsidR="005D14C3" w:rsidRPr="00F03CFE">
        <w:t>σημειώνει τον ρόλο που μπορούν να διαδραματίσουν οι δημόσιες συμβάσεις της ΕΕ στην υπέρβαση των φραγμών εισόδου στην αγορά, στη στήριξη βιώσιμων και ανθεκτικών βιομηχανικών οικοσυστημάτων, στην εξασφάλιση θέσεων εργασίας υψηλής ποιότητας και στη δημιουργία αξίας στην ΕΕ·</w:t>
      </w:r>
    </w:p>
    <w:p w14:paraId="0BC7266A" w14:textId="77777777" w:rsidR="005D14C3" w:rsidRPr="00F03CFE" w:rsidRDefault="00F03CFE" w:rsidP="00F03CFE">
      <w:pPr>
        <w:pStyle w:val="NormalHanging12a"/>
        <w:ind w:hanging="570"/>
      </w:pPr>
      <w:r w:rsidRPr="00F03CFE">
        <w:t>10.</w:t>
      </w:r>
      <w:r w:rsidRPr="00F03CFE">
        <w:tab/>
      </w:r>
      <w:r w:rsidR="005D14C3" w:rsidRPr="00F03CFE">
        <w:t>αναγνωρίζει ότι το νέο νομοθετικό πλαίσιο (ΝΝΠ) έχει συμβάλει στη συνοχή της νομοθεσίας της ΕΕ για τα προϊόντα και ότι, από την έγκρισή του, ο βιομηχανικός τομέας, οι αλυσίδες εφοδιασμού και τα προϊόντα έχουν υποστεί σημαντικούς μετασχηματισμούς υπό το πρίσμα της ψηφιακής και της πράσινης μετάβασης, αλλά και αλλαγές στη δυναμική της αγοράς· σημειώνει ότι η αξιολόγηση του ΝΝΠ του 2022 εντόπισε κρίσιμες προκλήσεις, όπως πιθανή ξένη επιρροή, παράνομες πρακτικές, ανεπάρκειες στην αντιμετώπιση της ψηφιοποίησης και της κυκλικής οικονομίας, καθώς και πιθανές επικαιροποιήσεις των υποχρεώσεων και των ορισμών για ορισμένους οικονομικούς φορείς, ώστε να αντικατοπτρίζουν τις νέες πραγματικότητες της αγοράς·</w:t>
      </w:r>
    </w:p>
    <w:p w14:paraId="72197298" w14:textId="77777777" w:rsidR="005D14C3" w:rsidRPr="00F03CFE" w:rsidRDefault="00F03CFE" w:rsidP="00F03CFE">
      <w:pPr>
        <w:pStyle w:val="NormalHanging12a"/>
        <w:ind w:hanging="570"/>
      </w:pPr>
      <w:r w:rsidRPr="00F03CFE">
        <w:t>11.</w:t>
      </w:r>
      <w:r w:rsidRPr="00F03CFE">
        <w:tab/>
      </w:r>
      <w:r w:rsidR="005D14C3" w:rsidRPr="00F03CFE">
        <w:t>τονίζει ότι η αντιμετώπιση αυτών των ζητημάτων και η θωράκιση του νέου νομοθετικού πλαισίου για τις μελλοντικές εξελίξεις είναι ουσιαστικής σημασίας για τη διασφάλιση της συνοχής, τη μείωση του κόστους και τη διασφάλιση της ελεύθερης κυκλοφορίας των εμπορευμάτων· ζητεί, ως εκ τούτου, επικαιροποίηση του ΝΝΠ, προκειμένου να εξορθολογιστούν οι κανόνες για τα προϊόντα, να προωθηθεί η ψηφιοποίηση και να απλουστευθούν οι διαδικασίες συμμόρφωσης και εποπτείας της αγοράς· θεωρεί ότι το ΝΝΠ θα πρέπει να προωθήσει τη χρήση ψηφιακών διαβατηρίων προϊόντων ως μέσου που πιστοποιεί τη συμμόρφωση των προϊόντων και τη συμμόρφωση με τις απαιτήσεις πληροφόρησης·</w:t>
      </w:r>
    </w:p>
    <w:p w14:paraId="554E1300" w14:textId="77777777" w:rsidR="005D14C3" w:rsidRPr="00F03CFE" w:rsidRDefault="00F03CFE" w:rsidP="00F03CFE">
      <w:pPr>
        <w:pStyle w:val="NormalHanging12a"/>
        <w:ind w:hanging="570"/>
      </w:pPr>
      <w:r w:rsidRPr="00F03CFE">
        <w:t>12.</w:t>
      </w:r>
      <w:r w:rsidRPr="00F03CFE">
        <w:tab/>
      </w:r>
      <w:r w:rsidR="005D14C3" w:rsidRPr="00F03CFE">
        <w:t>Καλεί την Επιτροπή και τα κράτη μέλη να απλοποιήσουν τους κανόνες της ΕΕ και να διευκολύνουν την εφαρμογή τους, καθώς και να μειώσουν ουσιαστικά τον διοικητικό φόρτο, ιδίως για τις ΜΜΕ, οι οποίες διαδραματίζουν ζωτικό ρόλο στη διατήρηση των τοπικών κοινοτήτων και οικονομιών· τονίζει τη σημασία της κατοχύρωσης της ασφάλειας δικαίου και της συνέπειας για τις επιχειρήσεις, καθώς και της προβλεψιμότητας για μακροπρόθεσμες επενδύσεις, στοιχεία απαραίτητα για την τόνωση της ανταγωνιστικότητας, της καινοτομίας και της ανθεκτικότητας και για την επίτευξη γρήγορων και ουσιαστικών βελτιώσεων για τους καταναλωτές και τις επιχειρήσεις· καλεί, επιπλέον, τα κράτη μέλη να αποτρέψουν δράσεις που θα μπορούσαν να θέσουν σε κίνδυνο τους ισότιμους όρους ανταγωνισμού στην εσωτερική αγορά·</w:t>
      </w:r>
    </w:p>
    <w:p w14:paraId="2F3BC27D" w14:textId="77777777" w:rsidR="00DB2898" w:rsidRPr="00F03CFE" w:rsidRDefault="00F03CFE" w:rsidP="00F03CFE">
      <w:pPr>
        <w:pStyle w:val="NormalHanging12a"/>
        <w:ind w:hanging="570"/>
      </w:pPr>
      <w:r w:rsidRPr="00F03CFE">
        <w:t>13.</w:t>
      </w:r>
      <w:r w:rsidRPr="00F03CFE">
        <w:tab/>
      </w:r>
      <w:r w:rsidR="00DB2898" w:rsidRPr="00F03CFE">
        <w:t>καλεί την Επιτροπή να διευκολύνει τις δραστηριότητες των ΜΜΕ και των μικρών επιχειρήσεων μεσαίας κεφαλαιοποίησης εντός της ενιαίας αγοράς, ιδίως με μια ειδική δέσμη μέτρων απλούστευσης Omnibus·</w:t>
      </w:r>
    </w:p>
    <w:p w14:paraId="22A106EF" w14:textId="77777777" w:rsidR="005D14C3" w:rsidRPr="00F03CFE" w:rsidRDefault="00F03CFE" w:rsidP="00F03CFE">
      <w:pPr>
        <w:pStyle w:val="NormalHanging12a"/>
        <w:ind w:hanging="570"/>
      </w:pPr>
      <w:r w:rsidRPr="00F03CFE">
        <w:t>14.</w:t>
      </w:r>
      <w:r w:rsidRPr="00F03CFE">
        <w:tab/>
      </w:r>
      <w:r w:rsidR="005D14C3" w:rsidRPr="00F03CFE">
        <w:t>αναγνωρίζει ότι η ασυνεπής και κατακερματισμένη επιβολή της νομοθεσίας της ΕΕ σε όλα τα κράτη μέλη εξακολουθεί να στρεβλώνει τον ανταγωνισμό και να υπονομεύει την ακεραιότητα της ενιαίας αγοράς· προσθέτει ότι η πρωταρχική ευθύνη για την επιβολή της νομοθεσίας βαρύνει τα κράτη μέλη. καλεί την Επιτροπή να αξιοποιήσει πλήρως τις εξουσίες επιβολής της· ζητεί να βελτιωθούν οι μηχανισμοί παρακολούθησης και επιβολής σε επίπεδο ΕΕ, μεταξύ άλλων με την εναρμόνιση των κανόνων για τα ελάχιστα επίπεδα ελέγχων, την εναρμόνιση των μεθοδολογιών για τη διενέργεια των εν λόγω ελέγχων και των κοινών επιθεωρήσεων, προκειμένου να διασφαλιστούν η ομοιόμορφη εφαρμογή του δικαίου της ΕΕ και, κατά περίπτωση, γρήγοροι μηχανισμοί έννομης προστασίας του καταναλωτή·</w:t>
      </w:r>
    </w:p>
    <w:p w14:paraId="1693CA48" w14:textId="77777777" w:rsidR="005D14C3" w:rsidRPr="00F03CFE" w:rsidRDefault="00F03CFE" w:rsidP="00F03CFE">
      <w:pPr>
        <w:pStyle w:val="NormalHanging12a"/>
        <w:ind w:hanging="570"/>
      </w:pPr>
      <w:r w:rsidRPr="00F03CFE">
        <w:lastRenderedPageBreak/>
        <w:t>15.</w:t>
      </w:r>
      <w:r w:rsidRPr="00F03CFE">
        <w:tab/>
      </w:r>
      <w:r w:rsidR="005D14C3" w:rsidRPr="00F03CFE">
        <w:t>τονίζει τη σημασία της διατήρησης ενός ανταγωνιστικού και δυναμικού οικονομικού περιβάλλοντος μέσω της διασφάλισης των δικαιωμάτων των καταναλωτών και της επιβολής των κανόνων ψηφιακού ανταγωνισμού για την αντιμετώπιση αθέμιτων επιχειρηματικών πρακτικών που στρεβλώνουν τις συνθήκες της αγοράς· καλεί, επιπλέον, να ενισχύσουν τα κράτη μέλη την ικανότητα των αρχών εποπτείας της αγοράς και των τελωνειακών αρχών να διασφαλίζουν την αποτελεσματική επιβολή των κανόνων της ενιαίας αγοράς, ιδίως όσον αφορά το ηλεκτρονικό εμπόριο και τις εισαγωγές από τρίτες χώρες·</w:t>
      </w:r>
    </w:p>
    <w:p w14:paraId="3EC3DC43" w14:textId="77777777" w:rsidR="005D14C3" w:rsidRPr="00F03CFE" w:rsidRDefault="00F03CFE" w:rsidP="00F03CFE">
      <w:pPr>
        <w:pStyle w:val="NormalHanging12a"/>
        <w:ind w:hanging="570"/>
      </w:pPr>
      <w:r w:rsidRPr="00F03CFE">
        <w:t>16.</w:t>
      </w:r>
      <w:r w:rsidRPr="00F03CFE">
        <w:tab/>
      </w:r>
      <w:r w:rsidR="005D14C3" w:rsidRPr="00F03CFE">
        <w:t>υπενθυμίζει ότι οι εδαφικοί περιορισμοί προσφοράς στα τμήματα λιανικής και χονδρικής κατακερματίζουν την ενιαία αγορά, περιορίζουν τις επιλογές των καταναλωτών και εντείνουν την ανισότητα των τιμών ανά την Ένωση, επηρεάζοντας ιδίως τις τιμές των βασικών καταναλωτικών αγαθών· επισημαίνει ότι, ενώ το δίκαιο του ανταγωνισμού τιμωρεί αποτελεσματικά ορισμένες από αυτές τις πρακτικές, πολλές δεν εμπίπτουν στο πεδίο εφαρμογής του· καλεί, ως εκ τούτου, την Επιτροπή να προτείνει μέτρα για την αντιμετώπιση του ζητήματος, μεταξύ άλλων με αυστηρότερη καταπολέμηση των συμφωνιών διανομής που στρεβλώνουν τον ανταγωνισμό, προκειμένου να διασφαλιστεί ο θεμιτός ανταγωνισμός και επομένως η ακεραιότητα της ενιαίας αγοράς·</w:t>
      </w:r>
    </w:p>
    <w:p w14:paraId="7AE5C157" w14:textId="77777777" w:rsidR="005D14C3" w:rsidRPr="00F03CFE" w:rsidRDefault="00F03CFE" w:rsidP="00F03CFE">
      <w:pPr>
        <w:pStyle w:val="NormalHanging12a"/>
        <w:ind w:hanging="570"/>
      </w:pPr>
      <w:r w:rsidRPr="00F03CFE">
        <w:t>17.</w:t>
      </w:r>
      <w:r w:rsidRPr="00F03CFE">
        <w:tab/>
      </w:r>
      <w:r w:rsidR="005D14C3" w:rsidRPr="00F03CFE">
        <w:t>καλεί την Επιτροπή να διερευνήσει τις αιτίες στις οποίες οφείλονται τα διαφορετικά επίπεδα πληθωρισμού στα βασικά αγαθά και οι αυξήσεις των τιμών καταναλωτή που παρατηρούνται σε ορισμένα κράτη μέλη;</w:t>
      </w:r>
    </w:p>
    <w:p w14:paraId="5B371FFD" w14:textId="77777777" w:rsidR="005D14C3" w:rsidRPr="00F03CFE" w:rsidRDefault="00F03CFE" w:rsidP="00F03CFE">
      <w:pPr>
        <w:pStyle w:val="NormalHanging12a"/>
        <w:ind w:hanging="570"/>
      </w:pPr>
      <w:r w:rsidRPr="00F03CFE">
        <w:t>18.</w:t>
      </w:r>
      <w:r w:rsidRPr="00F03CFE">
        <w:tab/>
      </w:r>
      <w:r w:rsidR="005D14C3" w:rsidRPr="00F03CFE">
        <w:t>θεωρεί ότι η ενιαία αγορά αποτελεί βασικό εργαλείο σε περιόδους κρίσης, εάν τα κράτη μέλη μπορούν να ενεργούν με συντονισμένο τρόπο· θεωρεί ότι ο πρόσφατα εγκριθείς κανονισμός για τη θέσπιση μέσου αντιμετώπισης έκτακτων αναγκών στην ενιαία αγορά</w:t>
      </w:r>
      <w:r w:rsidR="005D14C3" w:rsidRPr="00F03CFE">
        <w:rPr>
          <w:rStyle w:val="FootnoteReference"/>
        </w:rPr>
        <w:footnoteReference w:id="2"/>
      </w:r>
      <w:r w:rsidR="005D14C3" w:rsidRPr="00F03CFE">
        <w:t xml:space="preserve"> θα είναι ζωτικής σημασίας για τη διασφάλιση του εν λόγω συντονισμού, ώστε να αποτρέπονται οι ελλείψεις και να διασφαλίζεται η ομαλή λειτουργία της ενιαίας αγοράς, συμπεριλαμβανομένης της ελεύθερης κυκλοφορίας βασικών αγαθών και υπηρεσιών σε ολόκληρη την ΕΕ·</w:t>
      </w:r>
    </w:p>
    <w:p w14:paraId="6CD310A3" w14:textId="77777777" w:rsidR="005D14C3" w:rsidRPr="00F03CFE" w:rsidRDefault="00F03CFE" w:rsidP="00F03CFE">
      <w:pPr>
        <w:pStyle w:val="NormalHanging12a"/>
        <w:ind w:hanging="570"/>
      </w:pPr>
      <w:r w:rsidRPr="00F03CFE">
        <w:t>19.</w:t>
      </w:r>
      <w:r w:rsidRPr="00F03CFE">
        <w:tab/>
      </w:r>
      <w:r w:rsidR="005D14C3" w:rsidRPr="00F03CFE">
        <w:t>καλεί την Επιτροπή να ενδυναμώσει τους καταναλωτές, ώστε να ασκούν εύκολα τα δικαιώματά τους ως επιβατών με τη σύσταση εθνικών φορέων επιβολής, οι οποίοι θα πρέπει να διαθέτουν εναρμονισμένες εξουσίες έρευνας και επιβολής και να είναι σε θέση να διεκπεραιώνουν αποτελεσματικά μεμονωμένες καταγγελίες και συναφή πρόστιμα·</w:t>
      </w:r>
    </w:p>
    <w:p w14:paraId="78323459" w14:textId="77777777" w:rsidR="005D14C3" w:rsidRPr="00F03CFE" w:rsidRDefault="00F03CFE" w:rsidP="00F03CFE">
      <w:pPr>
        <w:pStyle w:val="NormalHanging12a"/>
        <w:ind w:hanging="570"/>
      </w:pPr>
      <w:r w:rsidRPr="00F03CFE">
        <w:t>20.</w:t>
      </w:r>
      <w:r w:rsidRPr="00F03CFE">
        <w:tab/>
      </w:r>
      <w:r w:rsidR="005D14C3" w:rsidRPr="00F03CFE">
        <w:t>επισημαίνει ότι τα μέτρα ηλεκτρονικού εμπορίου που στοχεύουν στον γεωγραφικό αποκλεισμό, ιδίως ο κανονισμός για τον γεωγραφικό αποκλεισμό</w:t>
      </w:r>
      <w:r w:rsidR="005D14C3" w:rsidRPr="00F03CFE">
        <w:rPr>
          <w:rStyle w:val="FootnoteReference"/>
        </w:rPr>
        <w:footnoteReference w:id="3"/>
      </w:r>
      <w:r w:rsidR="005D14C3" w:rsidRPr="00F03CFE">
        <w:t xml:space="preserve">, έχουν συμβάλει στη </w:t>
      </w:r>
      <w:r w:rsidR="005D14C3" w:rsidRPr="00F03CFE">
        <w:lastRenderedPageBreak/>
        <w:t>δημιουργία πλαισίου για μια λιγότερο κατακερματισμένη ενιαία αγορά και στην ενίσχυση των επιλογών των καταναλωτών όσον αφορά τις διαδικτυακές αγορές· σημειώνει με ανησυχία ότι η εφαρμογή του κανονισμού είναι ανεπαρκής·</w:t>
      </w:r>
    </w:p>
    <w:p w14:paraId="390F3358" w14:textId="77777777" w:rsidR="005D14C3" w:rsidRPr="00F03CFE" w:rsidRDefault="00F03CFE" w:rsidP="00F03CFE">
      <w:pPr>
        <w:pStyle w:val="NormalHanging12a"/>
        <w:ind w:hanging="570"/>
      </w:pPr>
      <w:r w:rsidRPr="00F03CFE">
        <w:t>21.</w:t>
      </w:r>
      <w:r w:rsidRPr="00F03CFE">
        <w:tab/>
      </w:r>
      <w:r w:rsidR="005D14C3" w:rsidRPr="00F03CFE">
        <w:t>σημειώνει ότι η ευρωπαϊκή πράξη για την προσβασιμότητα</w:t>
      </w:r>
      <w:r w:rsidR="005D14C3" w:rsidRPr="00F03CFE">
        <w:rPr>
          <w:rStyle w:val="FootnoteReference"/>
        </w:rPr>
        <w:footnoteReference w:id="4"/>
      </w:r>
      <w:r w:rsidR="005D14C3" w:rsidRPr="00F03CFE">
        <w:t xml:space="preserve"> θα τεθεί σε εφαρμογή σε όλα τα κράτη μέλη της ΕΕ από την 28η Ιουνίου 2025· τονίζει τη σημασία της πλήρους και αποτελεσματικής εφαρμογής του από τα κράτη μέλη, προκειμένου να διασφαλιστεί η εναρμόνιση των απαιτήσεων προσβασιμότητας για τα προϊόντα και τις υπηρεσίες, διασφαλίζοντας έτσι την προσβασιμότητά τους για τα άτομα με αναπηρία σε ολόκληρη την εσωτερική αγορά της ΕΕ·</w:t>
      </w:r>
    </w:p>
    <w:p w14:paraId="173177EF" w14:textId="77777777" w:rsidR="005D14C3" w:rsidRPr="00F03CFE" w:rsidRDefault="005D14C3" w:rsidP="005D14C3">
      <w:pPr>
        <w:pStyle w:val="NormalHanging12a"/>
        <w:rPr>
          <w:b/>
          <w:i/>
          <w:iCs/>
        </w:rPr>
      </w:pPr>
      <w:r w:rsidRPr="00F03CFE">
        <w:rPr>
          <w:b/>
          <w:i/>
        </w:rPr>
        <w:t>Αναδυόμενες εμπορικές πρακτικές</w:t>
      </w:r>
    </w:p>
    <w:p w14:paraId="5FD2D1CE" w14:textId="77777777" w:rsidR="005D14C3" w:rsidRPr="00F03CFE" w:rsidRDefault="00F03CFE" w:rsidP="00F03CFE">
      <w:pPr>
        <w:pStyle w:val="NormalHanging12a"/>
        <w:ind w:hanging="570"/>
      </w:pPr>
      <w:r w:rsidRPr="00F03CFE">
        <w:t>22.</w:t>
      </w:r>
      <w:r w:rsidRPr="00F03CFE">
        <w:tab/>
      </w:r>
      <w:r w:rsidR="005D14C3" w:rsidRPr="00F03CFE">
        <w:t>επισημαίνει ότι η ταχεία επέκταση των ψηφιακών πλατφορμών και του ηλεκτρονικού εμπορίου έχει εισαγάγει νέα δυναμική στην αγορά και έχει δημιουργήσει προηγμένες ευκαιρίες, προκλήσεις και κινδύνους για τους χρήστες· αναγνωρίζει ότι η πράξη για τις ψηφιακές αγορές</w:t>
      </w:r>
      <w:r w:rsidR="005D14C3" w:rsidRPr="00F03CFE">
        <w:rPr>
          <w:rStyle w:val="FootnoteReference"/>
        </w:rPr>
        <w:footnoteReference w:id="5"/>
      </w:r>
      <w:r w:rsidR="005D14C3" w:rsidRPr="00F03CFE">
        <w:t xml:space="preserve"> (DMA) και η πράξη για τις ψηφιακές υπηρεσίες</w:t>
      </w:r>
      <w:r w:rsidR="005D14C3" w:rsidRPr="00F03CFE">
        <w:rPr>
          <w:rStyle w:val="FootnoteReference"/>
        </w:rPr>
        <w:footnoteReference w:id="6"/>
      </w:r>
      <w:r w:rsidR="005D14C3" w:rsidRPr="00F03CFE">
        <w:t xml:space="preserve"> (DSA) αποτελούν βασικά νομοθετικά μέσα που διασφαλίζουν τον θεμιτό ανταγωνισμό, τη δυνατότητα διεκδίκησης και τη δικαιοσύνη στις ψηφιακές πλατφόρμες, ενώ παράλληλα προωθούν την προστασία των καταναλωτών και ένα ασφαλέστερο, πιο αξιόπιστο και πιο διαφανές ψηφιακό περιβάλλον στην ψηφιακή οικονομία· ζητεί την πρέπουσα επιβολή της νομοθεσίας της ΕΕ για τη νέα τεχνολογία, ώστε να διασφαλίζονται γνήσιες, αυτόνομες και ενημερωμένες επιλογές των καταναλωτών, προστασία και θεμιτός ανταγωνισμός·</w:t>
      </w:r>
    </w:p>
    <w:p w14:paraId="35C7BEB4" w14:textId="77777777" w:rsidR="005D14C3" w:rsidRPr="00F03CFE" w:rsidRDefault="00F03CFE" w:rsidP="00F03CFE">
      <w:pPr>
        <w:pStyle w:val="NormalHanging12a"/>
        <w:ind w:hanging="570"/>
      </w:pPr>
      <w:r w:rsidRPr="00F03CFE">
        <w:t>23.</w:t>
      </w:r>
      <w:r w:rsidRPr="00F03CFE">
        <w:tab/>
      </w:r>
      <w:r w:rsidR="005D14C3" w:rsidRPr="00F03CFE">
        <w:t>θεωρεί απαραίτητο να διασφαλιστεί η αποτελεσματική εφαρμογή και επιβολή των δύο αυτών νομοθετικών πράξεων και παροτρύνει την Επιτροπή να ολοκληρώσει τις εν εξελίξει έρευνές της στο πλαίσιο της DSA και της DMA·</w:t>
      </w:r>
    </w:p>
    <w:p w14:paraId="4AEBC453" w14:textId="77777777" w:rsidR="00DB2898" w:rsidRPr="00F03CFE" w:rsidRDefault="00F03CFE" w:rsidP="00F03CFE">
      <w:pPr>
        <w:pStyle w:val="NormalHanging12a"/>
        <w:ind w:hanging="570"/>
      </w:pPr>
      <w:r w:rsidRPr="00F03CFE">
        <w:t>24.</w:t>
      </w:r>
      <w:r w:rsidRPr="00F03CFE">
        <w:tab/>
      </w:r>
      <w:r w:rsidR="00DB2898" w:rsidRPr="00F03CFE">
        <w:t>τονίζει ότι η εφαρμογή της πράξης για τις ψηφιακές υπηρεσίες πρέπει να σέβεται πλήρως την ελευθερία της έκφρασης· υπογραμμίζει ότι οι ενέργειες κατά του παράνομου περιεχομένου δεν πρέπει να περιορίζουν τον σύννομο λόγο, και ζητεί αναλογική και διαφανή επιβολή για την προστασία ενός ανοικτού και δημοκρατικού ψηφιακού χώρου·</w:t>
      </w:r>
    </w:p>
    <w:p w14:paraId="51D78230" w14:textId="77777777" w:rsidR="005D14C3" w:rsidRPr="00F03CFE" w:rsidRDefault="00F03CFE" w:rsidP="00F03CFE">
      <w:pPr>
        <w:pStyle w:val="NormalHanging12a"/>
        <w:ind w:hanging="570"/>
      </w:pPr>
      <w:r w:rsidRPr="00F03CFE">
        <w:t>25.</w:t>
      </w:r>
      <w:r w:rsidRPr="00F03CFE">
        <w:tab/>
      </w:r>
      <w:r w:rsidR="005D14C3" w:rsidRPr="00F03CFE">
        <w:t xml:space="preserve">καλεί την Επιτροπή και τα κράτη μέλη να διασφαλίσουν ότι η πράξη για την τεχνητή </w:t>
      </w:r>
      <w:r w:rsidR="005D14C3" w:rsidRPr="00F03CFE">
        <w:lastRenderedPageBreak/>
        <w:t>νοημοσύνη (ΤΝ)</w:t>
      </w:r>
      <w:r w:rsidR="005D14C3" w:rsidRPr="00F03CFE">
        <w:rPr>
          <w:rStyle w:val="FootnoteReference"/>
        </w:rPr>
        <w:footnoteReference w:id="7"/>
      </w:r>
      <w:r w:rsidR="005D14C3" w:rsidRPr="00F03CFE">
        <w:t xml:space="preserve"> διατηρεί μια προσέγγιση που βασίζεται στον κίνδυνο, είναι φιλική προς την καινοτομία, διασφαλίζοντας ότι οι απαιτήσεις συμμόρφωσης είναι αναλογικές προς τους πραγματικούς κινδύνους που ενέχουν οι εφαρμογές ΤΝ, ενώ παράλληλα ανταποκρίνονται στην ανάγκη να διασφαλίζεται υψηλό επίπεδο προστασίας της υγείας, της ασφάλειας και των θεμελιωδών δικαιωμάτων·</w:t>
      </w:r>
    </w:p>
    <w:p w14:paraId="53AA43B4" w14:textId="77777777" w:rsidR="005D14C3" w:rsidRPr="00F03CFE" w:rsidRDefault="00F03CFE" w:rsidP="00F03CFE">
      <w:pPr>
        <w:pStyle w:val="NormalHanging12a"/>
        <w:ind w:hanging="570"/>
      </w:pPr>
      <w:r w:rsidRPr="00F03CFE">
        <w:t>26.</w:t>
      </w:r>
      <w:r w:rsidRPr="00F03CFE">
        <w:tab/>
      </w:r>
      <w:r w:rsidR="005D14C3" w:rsidRPr="00F03CFE">
        <w:t>εκφράζει την ικανοποίησή του για τον έλεγχο καταλληλότητας της νομοθεσίας σχετικά με την προστασία των καταναλωτών ως προς την ψηφιακή δικαιοσύνη από την Επιτροπή και για την επικείμενη δημόσια διαβούλευση· υπογραμμίζει ότι ορισμένα ζητήματα εξακολουθούν να μην αντιμετωπίζονται όσον αφορά την προστασία των καταναλωτών στο διαδίκτυο, γεγονός που οδηγεί σε ανισορροπία μεταξύ καταναλωτών και εμπόρων στο πλαίσιο της ψηφιακής οικονομίας· καλεί την Επιτροπή να αντιμετωπίσει τα ζητήματα αυτά στην επικείμενη πράξη για την ψηφιακή δικαιοσύνη· πιστεύει ότι ο ψηφιακός εθισμός, τα διαδικτυακά τυχερά παιχνίδια, η προστασία των ανηλίκων στο διαδίκτυο και οι τεχνολογίες επηρεασμού που χρησιμοποιούνται από παράγοντες του διαδικτύου, όπως η στοχευμένη διαφήμιση, η διαφήμιση μέσω επηρεαστών και τα παραπλανητικά μοτίβα, θα πρέπει να εμπίπτουν στην πράξη για την ψηφιακή δικαιοσύνη, η οποία θα πρέπει να καλύπτει τα νομικά κενά και να συνάδει με τις ισχύουσες νομικές πράξεις, προκειμένου να προστατεύονται καλύτερα οι καταναλωτές στο διαδίκτυο, λαμβανομένης υπόψη της ανάγκης να αποφεύγεται ο περιττός κανονιστικός φόρτος·</w:t>
      </w:r>
    </w:p>
    <w:p w14:paraId="45F4292E" w14:textId="77777777" w:rsidR="005D14C3" w:rsidRPr="00F03CFE" w:rsidRDefault="00F03CFE" w:rsidP="00F03CFE">
      <w:pPr>
        <w:pStyle w:val="NormalHanging12a"/>
        <w:ind w:hanging="570"/>
      </w:pPr>
      <w:r w:rsidRPr="00F03CFE">
        <w:t>27.</w:t>
      </w:r>
      <w:r w:rsidRPr="00F03CFE">
        <w:tab/>
      </w:r>
      <w:r w:rsidR="005D14C3" w:rsidRPr="00F03CFE">
        <w:t>σημειώνει ότι οι εξελισσόμενες τάσεις στο παγκόσμιο ηλεκτρονικό εμπόριο και στην αναδιάρθρωση της αλυσίδας εφοδιασμού ασκούν μεγαλύτερη πίεση στους τελωνειακούς ελέγχους, την εποπτεία της αγοράς και τις αρχές προστασίας των καταναλωτών· επισημαίνει ότι ο όγκος των μη ασφαλών και παράνομων προϊόντων που πωλούνται σε πλατφόρμες ηλεκτρονικού εμπορίου, ιδίως από τρίτες χώρες, αυξάνεται τα τελευταία χρόνια· τονίζει τη σημασία των ψηφιακών διαβατηρίων προϊόντων σε αυτές τις διαδικασίες· ζητεί, ως εκ τούτου, ένα ενισχυμένο πλαίσιο εποπτείας της αγοράς και αναθεώρηση του κανονισμού για τη συνεργασία όσον αφορά την προστασία των καταναλωτών</w:t>
      </w:r>
      <w:r w:rsidR="005D14C3" w:rsidRPr="00F03CFE">
        <w:rPr>
          <w:rStyle w:val="FootnoteReference"/>
        </w:rPr>
        <w:footnoteReference w:id="8"/>
      </w:r>
      <w:r w:rsidR="005D14C3" w:rsidRPr="00F03CFE">
        <w:t>, καλεί δε το Συμβούλιο να εγκρίνει γρήγορα τη θέση του, προκειμένου να καταστεί δυνατή η έγκριση του αναθεωρημένου ενωσιακού τελωνειακού κώδικα και η σύσταση τελωνειακής αρχής της ΕΕ το 2026·</w:t>
      </w:r>
    </w:p>
    <w:p w14:paraId="42DCACEB" w14:textId="77777777" w:rsidR="005D14C3" w:rsidRPr="00F03CFE" w:rsidRDefault="00F03CFE" w:rsidP="00F03CFE">
      <w:pPr>
        <w:pStyle w:val="NormalHanging12a"/>
        <w:ind w:hanging="570"/>
      </w:pPr>
      <w:r w:rsidRPr="00F03CFE">
        <w:t>28.</w:t>
      </w:r>
      <w:r w:rsidRPr="00F03CFE">
        <w:tab/>
      </w:r>
      <w:r w:rsidR="005D14C3" w:rsidRPr="00F03CFE">
        <w:t>καλεί τα κράτη μέλη να διαθέσουν επαρκείς τεχνικούς, ανθρώπινους και οικονομικούς πόρους στις εθνικές αρχές· καλεί τα κράτη μέλη και την Επιτροπή να εξασφαλίσουν επαρκή κονδύλια και εμπειρογνωμοσύνη για την ενίσχυση των τελωνειακών αρχών και της εποπτείας της αγοράς σε ολόκληρη την Ένωση και να εντείνουν τις κοινές δραστηριότητες και τις δοκιμές σε επίπεδο ΕΕ·</w:t>
      </w:r>
    </w:p>
    <w:p w14:paraId="26E279BB" w14:textId="77777777" w:rsidR="005D14C3" w:rsidRPr="00F03CFE" w:rsidRDefault="00F03CFE" w:rsidP="00F03CFE">
      <w:pPr>
        <w:pStyle w:val="NormalHanging12a"/>
        <w:ind w:hanging="570"/>
      </w:pPr>
      <w:r w:rsidRPr="00F03CFE">
        <w:lastRenderedPageBreak/>
        <w:t>29.</w:t>
      </w:r>
      <w:r w:rsidRPr="00F03CFE">
        <w:tab/>
      </w:r>
      <w:r w:rsidR="005D14C3" w:rsidRPr="00F03CFE">
        <w:t>τονίζει την ανάγκη να ενισχυθεί η προστασία των καταναλωτών στις αγορές και εντός και εκτός διαδικτύου, μέσω της διαφάνειας στη διαφήμιση και την τιμολόγηση, ιδίως όσον αφορά τη δυναμική τιμολόγηση, και με την κατοχύρωση θεμιτών επιχειρηματικών πρακτικών και ισχυρότερων διασφαλίσεων κατά της απάτης, ώστε να ενισχυθεί η εμπιστοσύνη των καταναλωτών στο διασυνοριακό εμπόριο και να εξασφαλιστεί ο υψηλότερος βαθμός προστασίας·</w:t>
      </w:r>
    </w:p>
    <w:p w14:paraId="5964C3EA" w14:textId="77777777" w:rsidR="005D14C3" w:rsidRPr="00F03CFE" w:rsidRDefault="00F03CFE" w:rsidP="00F03CFE">
      <w:pPr>
        <w:pStyle w:val="NormalHanging12a"/>
        <w:ind w:hanging="570"/>
      </w:pPr>
      <w:r w:rsidRPr="00F03CFE">
        <w:t>30.</w:t>
      </w:r>
      <w:r w:rsidRPr="00F03CFE">
        <w:tab/>
      </w:r>
      <w:r w:rsidR="005D14C3" w:rsidRPr="00F03CFE">
        <w:t>τονίζει ότι δίνεται όλο και μεγαλύτερη προσοχή σε περιπτώσεις όπου αγαθά και υπηρεσίες διατίθενται σε μικρότερες ποσότητες ή χαμηλότερη ποιότητα, ενώ οι τιμές παραμένουν αμετάβλητες ή αυξάνονται· καλεί την Επιτροπή να εκτιμήσει την κλίμακα και τα βαθύτερα αίτια των εν λόγω πρακτικών και να διερευνήσει τα κατάλληλα μέτρα για την ενίσχυση της διαφάνειας και της ενημέρωσης των καταναλωτών·</w:t>
      </w:r>
    </w:p>
    <w:p w14:paraId="09BCBEB4" w14:textId="77777777" w:rsidR="005D14C3" w:rsidRPr="00F03CFE" w:rsidRDefault="00F03CFE" w:rsidP="00F03CFE">
      <w:pPr>
        <w:pStyle w:val="NormalHanging12a"/>
        <w:ind w:hanging="570"/>
      </w:pPr>
      <w:r w:rsidRPr="00F03CFE">
        <w:t>31.</w:t>
      </w:r>
      <w:r w:rsidRPr="00F03CFE">
        <w:tab/>
      </w:r>
      <w:r w:rsidR="005D14C3" w:rsidRPr="00F03CFE">
        <w:t>υπογραμμίζει ότι τα ζητήματα περιβαλλοντικής βιωσιμότητας και θεμιτού εμπορίου διαμορφώνουν όλο και περισσότερο τις εμπορικές πρακτικές, καθώς διαδραματίζουν σημαντικό ρόλο στις αγοραστικές αποφάσεις των καταναλωτών και, κατά συνέπεια, οδηγούν τις επιχειρήσεις προς τη βιωσιμότητα· προσθέτει ότι η διαφάνεια και η ενημέρωση των καταναλωτών σχετικά με τις περιβαλλοντικές πτυχές, καθώς και σχετικά με τις κοινωνικά υπεύθυνες και ηθικές διαδικασίες παραγωγής επιτρέπουν στους καταναλωτές να υιοθετήσουν βιώσιμα καταναλωτικά πρότυπα·</w:t>
      </w:r>
    </w:p>
    <w:p w14:paraId="28ECB8F0" w14:textId="77777777" w:rsidR="005D14C3" w:rsidRPr="00F03CFE" w:rsidRDefault="00F03CFE" w:rsidP="00F03CFE">
      <w:pPr>
        <w:pStyle w:val="NormalHanging12a"/>
        <w:ind w:hanging="570"/>
      </w:pPr>
      <w:r w:rsidRPr="00F03CFE">
        <w:t>32.</w:t>
      </w:r>
      <w:r w:rsidRPr="00F03CFE">
        <w:tab/>
      </w:r>
      <w:r w:rsidR="005D14C3" w:rsidRPr="00F03CFE">
        <w:t>καλεί την Επιτροπή και τα κράτη μέλη να διατηρήσουν το ύψος της φιλοδοξίας τους στο πλαίσιο αυτό και να εργαστούν περαιτέρω για την καθιέρωση πανενωσιακών συστημάτων επισήμανσης· υπενθυμίζει ότι στόχος της οδηγίας για τους οικολογικούς ισχυρισμούς είναι η θέσπιση ενός εργαλείου για την προστασία των καταναλωτών από την προβολή ψευδοοικολογικής ταυτότητας με τη θέσπιση απαιτήσεων τεκμηρίωσης και επαλήθευσης·</w:t>
      </w:r>
    </w:p>
    <w:p w14:paraId="1C7F95D9" w14:textId="77777777" w:rsidR="005D14C3" w:rsidRPr="00F03CFE" w:rsidRDefault="00F03CFE" w:rsidP="00F03CFE">
      <w:pPr>
        <w:pStyle w:val="NormalHanging12a"/>
        <w:ind w:hanging="570"/>
      </w:pPr>
      <w:r w:rsidRPr="00F03CFE">
        <w:t>33.</w:t>
      </w:r>
      <w:r w:rsidRPr="00F03CFE">
        <w:tab/>
      </w:r>
      <w:r w:rsidR="005D14C3" w:rsidRPr="00F03CFE">
        <w:t>τονίζει την ανάγκη να εξακολουθήσει η καταπολέμηση της παραπλανητικής διαφήμισης και η της προβολής ψευδοοικολογικής ταυτότητας και να ενισχυθεί η αγορά μεταχειρισμένων προϊόντων· σημειώνει, ωστόσο, ότι οι περιοριστικοί κανόνες βιωσιμότητας ενδέχεται να έχουν αρνητικό αντίκτυπο στην ευρωπαϊκή ανταγωνιστικότητα·</w:t>
      </w:r>
    </w:p>
    <w:p w14:paraId="65A46452" w14:textId="77777777" w:rsidR="005D14C3" w:rsidRPr="00F03CFE" w:rsidRDefault="00F03CFE" w:rsidP="00F03CFE">
      <w:pPr>
        <w:pStyle w:val="NormalHanging12a"/>
        <w:ind w:hanging="570"/>
        <w:rPr>
          <w:bCs/>
          <w:iCs/>
        </w:rPr>
      </w:pPr>
      <w:r w:rsidRPr="00F03CFE">
        <w:rPr>
          <w:bCs/>
          <w:iCs/>
        </w:rPr>
        <w:t>34.</w:t>
      </w:r>
      <w:r w:rsidRPr="00F03CFE">
        <w:rPr>
          <w:bCs/>
          <w:iCs/>
        </w:rPr>
        <w:tab/>
      </w:r>
      <w:r w:rsidR="005D14C3" w:rsidRPr="00F03CFE">
        <w:t>επισημαίνει ότι ορισμένες αυξανόμενες τάσεις στο ηλεκτρονικό εμπόριο εγείρουν ανησυχίες όσον αφορά τα αγαθά από τρίτες χώρες που δεν πληρούν τις απαιτήσεις ασφάλειας και βιωσιμότητας της ΕΕ, επηρεάζοντας έτσι αρνητικά τις ΜΜΕ στην ΕΕ· χαιρετίζει την ανακοίνωση της Επιτροπής με τίτλο «Μια ολοκληρωμένη εργαλειοθήκη της ΕΕ για ασφαλές και βιώσιμο ηλεκτρονικό εμπόριο» και ζητεί από την Επιτροπή να εφαρμόσει γρήγορα τις συστάσεις που περιέχονται σε αυτήν·</w:t>
      </w:r>
    </w:p>
    <w:p w14:paraId="6EA98A5C" w14:textId="77777777" w:rsidR="005D14C3" w:rsidRPr="00F03CFE" w:rsidRDefault="00F03CFE" w:rsidP="00F03CFE">
      <w:pPr>
        <w:pStyle w:val="NormalHanging12a"/>
        <w:ind w:hanging="570"/>
      </w:pPr>
      <w:r w:rsidRPr="00F03CFE">
        <w:t>35.</w:t>
      </w:r>
      <w:r w:rsidRPr="00F03CFE">
        <w:tab/>
      </w:r>
      <w:r w:rsidR="005D14C3" w:rsidRPr="00F03CFE">
        <w:t>τονίζει ότι τα εναρμονισμένα τεχνικά πρότυπα είναι απαραίτητα για την ελεύθερη κυκλοφορία των εμπορευμάτων εντός της ενιαίας αγοράς, κατοχυρώνοντας την ασφάλεια, την ποιότητα και τις επιδόσεις των προϊόντων σε όλα τα κράτη μέλη· επισημαίνει ότι τα πρότυπα πρέπει να αντικατοπτρίζουν τα συμφέροντα, τους στόχους πολιτικής και τις αξίες της Ένωσης, λαμβάνοντας υπόψη τις απόψεις όλων των ενδιαφερόμενων μερών· προσθέτει ότι η πρόσφατη απόφαση του Δικαστηρίου της Ευρωπαϊκής Ένωσης</w:t>
      </w:r>
      <w:r w:rsidR="005D14C3" w:rsidRPr="00F03CFE">
        <w:rPr>
          <w:rStyle w:val="FootnoteReference"/>
          <w:color w:val="000000"/>
        </w:rPr>
        <w:footnoteReference w:id="9"/>
      </w:r>
      <w:r w:rsidR="005D14C3" w:rsidRPr="00F03CFE">
        <w:t xml:space="preserve"> αναγνωρίζει την προστιθέμενη αξία των εναρμονισμένων προτύπων, που αποτελούν μέρος του δικαίου της ΕΕ λόγω των έννομων </w:t>
      </w:r>
      <w:r w:rsidR="005D14C3" w:rsidRPr="00F03CFE">
        <w:lastRenderedPageBreak/>
        <w:t>αποτελεσμάτων τους, και ορίζει ότι η πρόσβαση σε αυτά θα πρέπει να είναι ελεύθερη· υπογραμμίζει την ανάγκη να βελτιωθεί η ευελιξία του πλαισίου τυποποίησης, ιδίως για τις αναδυόμενες πράσινες και ψηφιακές αλυσίδες αξίας, και να βοηθηθεί η βιομηχανία να διατηρήσει ανταγωνιστικές θέσεις σε βασικές αγορές τεχνολογίας·</w:t>
      </w:r>
    </w:p>
    <w:p w14:paraId="792DCCD3" w14:textId="77777777" w:rsidR="005D14C3" w:rsidRPr="00F03CFE" w:rsidRDefault="00F03CFE" w:rsidP="00F03CFE">
      <w:pPr>
        <w:pStyle w:val="NormalHanging12a"/>
        <w:ind w:hanging="570"/>
      </w:pPr>
      <w:r w:rsidRPr="00F03CFE">
        <w:t>36.</w:t>
      </w:r>
      <w:r w:rsidRPr="00F03CFE">
        <w:tab/>
      </w:r>
      <w:r w:rsidR="005D14C3" w:rsidRPr="00F03CFE">
        <w:t>θεωρεί ότι η ΕΕ πρέπει να εντείνει τις προσπάθειές της για τη δημιουργία ενός νέου μηχανισμού με τα κράτη μέλη και τους εθνικούς φορείς τυποποίησης για την ανταλλαγή πληροφοριών, τον συντονισμό και την ενίσχυση της ευρωπαϊκής προσέγγισης όσον αφορά τις διεθνείς δραστηριότητες τυποποίησης· ζητεί να αναληφθεί ταχεία δράση για την επικαιροποίηση του πλαισίου τυποποίησης της ΕΕ, προκειμένου να επιταχυνθεί η διαδικασία τυποποίησης, ώστε να διασφαλιστεί η ταχεία δημοσίευση εναρμονισμένων προτύπων που παρέχουν τεκμήριο συμμόρφωσης και ευθυγραμμίζονται με τα διεθνή πρότυπα για τη στήριξη του παγκόσμιου εμπορίου, ενώ θα ενθαρρύνεται παράλληλα η αύξηση της συμμετοχής της βιομηχανίας, ιδίως από τις ΜΜΕ·</w:t>
      </w:r>
    </w:p>
    <w:p w14:paraId="6D17BFF3" w14:textId="77777777" w:rsidR="005D14C3" w:rsidRPr="00F03CFE" w:rsidRDefault="00F03CFE" w:rsidP="00F03CFE">
      <w:pPr>
        <w:pStyle w:val="NormalHanging12a"/>
        <w:ind w:hanging="570"/>
        <w:rPr>
          <w:szCs w:val="24"/>
        </w:rPr>
      </w:pPr>
      <w:r w:rsidRPr="00F03CFE">
        <w:rPr>
          <w:szCs w:val="24"/>
        </w:rPr>
        <w:t>37.</w:t>
      </w:r>
      <w:r w:rsidRPr="00F03CFE">
        <w:rPr>
          <w:szCs w:val="24"/>
        </w:rPr>
        <w:tab/>
      </w:r>
      <w:r w:rsidR="005D14C3" w:rsidRPr="00F03CFE">
        <w:t>τονίζει την ανάγκη να ενισχυθεί η εξωτερική διάσταση της ενιαίας αγοράς για τη διασφάλιση της στρατηγικής αυτονομίας και της παγκόσμιας επιρροής της ΕΕ και χαιρετίζει τη σταδιακή ενσωμάτωση των υποψήφιων προς ένταξη στην ΕΕ χωρών στην ενιαία αγορά ενόψει της μελλοντικής προσχώρησής τους στην ΕΕ· τονίζει ότι τα υψηλά ρυθμιστικά πρότυπα της ΕΕ μπορούν να αποτελέσουν παγκόσμιο σημείο αναφοράς και πρέπει να επιβληθούν αποτελεσματικά, ώστε να εξασφαλιστούν ισότιμοι όροι ανταγωνισμού για τις ευρωπαϊκές επιχειρήσεις· καλεί την Επιτροπή να εντείνει τους ρυθμιστικούς διαλόγους και την πολιτική συνεργασία με άλλες σχετικές τρίτες χώρες, προκειμένου να εντοπίσει κοινές προκλήσεις και να προσπαθήσει να αναπτύξει κοινές δράσεις, ιδίως όσον αφορά το ηλεκτρονικό εμπόριο, τους ψηφιακούς κανόνες και τους καταναλωτές·</w:t>
      </w:r>
    </w:p>
    <w:p w14:paraId="432BAC83" w14:textId="77777777" w:rsidR="005D14C3" w:rsidRPr="00F03CFE" w:rsidRDefault="00F03CFE" w:rsidP="00F03CFE">
      <w:pPr>
        <w:pStyle w:val="NormalHanging12a"/>
        <w:ind w:hanging="570"/>
        <w:rPr>
          <w:szCs w:val="24"/>
        </w:rPr>
      </w:pPr>
      <w:r w:rsidRPr="00F03CFE">
        <w:rPr>
          <w:szCs w:val="24"/>
        </w:rPr>
        <w:t>38.</w:t>
      </w:r>
      <w:r w:rsidRPr="00F03CFE">
        <w:rPr>
          <w:szCs w:val="24"/>
        </w:rPr>
        <w:tab/>
      </w:r>
      <w:r w:rsidR="005D14C3" w:rsidRPr="00F03CFE">
        <w:t>επαναλαμβάνει την έκκλησή του για καινοτόμο, συμπληρωματική και ευέλικτη αλληλεπίδραση μεταξύ των εν εξελίξει εργασιών για την εφαρμογή της ισχύουσας συμφωνίας σύνδεσης ΕΕ-Ουκρανίας και της διαδικασίας ενταξιακών διαπραγματεύσεων, ώστε να επιτραπεί έτσι η σταδιακή ενσωμάτωση της Ουκρανίας στην ενιαία αγορά της ΕΕ και στα τομεακά της προγράμματα·</w:t>
      </w:r>
    </w:p>
    <w:p w14:paraId="7D85F255" w14:textId="77777777" w:rsidR="005D14C3" w:rsidRPr="00F03CFE" w:rsidRDefault="005D14C3" w:rsidP="005D14C3">
      <w:pPr>
        <w:pStyle w:val="NormalHanging12a"/>
        <w:rPr>
          <w:b/>
          <w:i/>
          <w:iCs/>
        </w:rPr>
      </w:pPr>
      <w:r w:rsidRPr="00F03CFE">
        <w:rPr>
          <w:b/>
          <w:i/>
        </w:rPr>
        <w:t>Συμπεράσματα</w:t>
      </w:r>
    </w:p>
    <w:p w14:paraId="16AE916E" w14:textId="77777777" w:rsidR="005D14C3" w:rsidRPr="00F03CFE" w:rsidRDefault="00F03CFE" w:rsidP="00F03CFE">
      <w:pPr>
        <w:pStyle w:val="NormalHanging12a"/>
        <w:ind w:hanging="570"/>
      </w:pPr>
      <w:r w:rsidRPr="00F03CFE">
        <w:t>39.</w:t>
      </w:r>
      <w:r w:rsidRPr="00F03CFE">
        <w:tab/>
      </w:r>
      <w:r w:rsidR="005D14C3" w:rsidRPr="00F03CFE">
        <w:t>αναγνωρίζει ότι οι γεωπολιτικές εντάσεις, η κλιματική αλλαγή, οι προκλήσεις για την ανταγωνιστικότητα της ΕΕ και οι οικονομικές ανισότητες ενέχουν σημαντικούς κινδύνους για την ακεραιότητα της ενιαίας αγοράς· ζητεί μια ισχυρή, συντονισμένη και στρατηγική πολιτική απάντηση για την ενίσχυση της ενιαίας αγοράς·</w:t>
      </w:r>
    </w:p>
    <w:p w14:paraId="420DE7D3" w14:textId="77777777" w:rsidR="005D14C3" w:rsidRPr="00F03CFE" w:rsidRDefault="00F03CFE" w:rsidP="00F03CFE">
      <w:pPr>
        <w:pStyle w:val="NormalHanging12a"/>
        <w:ind w:hanging="570"/>
      </w:pPr>
      <w:r w:rsidRPr="00F03CFE">
        <w:t>40.</w:t>
      </w:r>
      <w:r w:rsidRPr="00F03CFE">
        <w:tab/>
      </w:r>
      <w:r w:rsidR="005D14C3" w:rsidRPr="00F03CFE">
        <w:t>ζητεί να συνεχιστεί η εξέλιξη της ενιαίας αγοράς για να αντιμετωπιστούν τόσο οι εναπομένοντες αδικαιολόγητοι φραγμοί όσο και οι ανακύπτουσες εμπορικές προκλήσεις· είναι της άποψης ότι η εξάλειψη του κανονιστικού κατακερματισμού, η προώθηση της απλούστευσης, η σημαντική μείωση του διοικητικού φόρτου, η ενίσχυση της επιβολής και η διασφάλιση ανθεκτικών αλυσίδων εφοδιασμού είναι ζωτικής σημασίας για τη διατήρηση του ανταγωνιστικού πλεονεκτήματος της ΕΕ και των θεμιτών συνθηκών της αγοράς και για την ενίσχυση της ενιαίας αγοράς· υπογραμμίζει τη σημασία της διαβούλευσης με όλα τα σχετικά ενδιαφερόμενα μέρη σε αυτές τις διαδικασίες·</w:t>
      </w:r>
    </w:p>
    <w:p w14:paraId="2A8372B4" w14:textId="77777777" w:rsidR="005D14C3" w:rsidRPr="00F03CFE" w:rsidRDefault="00F03CFE" w:rsidP="00F03CFE">
      <w:pPr>
        <w:pStyle w:val="NormalHanging12a"/>
        <w:ind w:hanging="570"/>
      </w:pPr>
      <w:r w:rsidRPr="00F03CFE">
        <w:t>41.</w:t>
      </w:r>
      <w:r w:rsidRPr="00F03CFE">
        <w:tab/>
      </w:r>
      <w:r w:rsidR="005D14C3" w:rsidRPr="00F03CFE">
        <w:t xml:space="preserve">τονίζει τη σημασία του ψηφιακού μετασχηματισμού, της κυκλικής οικονομίας και της </w:t>
      </w:r>
      <w:r w:rsidR="005D14C3" w:rsidRPr="00F03CFE">
        <w:lastRenderedPageBreak/>
        <w:t>προσαρμοστικότητας στις παγκόσμιες οικονομικές μεταβολές για τη διασφάλιση ενός μακρόπνοου οικονομικού δυναμισμού της ΕΕ·</w:t>
      </w:r>
    </w:p>
    <w:p w14:paraId="0FD43032" w14:textId="77777777" w:rsidR="005D14C3" w:rsidRPr="00F03CFE" w:rsidRDefault="00F03CFE" w:rsidP="00F03CFE">
      <w:pPr>
        <w:pStyle w:val="NormalHanging12a"/>
        <w:ind w:hanging="570"/>
      </w:pPr>
      <w:r w:rsidRPr="00F03CFE">
        <w:t>42.</w:t>
      </w:r>
      <w:r w:rsidRPr="00F03CFE">
        <w:tab/>
      </w:r>
      <w:r w:rsidR="005D14C3" w:rsidRPr="00F03CFE">
        <w:t>επαναλαμβάνει ότι η ενίσχυση της εσωτερικής και της εξωτερικής διάστασης της ενιαίας αγοράς είναι απαραίτητη για τη διατήρηση της στρατηγικής αυτονομίας και της ανταγωνιστικότητας της ΕΕ·</w:t>
      </w:r>
    </w:p>
    <w:p w14:paraId="5A49A89B" w14:textId="77777777" w:rsidR="005D14C3" w:rsidRPr="00F03CFE" w:rsidRDefault="00F03CFE" w:rsidP="00F03CFE">
      <w:pPr>
        <w:pStyle w:val="NormalHanging12a"/>
        <w:ind w:hanging="570"/>
      </w:pPr>
      <w:r w:rsidRPr="00F03CFE">
        <w:t>43.</w:t>
      </w:r>
      <w:r w:rsidRPr="00F03CFE">
        <w:tab/>
      </w:r>
      <w:r w:rsidR="005D14C3" w:rsidRPr="00F03CFE">
        <w:t>παροτρύνει, ως εκ τούτου, την Επιτροπή να λάβει υπόψη τα ανωτέρω στην επικείμενη νέα στρατηγική για την ενιαία αγορά, η οποία έχει προγραμματιστεί για τον Ιούνιο του 2025, στο θεματολόγιο για τους καταναλωτές του 2030, που έχει προγραμματιστεί για το τέλος του 2025, και στην πράξη για την ψηφιακή δικαιοσύνη, η οποία έχει προγραμματιστεί για το 2026·</w:t>
      </w:r>
    </w:p>
    <w:p w14:paraId="56D63639" w14:textId="77777777" w:rsidR="005D14C3" w:rsidRPr="00F03CFE" w:rsidRDefault="005D14C3" w:rsidP="005D14C3">
      <w:pPr>
        <w:pStyle w:val="NormalHanging12a"/>
        <w:jc w:val="center"/>
      </w:pPr>
      <w:r w:rsidRPr="00F03CFE">
        <w:t>°</w:t>
      </w:r>
    </w:p>
    <w:p w14:paraId="72EB0278" w14:textId="77777777" w:rsidR="005D14C3" w:rsidRPr="00F03CFE" w:rsidRDefault="005D14C3" w:rsidP="005D14C3">
      <w:pPr>
        <w:pStyle w:val="NormalHanging12a"/>
        <w:jc w:val="center"/>
      </w:pPr>
      <w:r w:rsidRPr="00F03CFE">
        <w:t>°</w:t>
      </w:r>
      <w:r w:rsidRPr="00F03CFE">
        <w:tab/>
        <w:t>°</w:t>
      </w:r>
    </w:p>
    <w:p w14:paraId="3CCAA6A9" w14:textId="77777777" w:rsidR="00D16914" w:rsidRPr="00F03CFE" w:rsidRDefault="00F03CFE" w:rsidP="00F03CFE">
      <w:pPr>
        <w:pStyle w:val="NormalHanging12a"/>
        <w:ind w:hanging="570"/>
      </w:pPr>
      <w:r w:rsidRPr="00F03CFE">
        <w:t>44.</w:t>
      </w:r>
      <w:r w:rsidRPr="00F03CFE">
        <w:tab/>
      </w:r>
      <w:r w:rsidR="005D14C3" w:rsidRPr="00F03CFE">
        <w:t xml:space="preserve">αναθέτει στην Πρόεδρό του να διαβιβάσει το παρόν ψήφισμα στο </w:t>
      </w:r>
      <w:r w:rsidR="00D16914" w:rsidRPr="00F03CFE">
        <w:t>Συμβούλιο και στην Επιτροπή.</w:t>
      </w:r>
    </w:p>
    <w:p w14:paraId="45687EFB" w14:textId="77777777" w:rsidR="00E365E1" w:rsidRPr="00F03CFE" w:rsidRDefault="00E365E1" w:rsidP="00A10CA9"/>
    <w:sectPr w:rsidR="00E365E1" w:rsidRPr="00F03CFE" w:rsidSect="00D169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EA6EC" w14:textId="77777777" w:rsidR="00A10CA9" w:rsidRPr="00D16914" w:rsidRDefault="00A10CA9">
      <w:r w:rsidRPr="00D16914">
        <w:separator/>
      </w:r>
    </w:p>
  </w:endnote>
  <w:endnote w:type="continuationSeparator" w:id="0">
    <w:p w14:paraId="3C6B7CF5" w14:textId="77777777" w:rsidR="00A10CA9" w:rsidRPr="00D16914" w:rsidRDefault="00A10CA9">
      <w:r w:rsidRPr="00D169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01F22" w14:textId="77777777" w:rsidR="00A10CA9" w:rsidRPr="00D16914" w:rsidRDefault="00A10CA9">
      <w:r w:rsidRPr="00D16914">
        <w:separator/>
      </w:r>
    </w:p>
  </w:footnote>
  <w:footnote w:type="continuationSeparator" w:id="0">
    <w:p w14:paraId="376158D4" w14:textId="77777777" w:rsidR="00A10CA9" w:rsidRPr="00D16914" w:rsidRDefault="00A10CA9">
      <w:r w:rsidRPr="00D16914">
        <w:continuationSeparator/>
      </w:r>
    </w:p>
  </w:footnote>
  <w:footnote w:id="1">
    <w:p w14:paraId="0D9AACD8" w14:textId="77777777" w:rsidR="005D14C3" w:rsidRPr="00D16914" w:rsidRDefault="005D14C3" w:rsidP="00D16914">
      <w:pPr>
        <w:pStyle w:val="FootnoteText"/>
        <w:ind w:left="567" w:hanging="567"/>
        <w:rPr>
          <w:sz w:val="24"/>
          <w:lang w:val="el-GR"/>
        </w:rPr>
      </w:pPr>
      <w:r w:rsidRPr="00D16914">
        <w:rPr>
          <w:rStyle w:val="FootnoteReference"/>
          <w:sz w:val="24"/>
          <w:lang w:val="el-GR"/>
        </w:rPr>
        <w:footnoteRef/>
      </w:r>
      <w:r w:rsidR="00D16914" w:rsidRPr="00D16914">
        <w:rPr>
          <w:rStyle w:val="Emphasis"/>
          <w:sz w:val="24"/>
          <w:shd w:val="clear" w:color="auto" w:fill="FFFFFF"/>
          <w:lang w:val="el-GR"/>
        </w:rPr>
        <w:t xml:space="preserve"> </w:t>
      </w:r>
      <w:r w:rsidR="00D16914" w:rsidRPr="00D16914">
        <w:rPr>
          <w:rStyle w:val="Emphasis"/>
          <w:sz w:val="24"/>
          <w:shd w:val="clear" w:color="auto" w:fill="FFFFFF"/>
          <w:lang w:val="el-GR"/>
        </w:rPr>
        <w:tab/>
      </w:r>
      <w:r w:rsidRPr="00DB2898">
        <w:rPr>
          <w:rStyle w:val="Emphasis"/>
          <w:i w:val="0"/>
          <w:sz w:val="24"/>
          <w:shd w:val="clear" w:color="auto" w:fill="FFFFFF"/>
          <w:lang w:val="el-GR"/>
        </w:rPr>
        <w:t>ΕΕ C 214 της 16.6.2023, σ. 8.</w:t>
      </w:r>
    </w:p>
  </w:footnote>
  <w:footnote w:id="2">
    <w:p w14:paraId="01E580C3" w14:textId="77777777" w:rsidR="005D14C3" w:rsidRPr="00D16914" w:rsidRDefault="005D14C3" w:rsidP="00D16914">
      <w:pPr>
        <w:pStyle w:val="FootnoteText"/>
        <w:ind w:left="567" w:hanging="567"/>
        <w:rPr>
          <w:sz w:val="24"/>
          <w:lang w:val="el-GR"/>
        </w:rPr>
      </w:pPr>
      <w:r w:rsidRPr="00D16914">
        <w:rPr>
          <w:rStyle w:val="FootnoteReference"/>
          <w:sz w:val="24"/>
          <w:lang w:val="el-GR"/>
        </w:rPr>
        <w:footnoteRef/>
      </w:r>
      <w:r w:rsidR="00D16914" w:rsidRPr="00D16914">
        <w:rPr>
          <w:sz w:val="24"/>
          <w:shd w:val="clear" w:color="auto" w:fill="FFFFFF"/>
          <w:lang w:val="el-GR"/>
        </w:rPr>
        <w:t xml:space="preserve"> </w:t>
      </w:r>
      <w:r w:rsidR="00D16914" w:rsidRPr="00D16914">
        <w:rPr>
          <w:sz w:val="24"/>
          <w:shd w:val="clear" w:color="auto" w:fill="FFFFFF"/>
          <w:lang w:val="el-GR"/>
        </w:rPr>
        <w:tab/>
      </w:r>
      <w:r w:rsidRPr="00D16914">
        <w:rPr>
          <w:sz w:val="24"/>
          <w:shd w:val="clear" w:color="auto" w:fill="FFFFFF"/>
          <w:lang w:val="el-GR"/>
        </w:rPr>
        <w:t xml:space="preserve">Κανονισμός </w:t>
      </w:r>
      <w:r w:rsidR="00BA1877">
        <w:rPr>
          <w:sz w:val="24"/>
          <w:shd w:val="clear" w:color="auto" w:fill="FFFFFF"/>
          <w:lang w:val="el-GR"/>
        </w:rPr>
        <w:t xml:space="preserve">(ΕΕ) 2024/2747 </w:t>
      </w:r>
      <w:r w:rsidRPr="00D16914">
        <w:rPr>
          <w:sz w:val="24"/>
          <w:shd w:val="clear" w:color="auto" w:fill="FFFFFF"/>
          <w:lang w:val="el-GR"/>
        </w:rPr>
        <w:t>του Ευρωπαϊκού Κοινοβουλίου και του Συμβουλίου</w:t>
      </w:r>
      <w:r w:rsidR="00BA1877">
        <w:rPr>
          <w:sz w:val="24"/>
          <w:shd w:val="clear" w:color="auto" w:fill="FFFFFF"/>
          <w:lang w:val="el-GR"/>
        </w:rPr>
        <w:t xml:space="preserve">, της 9ης Οκτωβρίου 2024, </w:t>
      </w:r>
      <w:r w:rsidRPr="00D16914">
        <w:rPr>
          <w:sz w:val="24"/>
          <w:shd w:val="clear" w:color="auto" w:fill="FFFFFF"/>
          <w:lang w:val="el-GR"/>
        </w:rPr>
        <w:t xml:space="preserve"> για τη θέσπιση πλαισίου μέτρων που αφορούν μια κατάσταση έκτακτης ανάγκης της εσωτερικής αγοράς και την ανθεκτικότητα της εσωτερικής αγοράς και για την τροποποίηση του κανονισμού (ΕΚ) αριθ. 2679/98 του Συμβουλίου </w:t>
      </w:r>
      <w:r w:rsidR="00890081">
        <w:rPr>
          <w:sz w:val="24"/>
          <w:shd w:val="clear" w:color="auto" w:fill="FFFFFF"/>
          <w:lang w:val="el-GR"/>
        </w:rPr>
        <w:t>(</w:t>
      </w:r>
      <w:r w:rsidRPr="00DB2898">
        <w:rPr>
          <w:rStyle w:val="Emphasis"/>
          <w:i w:val="0"/>
          <w:sz w:val="24"/>
          <w:shd w:val="clear" w:color="auto" w:fill="FFFFFF"/>
          <w:lang w:val="el-GR"/>
        </w:rPr>
        <w:t>ΕΕ L, 2024/2747, 8.11.2024, ELI:</w:t>
      </w:r>
      <w:r w:rsidRPr="00D16914">
        <w:rPr>
          <w:rStyle w:val="Emphasis"/>
          <w:sz w:val="24"/>
          <w:shd w:val="clear" w:color="auto" w:fill="FFFFFF"/>
          <w:lang w:val="el-GR"/>
        </w:rPr>
        <w:t> </w:t>
      </w:r>
      <w:hyperlink r:id="rId1" w:tgtFrame="_blank" w:tooltip="Επιτρέπει πρόσβαση στο έγγραφο μέσω του ELI URI." w:history="1">
        <w:r w:rsidRPr="00D16914">
          <w:rPr>
            <w:rStyle w:val="Hyperlink"/>
            <w:sz w:val="24"/>
            <w:lang w:val="el-GR"/>
          </w:rPr>
          <w:t>http://data.europa.eu/eli/reg/2024/2747/oj</w:t>
        </w:r>
      </w:hyperlink>
      <w:r w:rsidR="00890081">
        <w:rPr>
          <w:rStyle w:val="Hyperlink"/>
          <w:color w:val="auto"/>
          <w:sz w:val="24"/>
          <w:u w:val="none"/>
          <w:lang w:val="el-GR"/>
        </w:rPr>
        <w:t>)</w:t>
      </w:r>
      <w:r w:rsidR="00890081" w:rsidRPr="00D16914">
        <w:rPr>
          <w:sz w:val="24"/>
          <w:lang w:val="el-GR"/>
        </w:rPr>
        <w:t>.</w:t>
      </w:r>
    </w:p>
  </w:footnote>
  <w:footnote w:id="3">
    <w:p w14:paraId="5C896559" w14:textId="77777777" w:rsidR="005D14C3" w:rsidRPr="00D16914" w:rsidRDefault="005D14C3" w:rsidP="00D16914">
      <w:pPr>
        <w:pStyle w:val="FootnoteText"/>
        <w:ind w:left="567" w:hanging="567"/>
        <w:rPr>
          <w:sz w:val="24"/>
          <w:lang w:val="el-GR"/>
        </w:rPr>
      </w:pPr>
      <w:r w:rsidRPr="00D16914">
        <w:rPr>
          <w:rStyle w:val="FootnoteReference"/>
          <w:sz w:val="24"/>
          <w:lang w:val="el-GR"/>
        </w:rPr>
        <w:footnoteRef/>
      </w:r>
      <w:r w:rsidR="00D16914" w:rsidRPr="00D16914">
        <w:rPr>
          <w:sz w:val="24"/>
          <w:shd w:val="clear" w:color="auto" w:fill="FFFFFF"/>
          <w:lang w:val="el-GR"/>
        </w:rPr>
        <w:t xml:space="preserve"> </w:t>
      </w:r>
      <w:r w:rsidR="00D16914" w:rsidRPr="00D16914">
        <w:rPr>
          <w:sz w:val="24"/>
          <w:shd w:val="clear" w:color="auto" w:fill="FFFFFF"/>
          <w:lang w:val="el-GR"/>
        </w:rPr>
        <w:tab/>
      </w:r>
      <w:r w:rsidRPr="00D16914">
        <w:rPr>
          <w:sz w:val="24"/>
          <w:shd w:val="clear" w:color="auto" w:fill="FFFFFF"/>
          <w:lang w:val="el-GR"/>
        </w:rPr>
        <w:t xml:space="preserve">Κανονισμός (ΕΕ) 2018/302 του Ευρωπαϊκού Κοινοβουλίου και του Συμβουλίου, της 28ης Φεβρουαρίου 2018, για την αντιμετώπιση του αδικαιολόγητου γεωγραφικού αποκλεισμού και άλλων μορφών διακριτικής μεταχείρισης με βάση την ιθαγένεια, τον τόπο διαμονής ή τον τόπο εγκατάστασης των πελατών εντός της εσωτερικής αγοράς και για την τροποποίηση των κανονισμών (ΕΚ) αριθ. 2006/2004 και (ΕΕ) 2017/2394 και της οδηγίας 2009/22/ΕΚ </w:t>
      </w:r>
      <w:r w:rsidR="00890081">
        <w:rPr>
          <w:sz w:val="24"/>
          <w:shd w:val="clear" w:color="auto" w:fill="FFFFFF"/>
          <w:lang w:val="el-GR"/>
        </w:rPr>
        <w:t>(</w:t>
      </w:r>
      <w:r w:rsidRPr="00DB2898">
        <w:rPr>
          <w:rStyle w:val="Emphasis"/>
          <w:i w:val="0"/>
          <w:sz w:val="24"/>
          <w:shd w:val="clear" w:color="auto" w:fill="FFFFFF"/>
          <w:lang w:val="el-GR"/>
        </w:rPr>
        <w:t>ΕΕ L 60</w:t>
      </w:r>
      <w:r w:rsidR="00BA1877">
        <w:rPr>
          <w:rStyle w:val="Emphasis"/>
          <w:i w:val="0"/>
          <w:sz w:val="24"/>
          <w:shd w:val="clear" w:color="auto" w:fill="FFFFFF"/>
          <w:lang w:val="el-GR"/>
        </w:rPr>
        <w:t xml:space="preserve"> </w:t>
      </w:r>
      <w:r w:rsidRPr="00DB2898">
        <w:rPr>
          <w:rStyle w:val="Emphasis"/>
          <w:i w:val="0"/>
          <w:sz w:val="24"/>
          <w:shd w:val="clear" w:color="auto" w:fill="FFFFFF"/>
          <w:lang w:val="el-GR"/>
        </w:rPr>
        <w:t>I της 2.3.2018, σ. 1</w:t>
      </w:r>
      <w:r w:rsidRPr="00D16914">
        <w:rPr>
          <w:rStyle w:val="Emphasis"/>
          <w:sz w:val="24"/>
          <w:shd w:val="clear" w:color="auto" w:fill="FFFFFF"/>
          <w:lang w:val="el-GR"/>
        </w:rPr>
        <w:t xml:space="preserve"> </w:t>
      </w:r>
      <w:r w:rsidRPr="00D16914">
        <w:rPr>
          <w:sz w:val="24"/>
          <w:shd w:val="clear" w:color="auto" w:fill="FFFFFF"/>
          <w:lang w:val="el-GR"/>
        </w:rPr>
        <w:t>ELI:. </w:t>
      </w:r>
      <w:hyperlink r:id="rId2" w:tooltip="Επιτρέπει πρόσβαση στο έγγραφο μέσω του ELI URI." w:history="1">
        <w:r w:rsidRPr="00D16914">
          <w:rPr>
            <w:rStyle w:val="Hyperlink"/>
            <w:sz w:val="24"/>
            <w:shd w:val="clear" w:color="auto" w:fill="FFFFFF"/>
            <w:lang w:val="el-GR"/>
          </w:rPr>
          <w:t>http://data.europa.eu/eli/reg/2018/302/oj</w:t>
        </w:r>
      </w:hyperlink>
      <w:r w:rsidR="00890081">
        <w:rPr>
          <w:rStyle w:val="Hyperlink"/>
          <w:color w:val="auto"/>
          <w:sz w:val="24"/>
          <w:shd w:val="clear" w:color="auto" w:fill="FFFFFF"/>
          <w:lang w:val="el-GR"/>
        </w:rPr>
        <w:t>)</w:t>
      </w:r>
      <w:r w:rsidRPr="00D16914">
        <w:rPr>
          <w:sz w:val="24"/>
          <w:lang w:val="el-GR"/>
        </w:rPr>
        <w:t>.</w:t>
      </w:r>
    </w:p>
  </w:footnote>
  <w:footnote w:id="4">
    <w:p w14:paraId="1E01DD21" w14:textId="77777777" w:rsidR="005D14C3" w:rsidRPr="00D16914" w:rsidRDefault="005D14C3" w:rsidP="00D16914">
      <w:pPr>
        <w:pStyle w:val="FootnoteText"/>
        <w:ind w:left="567" w:hanging="567"/>
        <w:rPr>
          <w:sz w:val="24"/>
          <w:lang w:val="el-GR"/>
        </w:rPr>
      </w:pPr>
      <w:r w:rsidRPr="00D16914">
        <w:rPr>
          <w:rStyle w:val="FootnoteReference"/>
          <w:sz w:val="24"/>
          <w:lang w:val="el-GR"/>
        </w:rPr>
        <w:footnoteRef/>
      </w:r>
      <w:r w:rsidR="00D16914" w:rsidRPr="00D16914">
        <w:rPr>
          <w:sz w:val="24"/>
          <w:shd w:val="clear" w:color="auto" w:fill="FFFFFF"/>
          <w:lang w:val="el-GR"/>
        </w:rPr>
        <w:t xml:space="preserve"> </w:t>
      </w:r>
      <w:r w:rsidR="00D16914" w:rsidRPr="00D16914">
        <w:rPr>
          <w:sz w:val="24"/>
          <w:shd w:val="clear" w:color="auto" w:fill="FFFFFF"/>
          <w:lang w:val="el-GR"/>
        </w:rPr>
        <w:tab/>
      </w:r>
      <w:r w:rsidRPr="00D16914">
        <w:rPr>
          <w:sz w:val="24"/>
          <w:shd w:val="clear" w:color="auto" w:fill="FFFFFF"/>
          <w:lang w:val="el-GR"/>
        </w:rPr>
        <w:t>Οδηγία (ΕΕ) 2019/882 του Ευρωπαϊκού Κοινοβουλίου και του Συμβουλίου, της 17ης Απριλίου 2019, σχετικά με τις απαιτήσεις προσβασιμότητας προϊόντων και υπηρεσιών, (</w:t>
      </w:r>
      <w:r w:rsidRPr="00DB2898">
        <w:rPr>
          <w:rStyle w:val="Emphasis"/>
          <w:i w:val="0"/>
          <w:sz w:val="24"/>
          <w:shd w:val="clear" w:color="auto" w:fill="FFFFFF"/>
          <w:lang w:val="el-GR"/>
        </w:rPr>
        <w:t>ΕΕ L 151 της 7.6.2019, σ. 70,</w:t>
      </w:r>
      <w:r w:rsidRPr="00D16914">
        <w:rPr>
          <w:rStyle w:val="Emphasis"/>
          <w:sz w:val="24"/>
          <w:shd w:val="clear" w:color="auto" w:fill="FFFFFF"/>
          <w:lang w:val="el-GR"/>
        </w:rPr>
        <w:t xml:space="preserve"> </w:t>
      </w:r>
      <w:r w:rsidRPr="00D16914">
        <w:rPr>
          <w:sz w:val="24"/>
          <w:shd w:val="clear" w:color="auto" w:fill="FFFFFF"/>
          <w:lang w:val="el-GR"/>
        </w:rPr>
        <w:t>ELI: </w:t>
      </w:r>
      <w:hyperlink r:id="rId3" w:tooltip="Επιτρέπει πρόσβαση στο έγγραφο μέσω του ELI URI." w:history="1">
        <w:r w:rsidRPr="00D16914">
          <w:rPr>
            <w:rStyle w:val="Hyperlink"/>
            <w:sz w:val="24"/>
            <w:shd w:val="clear" w:color="auto" w:fill="FFFFFF"/>
            <w:lang w:val="el-GR"/>
          </w:rPr>
          <w:t>http://data.europa.eu/eli/dir/2019/882/oj</w:t>
        </w:r>
      </w:hyperlink>
      <w:r w:rsidR="00890081">
        <w:rPr>
          <w:rStyle w:val="Hyperlink"/>
          <w:color w:val="auto"/>
          <w:sz w:val="24"/>
          <w:u w:val="none"/>
          <w:shd w:val="clear" w:color="auto" w:fill="FFFFFF"/>
          <w:lang w:val="el-GR"/>
        </w:rPr>
        <w:t>)</w:t>
      </w:r>
      <w:r w:rsidRPr="00D16914">
        <w:rPr>
          <w:sz w:val="24"/>
          <w:lang w:val="el-GR"/>
        </w:rPr>
        <w:t>.</w:t>
      </w:r>
    </w:p>
  </w:footnote>
  <w:footnote w:id="5">
    <w:p w14:paraId="488D04A5" w14:textId="77777777" w:rsidR="005D14C3" w:rsidRPr="00D16914" w:rsidRDefault="005D14C3" w:rsidP="00D16914">
      <w:pPr>
        <w:pStyle w:val="FootnoteText"/>
        <w:ind w:left="567" w:hanging="567"/>
        <w:rPr>
          <w:sz w:val="24"/>
          <w:lang w:val="el-GR"/>
        </w:rPr>
      </w:pPr>
      <w:r w:rsidRPr="00D16914">
        <w:rPr>
          <w:rStyle w:val="FootnoteReference"/>
          <w:sz w:val="24"/>
          <w:lang w:val="el-GR"/>
        </w:rPr>
        <w:footnoteRef/>
      </w:r>
      <w:r w:rsidR="00D16914" w:rsidRPr="00D16914">
        <w:rPr>
          <w:sz w:val="24"/>
          <w:shd w:val="clear" w:color="auto" w:fill="FFFFFF"/>
          <w:lang w:val="el-GR"/>
        </w:rPr>
        <w:t xml:space="preserve"> </w:t>
      </w:r>
      <w:r w:rsidR="00D16914" w:rsidRPr="00D16914">
        <w:rPr>
          <w:sz w:val="24"/>
          <w:shd w:val="clear" w:color="auto" w:fill="FFFFFF"/>
          <w:lang w:val="el-GR"/>
        </w:rPr>
        <w:tab/>
      </w:r>
      <w:r w:rsidRPr="00D16914">
        <w:rPr>
          <w:sz w:val="24"/>
          <w:shd w:val="clear" w:color="auto" w:fill="FFFFFF"/>
          <w:lang w:val="el-GR"/>
        </w:rPr>
        <w:t xml:space="preserve">Κανονισμός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w:t>
      </w:r>
      <w:r w:rsidR="00890081">
        <w:rPr>
          <w:sz w:val="24"/>
          <w:shd w:val="clear" w:color="auto" w:fill="FFFFFF"/>
          <w:lang w:val="el-GR"/>
        </w:rPr>
        <w:t>(</w:t>
      </w:r>
      <w:r w:rsidRPr="00DB2898">
        <w:rPr>
          <w:rStyle w:val="Emphasis"/>
          <w:i w:val="0"/>
          <w:sz w:val="24"/>
          <w:shd w:val="clear" w:color="auto" w:fill="FFFFFF"/>
          <w:lang w:val="el-GR"/>
        </w:rPr>
        <w:t>ΕΕ L 265 της 12.10.2022, σ. 1,</w:t>
      </w:r>
      <w:r w:rsidRPr="00D16914">
        <w:rPr>
          <w:rStyle w:val="Emphasis"/>
          <w:sz w:val="24"/>
          <w:shd w:val="clear" w:color="auto" w:fill="FFFFFF"/>
          <w:lang w:val="el-GR"/>
        </w:rPr>
        <w:t xml:space="preserve"> </w:t>
      </w:r>
      <w:r w:rsidRPr="00D16914">
        <w:rPr>
          <w:sz w:val="24"/>
          <w:shd w:val="clear" w:color="auto" w:fill="FFFFFF"/>
          <w:lang w:val="el-GR"/>
        </w:rPr>
        <w:t>ELI: </w:t>
      </w:r>
      <w:hyperlink r:id="rId4" w:tooltip="Επιτρέπει πρόσβαση στο έγγραφο μέσω του ELI URI." w:history="1">
        <w:r w:rsidRPr="00D16914">
          <w:rPr>
            <w:rStyle w:val="Hyperlink"/>
            <w:sz w:val="24"/>
            <w:shd w:val="clear" w:color="auto" w:fill="FFFFFF"/>
            <w:lang w:val="el-GR"/>
          </w:rPr>
          <w:t>http://data.europa.eu/eli/reg/2022/1925/oj</w:t>
        </w:r>
      </w:hyperlink>
      <w:r w:rsidR="00890081">
        <w:rPr>
          <w:rStyle w:val="Hyperlink"/>
          <w:color w:val="auto"/>
          <w:sz w:val="24"/>
          <w:u w:val="none"/>
          <w:shd w:val="clear" w:color="auto" w:fill="FFFFFF"/>
          <w:lang w:val="el-GR"/>
        </w:rPr>
        <w:t>)</w:t>
      </w:r>
      <w:r w:rsidRPr="00D16914">
        <w:rPr>
          <w:sz w:val="24"/>
          <w:lang w:val="el-GR"/>
        </w:rPr>
        <w:t>.</w:t>
      </w:r>
    </w:p>
  </w:footnote>
  <w:footnote w:id="6">
    <w:p w14:paraId="64F7F69F" w14:textId="77777777" w:rsidR="005D14C3" w:rsidRPr="00D16914" w:rsidRDefault="005D14C3" w:rsidP="00D16914">
      <w:pPr>
        <w:pStyle w:val="FootnoteText"/>
        <w:ind w:left="567" w:hanging="567"/>
        <w:rPr>
          <w:sz w:val="24"/>
          <w:lang w:val="el-GR"/>
        </w:rPr>
      </w:pPr>
      <w:r w:rsidRPr="00D16914">
        <w:rPr>
          <w:rStyle w:val="FootnoteReference"/>
          <w:sz w:val="24"/>
          <w:lang w:val="el-GR"/>
        </w:rPr>
        <w:footnoteRef/>
      </w:r>
      <w:r w:rsidR="00D16914" w:rsidRPr="00D16914">
        <w:rPr>
          <w:sz w:val="24"/>
          <w:shd w:val="clear" w:color="auto" w:fill="FFFFFF"/>
          <w:lang w:val="el-GR"/>
        </w:rPr>
        <w:t xml:space="preserve"> </w:t>
      </w:r>
      <w:r w:rsidR="00D16914" w:rsidRPr="00D16914">
        <w:rPr>
          <w:sz w:val="24"/>
          <w:shd w:val="clear" w:color="auto" w:fill="FFFFFF"/>
          <w:lang w:val="el-GR"/>
        </w:rPr>
        <w:tab/>
      </w:r>
      <w:r w:rsidRPr="00D16914">
        <w:rPr>
          <w:sz w:val="24"/>
          <w:shd w:val="clear" w:color="auto" w:fill="FFFFFF"/>
          <w:lang w:val="el-GR"/>
        </w:rPr>
        <w:t xml:space="preserve">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w:t>
      </w:r>
      <w:r w:rsidR="00890081">
        <w:rPr>
          <w:sz w:val="24"/>
          <w:shd w:val="clear" w:color="auto" w:fill="FFFFFF"/>
          <w:lang w:val="el-GR"/>
        </w:rPr>
        <w:t>(</w:t>
      </w:r>
      <w:r w:rsidRPr="00DB2898">
        <w:rPr>
          <w:rStyle w:val="Emphasis"/>
          <w:i w:val="0"/>
          <w:sz w:val="24"/>
          <w:shd w:val="clear" w:color="auto" w:fill="FFFFFF"/>
          <w:lang w:val="el-GR"/>
        </w:rPr>
        <w:t>ΕΕ L 277 της 27.10.2022, σ. 1,</w:t>
      </w:r>
      <w:r w:rsidRPr="00D16914">
        <w:rPr>
          <w:rStyle w:val="Emphasis"/>
          <w:sz w:val="24"/>
          <w:shd w:val="clear" w:color="auto" w:fill="FFFFFF"/>
          <w:lang w:val="el-GR"/>
        </w:rPr>
        <w:t xml:space="preserve"> </w:t>
      </w:r>
      <w:r w:rsidRPr="00D16914">
        <w:rPr>
          <w:sz w:val="24"/>
          <w:shd w:val="clear" w:color="auto" w:fill="FFFFFF"/>
          <w:lang w:val="el-GR"/>
        </w:rPr>
        <w:t>ELI: </w:t>
      </w:r>
      <w:hyperlink r:id="rId5" w:tooltip="Επιτρέπει πρόσβαση στο έγγραφο μέσω του ELI URI." w:history="1">
        <w:r w:rsidRPr="00D16914">
          <w:rPr>
            <w:rStyle w:val="Hyperlink"/>
            <w:sz w:val="24"/>
            <w:shd w:val="clear" w:color="auto" w:fill="FFFFFF"/>
            <w:lang w:val="el-GR"/>
          </w:rPr>
          <w:t>http://data.europa.eu/eli/reg/2022/2065/oj</w:t>
        </w:r>
      </w:hyperlink>
      <w:r w:rsidR="00890081">
        <w:rPr>
          <w:rStyle w:val="Hyperlink"/>
          <w:color w:val="auto"/>
          <w:sz w:val="24"/>
          <w:u w:val="none"/>
          <w:shd w:val="clear" w:color="auto" w:fill="FFFFFF"/>
          <w:lang w:val="el-GR"/>
        </w:rPr>
        <w:t>)</w:t>
      </w:r>
      <w:r w:rsidRPr="00D16914">
        <w:rPr>
          <w:sz w:val="24"/>
          <w:lang w:val="el-GR"/>
        </w:rPr>
        <w:t>.</w:t>
      </w:r>
    </w:p>
  </w:footnote>
  <w:footnote w:id="7">
    <w:p w14:paraId="17BD12F2" w14:textId="77777777" w:rsidR="005D14C3" w:rsidRPr="00D16914" w:rsidRDefault="005D14C3" w:rsidP="00D16914">
      <w:pPr>
        <w:pStyle w:val="FootnoteText"/>
        <w:ind w:left="567" w:hanging="567"/>
        <w:rPr>
          <w:sz w:val="24"/>
          <w:lang w:val="el-GR"/>
        </w:rPr>
      </w:pPr>
      <w:r w:rsidRPr="00D16914">
        <w:rPr>
          <w:rStyle w:val="FootnoteReference"/>
          <w:sz w:val="24"/>
          <w:lang w:val="el-GR"/>
        </w:rPr>
        <w:footnoteRef/>
      </w:r>
      <w:r w:rsidR="00D16914" w:rsidRPr="00D16914">
        <w:rPr>
          <w:sz w:val="24"/>
          <w:shd w:val="clear" w:color="auto" w:fill="FFFFFF"/>
          <w:lang w:val="el-GR"/>
        </w:rPr>
        <w:t xml:space="preserve"> </w:t>
      </w:r>
      <w:r w:rsidR="00D16914" w:rsidRPr="00D16914">
        <w:rPr>
          <w:sz w:val="24"/>
          <w:shd w:val="clear" w:color="auto" w:fill="FFFFFF"/>
          <w:lang w:val="el-GR"/>
        </w:rPr>
        <w:tab/>
      </w:r>
      <w:r w:rsidRPr="00D16914">
        <w:rPr>
          <w:sz w:val="24"/>
          <w:shd w:val="clear" w:color="auto" w:fill="FFFFFF"/>
          <w:lang w:val="el-GR"/>
        </w:rPr>
        <w:t xml:space="preserve">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w:t>
      </w:r>
      <w:r w:rsidR="00890081">
        <w:rPr>
          <w:sz w:val="24"/>
          <w:shd w:val="clear" w:color="auto" w:fill="FFFFFF"/>
          <w:lang w:val="el-GR"/>
        </w:rPr>
        <w:t>(</w:t>
      </w:r>
      <w:r w:rsidRPr="00DB2898">
        <w:rPr>
          <w:rStyle w:val="Emphasis"/>
          <w:i w:val="0"/>
          <w:sz w:val="24"/>
          <w:shd w:val="clear" w:color="auto" w:fill="FFFFFF"/>
          <w:lang w:val="el-GR"/>
        </w:rPr>
        <w:t>ΕΕ L, 2024/1689, 12.7.2024, ELI:</w:t>
      </w:r>
      <w:r w:rsidRPr="00D16914">
        <w:rPr>
          <w:rStyle w:val="Emphasis"/>
          <w:sz w:val="24"/>
          <w:shd w:val="clear" w:color="auto" w:fill="FFFFFF"/>
          <w:lang w:val="el-GR"/>
        </w:rPr>
        <w:t> </w:t>
      </w:r>
      <w:hyperlink r:id="rId6" w:tgtFrame="_blank" w:tooltip="Επιτρέπει πρόσβαση στο έγγραφο μέσω του ELI URI." w:history="1">
        <w:r w:rsidRPr="00D16914">
          <w:rPr>
            <w:rStyle w:val="Hyperlink"/>
            <w:sz w:val="24"/>
            <w:lang w:val="el-GR"/>
          </w:rPr>
          <w:t>http://data.europa.eu/eli/reg/2024/1689/oj</w:t>
        </w:r>
      </w:hyperlink>
      <w:r w:rsidR="00890081">
        <w:rPr>
          <w:rStyle w:val="Hyperlink"/>
          <w:color w:val="auto"/>
          <w:sz w:val="24"/>
          <w:u w:val="none"/>
          <w:lang w:val="el-GR"/>
        </w:rPr>
        <w:t>)</w:t>
      </w:r>
      <w:r w:rsidRPr="00DB2898">
        <w:rPr>
          <w:rStyle w:val="Emphasis"/>
          <w:i w:val="0"/>
          <w:sz w:val="24"/>
          <w:shd w:val="clear" w:color="auto" w:fill="FFFFFF"/>
          <w:lang w:val="el-GR"/>
        </w:rPr>
        <w:t>.</w:t>
      </w:r>
    </w:p>
  </w:footnote>
  <w:footnote w:id="8">
    <w:p w14:paraId="4B8C97F1" w14:textId="77777777" w:rsidR="005D14C3" w:rsidRPr="00D16914" w:rsidRDefault="005D14C3" w:rsidP="00D16914">
      <w:pPr>
        <w:pStyle w:val="FootnoteText"/>
        <w:ind w:left="567" w:hanging="567"/>
        <w:rPr>
          <w:sz w:val="24"/>
          <w:lang w:val="el-GR"/>
        </w:rPr>
      </w:pPr>
      <w:r w:rsidRPr="00D16914">
        <w:rPr>
          <w:rStyle w:val="FootnoteReference"/>
          <w:sz w:val="24"/>
          <w:lang w:val="el-GR"/>
        </w:rPr>
        <w:footnoteRef/>
      </w:r>
      <w:r w:rsidR="00D16914" w:rsidRPr="00D16914">
        <w:rPr>
          <w:sz w:val="24"/>
          <w:shd w:val="clear" w:color="auto" w:fill="FFFFFF"/>
          <w:lang w:val="el-GR"/>
        </w:rPr>
        <w:t xml:space="preserve"> </w:t>
      </w:r>
      <w:r w:rsidR="00D16914" w:rsidRPr="00D16914">
        <w:rPr>
          <w:sz w:val="24"/>
          <w:shd w:val="clear" w:color="auto" w:fill="FFFFFF"/>
          <w:lang w:val="el-GR"/>
        </w:rPr>
        <w:tab/>
      </w:r>
      <w:r w:rsidRPr="00D16914">
        <w:rPr>
          <w:sz w:val="24"/>
          <w:shd w:val="clear" w:color="auto" w:fill="FFFFFF"/>
          <w:lang w:val="el-GR"/>
        </w:rPr>
        <w:t xml:space="preserve">Κανονισμός (ΕΕ) 2017/2394 του Ευρωπαϊκού Κοινοβουλίου και του Συμβουλίου, της 12ης Δεκεμβρίου 2017, σχετικά με τη συνεργασία μεταξύ των εθνικών αρχών που είναι αρμόδιες για την επιβολή της νομοθεσίας για την προστασία των καταναλωτών και με την κατάργηση του κανονισμού (ΕΚ) αριθ. 2006/2004 </w:t>
      </w:r>
      <w:r w:rsidR="00890081">
        <w:rPr>
          <w:sz w:val="24"/>
          <w:shd w:val="clear" w:color="auto" w:fill="FFFFFF"/>
          <w:lang w:val="el-GR"/>
        </w:rPr>
        <w:t>(</w:t>
      </w:r>
      <w:r w:rsidRPr="00DB2898">
        <w:rPr>
          <w:rStyle w:val="Emphasis"/>
          <w:i w:val="0"/>
          <w:sz w:val="24"/>
          <w:shd w:val="clear" w:color="auto" w:fill="FFFFFF"/>
          <w:lang w:val="el-GR"/>
        </w:rPr>
        <w:t xml:space="preserve">ΕΕ L 345 της 27.12.2017, σ. 1, </w:t>
      </w:r>
      <w:r w:rsidRPr="00D16914">
        <w:rPr>
          <w:sz w:val="24"/>
          <w:shd w:val="clear" w:color="auto" w:fill="FFFFFF"/>
          <w:lang w:val="el-GR"/>
        </w:rPr>
        <w:t>ELI: </w:t>
      </w:r>
      <w:hyperlink r:id="rId7" w:tooltip="Επιτρέπει πρόσβαση στο έγγραφο μέσω του ELI URI." w:history="1">
        <w:r w:rsidRPr="00D16914">
          <w:rPr>
            <w:rStyle w:val="Hyperlink"/>
            <w:sz w:val="24"/>
            <w:shd w:val="clear" w:color="auto" w:fill="FFFFFF"/>
            <w:lang w:val="el-GR"/>
          </w:rPr>
          <w:t>http://data.europa.eu/eli/reg/2017/2394/oj</w:t>
        </w:r>
      </w:hyperlink>
      <w:r w:rsidR="00890081">
        <w:rPr>
          <w:rStyle w:val="Hyperlink"/>
          <w:color w:val="auto"/>
          <w:sz w:val="24"/>
          <w:u w:val="none"/>
          <w:shd w:val="clear" w:color="auto" w:fill="FFFFFF"/>
          <w:lang w:val="el-GR"/>
        </w:rPr>
        <w:t>)</w:t>
      </w:r>
      <w:r w:rsidRPr="00D16914">
        <w:rPr>
          <w:sz w:val="24"/>
          <w:lang w:val="el-GR"/>
        </w:rPr>
        <w:t>.</w:t>
      </w:r>
    </w:p>
  </w:footnote>
  <w:footnote w:id="9">
    <w:p w14:paraId="6BADE412" w14:textId="77777777" w:rsidR="005D14C3" w:rsidRPr="00D16914" w:rsidRDefault="005D14C3" w:rsidP="00D16914">
      <w:pPr>
        <w:pStyle w:val="FootnoteText"/>
        <w:ind w:left="567" w:hanging="567"/>
        <w:rPr>
          <w:sz w:val="24"/>
          <w:lang w:val="el-GR"/>
        </w:rPr>
      </w:pPr>
      <w:r w:rsidRPr="00D16914">
        <w:rPr>
          <w:rStyle w:val="FootnoteReference"/>
          <w:sz w:val="24"/>
          <w:lang w:val="el-GR"/>
        </w:rPr>
        <w:footnoteRef/>
      </w:r>
      <w:r w:rsidR="00D16914" w:rsidRPr="00D16914">
        <w:rPr>
          <w:sz w:val="24"/>
          <w:lang w:val="el-GR"/>
        </w:rPr>
        <w:t xml:space="preserve"> </w:t>
      </w:r>
      <w:r w:rsidR="00D16914" w:rsidRPr="00D16914">
        <w:rPr>
          <w:sz w:val="24"/>
          <w:lang w:val="el-GR"/>
        </w:rPr>
        <w:tab/>
      </w:r>
      <w:r w:rsidRPr="00D16914">
        <w:rPr>
          <w:sz w:val="24"/>
          <w:lang w:val="el-GR"/>
        </w:rPr>
        <w:t xml:space="preserve">Απόφαση της 5ης Μαρτίου 2024, Public.Resource.Org Inc. κατά Right to Know CLG, C-588/21 P, </w:t>
      </w:r>
      <w:r w:rsidR="00BA1877">
        <w:rPr>
          <w:sz w:val="24"/>
          <w:lang w:val="el-GR"/>
        </w:rPr>
        <w:t>ECLI:EU</w:t>
      </w:r>
      <w:r w:rsidRPr="00D16914">
        <w:rPr>
          <w:sz w:val="24"/>
          <w:lang w:val="el-GR"/>
        </w:rPr>
        <w:t>:C:2024:201.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99551D"/>
    <w:multiLevelType w:val="hybridMultilevel"/>
    <w:tmpl w:val="E8D497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B778DB"/>
    <w:multiLevelType w:val="hybridMultilevel"/>
    <w:tmpl w:val="9CB68632"/>
    <w:lvl w:ilvl="0" w:tplc="DC02DA3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6670761">
    <w:abstractNumId w:val="9"/>
  </w:num>
  <w:num w:numId="2" w16cid:durableId="1055933473">
    <w:abstractNumId w:val="9"/>
  </w:num>
  <w:num w:numId="3" w16cid:durableId="1666519311">
    <w:abstractNumId w:val="7"/>
  </w:num>
  <w:num w:numId="4" w16cid:durableId="1656690669">
    <w:abstractNumId w:val="7"/>
  </w:num>
  <w:num w:numId="5" w16cid:durableId="56903066">
    <w:abstractNumId w:val="6"/>
  </w:num>
  <w:num w:numId="6" w16cid:durableId="1502965723">
    <w:abstractNumId w:val="6"/>
  </w:num>
  <w:num w:numId="7" w16cid:durableId="1171603125">
    <w:abstractNumId w:val="5"/>
  </w:num>
  <w:num w:numId="8" w16cid:durableId="236480409">
    <w:abstractNumId w:val="5"/>
  </w:num>
  <w:num w:numId="9" w16cid:durableId="2012098434">
    <w:abstractNumId w:val="4"/>
  </w:num>
  <w:num w:numId="10" w16cid:durableId="1552693923">
    <w:abstractNumId w:val="4"/>
  </w:num>
  <w:num w:numId="11" w16cid:durableId="1168865953">
    <w:abstractNumId w:val="8"/>
  </w:num>
  <w:num w:numId="12" w16cid:durableId="1568102206">
    <w:abstractNumId w:val="8"/>
  </w:num>
  <w:num w:numId="13" w16cid:durableId="882864544">
    <w:abstractNumId w:val="3"/>
  </w:num>
  <w:num w:numId="14" w16cid:durableId="1056394185">
    <w:abstractNumId w:val="3"/>
  </w:num>
  <w:num w:numId="15" w16cid:durableId="918750362">
    <w:abstractNumId w:val="2"/>
  </w:num>
  <w:num w:numId="16" w16cid:durableId="1707943977">
    <w:abstractNumId w:val="2"/>
  </w:num>
  <w:num w:numId="17" w16cid:durableId="1125462131">
    <w:abstractNumId w:val="1"/>
  </w:num>
  <w:num w:numId="18" w16cid:durableId="1256670562">
    <w:abstractNumId w:val="1"/>
  </w:num>
  <w:num w:numId="19" w16cid:durableId="864752577">
    <w:abstractNumId w:val="0"/>
  </w:num>
  <w:num w:numId="20" w16cid:durableId="697007688">
    <w:abstractNumId w:val="0"/>
  </w:num>
  <w:num w:numId="21" w16cid:durableId="1081180014">
    <w:abstractNumId w:val="9"/>
  </w:num>
  <w:num w:numId="22" w16cid:durableId="864102408">
    <w:abstractNumId w:val="7"/>
  </w:num>
  <w:num w:numId="23" w16cid:durableId="1412044817">
    <w:abstractNumId w:val="6"/>
  </w:num>
  <w:num w:numId="24" w16cid:durableId="952639414">
    <w:abstractNumId w:val="5"/>
  </w:num>
  <w:num w:numId="25" w16cid:durableId="1543663587">
    <w:abstractNumId w:val="4"/>
  </w:num>
  <w:num w:numId="26" w16cid:durableId="692075830">
    <w:abstractNumId w:val="8"/>
  </w:num>
  <w:num w:numId="27" w16cid:durableId="693534533">
    <w:abstractNumId w:val="3"/>
  </w:num>
  <w:num w:numId="28" w16cid:durableId="1731221138">
    <w:abstractNumId w:val="2"/>
  </w:num>
  <w:num w:numId="29" w16cid:durableId="885261289">
    <w:abstractNumId w:val="1"/>
  </w:num>
  <w:num w:numId="30" w16cid:durableId="633371115">
    <w:abstractNumId w:val="0"/>
  </w:num>
  <w:num w:numId="31" w16cid:durableId="1722973173">
    <w:abstractNumId w:val="9"/>
  </w:num>
  <w:num w:numId="32" w16cid:durableId="1587223918">
    <w:abstractNumId w:val="7"/>
  </w:num>
  <w:num w:numId="33" w16cid:durableId="27218727">
    <w:abstractNumId w:val="6"/>
  </w:num>
  <w:num w:numId="34" w16cid:durableId="653293587">
    <w:abstractNumId w:val="5"/>
  </w:num>
  <w:num w:numId="35" w16cid:durableId="1620380258">
    <w:abstractNumId w:val="4"/>
  </w:num>
  <w:num w:numId="36" w16cid:durableId="1359700886">
    <w:abstractNumId w:val="8"/>
  </w:num>
  <w:num w:numId="37" w16cid:durableId="2084332204">
    <w:abstractNumId w:val="3"/>
  </w:num>
  <w:num w:numId="38" w16cid:durableId="1257983011">
    <w:abstractNumId w:val="2"/>
  </w:num>
  <w:num w:numId="39" w16cid:durableId="1980571134">
    <w:abstractNumId w:val="1"/>
  </w:num>
  <w:num w:numId="40" w16cid:durableId="142739539">
    <w:abstractNumId w:val="0"/>
  </w:num>
  <w:num w:numId="41" w16cid:durableId="90392922">
    <w:abstractNumId w:val="10"/>
  </w:num>
  <w:num w:numId="42" w16cid:durableId="424109840">
    <w:abstractNumId w:val="10"/>
  </w:num>
  <w:num w:numId="43" w16cid:durableId="253712426">
    <w:abstractNumId w:val="10"/>
  </w:num>
  <w:num w:numId="44" w16cid:durableId="1803040848">
    <w:abstractNumId w:val="11"/>
  </w:num>
  <w:num w:numId="45" w16cid:durableId="1240795612">
    <w:abstractNumId w:val="12"/>
  </w:num>
  <w:num w:numId="46" w16cid:durableId="1390019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246/2025"/>
    <w:docVar w:name="dvlangue" w:val="EL"/>
    <w:docVar w:name="dvnumam" w:val="0"/>
    <w:docVar w:name="dvpe" w:val="772.165"/>
    <w:docVar w:name="dvtitre" w:val="Ψήφισμα του Ευρωπαϊκού Κοινοβουλίου σχετικά με τις παλιές προκλήσεις και τις νέες εμπορικές πρακτικές στην εσωτερική αγορά(2025/2542(RSP))"/>
  </w:docVars>
  <w:rsids>
    <w:rsidRoot w:val="00A10CA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3D40"/>
    <w:rsid w:val="0041666E"/>
    <w:rsid w:val="00421060"/>
    <w:rsid w:val="00471C19"/>
    <w:rsid w:val="004867E3"/>
    <w:rsid w:val="00494A28"/>
    <w:rsid w:val="004C0004"/>
    <w:rsid w:val="004C5D52"/>
    <w:rsid w:val="0050519A"/>
    <w:rsid w:val="005072A1"/>
    <w:rsid w:val="00514517"/>
    <w:rsid w:val="00545827"/>
    <w:rsid w:val="00560270"/>
    <w:rsid w:val="005C2568"/>
    <w:rsid w:val="005D14C3"/>
    <w:rsid w:val="005F1B17"/>
    <w:rsid w:val="006037C0"/>
    <w:rsid w:val="006631B6"/>
    <w:rsid w:val="00680577"/>
    <w:rsid w:val="006C638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081"/>
    <w:rsid w:val="008C2AC6"/>
    <w:rsid w:val="00930C23"/>
    <w:rsid w:val="0093193B"/>
    <w:rsid w:val="009509D8"/>
    <w:rsid w:val="00950B64"/>
    <w:rsid w:val="00981893"/>
    <w:rsid w:val="00A10CA9"/>
    <w:rsid w:val="00A1687D"/>
    <w:rsid w:val="00A43E52"/>
    <w:rsid w:val="00A4678D"/>
    <w:rsid w:val="00A778C7"/>
    <w:rsid w:val="00AB441E"/>
    <w:rsid w:val="00AB6293"/>
    <w:rsid w:val="00AE0928"/>
    <w:rsid w:val="00AF3B82"/>
    <w:rsid w:val="00B12E95"/>
    <w:rsid w:val="00B22876"/>
    <w:rsid w:val="00B558F0"/>
    <w:rsid w:val="00B63F54"/>
    <w:rsid w:val="00BA1877"/>
    <w:rsid w:val="00BD48FE"/>
    <w:rsid w:val="00BD7BD8"/>
    <w:rsid w:val="00BE6ADC"/>
    <w:rsid w:val="00C05BFE"/>
    <w:rsid w:val="00C23CD4"/>
    <w:rsid w:val="00C61C0C"/>
    <w:rsid w:val="00C941CB"/>
    <w:rsid w:val="00CC2357"/>
    <w:rsid w:val="00CF071A"/>
    <w:rsid w:val="00D058B8"/>
    <w:rsid w:val="00D16914"/>
    <w:rsid w:val="00D56C11"/>
    <w:rsid w:val="00D834A0"/>
    <w:rsid w:val="00D872DF"/>
    <w:rsid w:val="00D91E21"/>
    <w:rsid w:val="00DA7FCD"/>
    <w:rsid w:val="00DB2898"/>
    <w:rsid w:val="00E365E1"/>
    <w:rsid w:val="00E820A4"/>
    <w:rsid w:val="00EB006A"/>
    <w:rsid w:val="00EB4772"/>
    <w:rsid w:val="00ED169E"/>
    <w:rsid w:val="00ED4235"/>
    <w:rsid w:val="00F03CF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BC2725"/>
  <w15:chartTrackingRefBased/>
  <w15:docId w15:val="{C66E8177-80F6-4AA7-B8C9-4B57D71EA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D14C3"/>
    <w:pPr>
      <w:spacing w:before="480" w:after="240"/>
    </w:pPr>
  </w:style>
  <w:style w:type="paragraph" w:customStyle="1" w:styleId="NormalHanging12a">
    <w:name w:val="NormalHanging12a"/>
    <w:basedOn w:val="Normal"/>
    <w:rsid w:val="005D14C3"/>
    <w:pPr>
      <w:spacing w:after="240"/>
      <w:ind w:left="567" w:hanging="567"/>
    </w:pPr>
  </w:style>
  <w:style w:type="character" w:styleId="Emphasis">
    <w:name w:val="Emphasis"/>
    <w:basedOn w:val="DefaultParagraphFont"/>
    <w:uiPriority w:val="20"/>
    <w:qFormat/>
    <w:rsid w:val="005D14C3"/>
    <w:rPr>
      <w:i/>
      <w:iCs/>
    </w:rPr>
  </w:style>
  <w:style w:type="character" w:styleId="Hyperlink">
    <w:name w:val="Hyperlink"/>
    <w:basedOn w:val="DefaultParagraphFont"/>
    <w:uiPriority w:val="99"/>
    <w:unhideWhenUsed/>
    <w:rsid w:val="005D14C3"/>
    <w:rPr>
      <w:color w:val="0000FF"/>
      <w:u w:val="single"/>
    </w:rPr>
  </w:style>
  <w:style w:type="paragraph" w:styleId="Header">
    <w:name w:val="header"/>
    <w:basedOn w:val="Normal"/>
    <w:link w:val="HeaderChar"/>
    <w:rsid w:val="00890081"/>
    <w:pPr>
      <w:tabs>
        <w:tab w:val="center" w:pos="4513"/>
        <w:tab w:val="right" w:pos="9026"/>
      </w:tabs>
    </w:pPr>
  </w:style>
  <w:style w:type="character" w:customStyle="1" w:styleId="HeaderChar">
    <w:name w:val="Header Char"/>
    <w:basedOn w:val="DefaultParagraphFont"/>
    <w:link w:val="Header"/>
    <w:rsid w:val="00890081"/>
    <w:rPr>
      <w:sz w:val="24"/>
      <w:lang w:val="el-GR"/>
    </w:rPr>
  </w:style>
  <w:style w:type="paragraph" w:styleId="BalloonText">
    <w:name w:val="Balloon Text"/>
    <w:basedOn w:val="Normal"/>
    <w:link w:val="BalloonTextChar"/>
    <w:rsid w:val="00890081"/>
    <w:rPr>
      <w:rFonts w:ascii="Segoe UI" w:hAnsi="Segoe UI" w:cs="Segoe UI"/>
      <w:sz w:val="18"/>
      <w:szCs w:val="18"/>
    </w:rPr>
  </w:style>
  <w:style w:type="character" w:customStyle="1" w:styleId="BalloonTextChar">
    <w:name w:val="Balloon Text Char"/>
    <w:basedOn w:val="DefaultParagraphFont"/>
    <w:link w:val="BalloonText"/>
    <w:rsid w:val="00890081"/>
    <w:rPr>
      <w:rFonts w:ascii="Segoe UI" w:hAnsi="Segoe UI" w:cs="Segoe UI"/>
      <w:sz w:val="18"/>
      <w:szCs w:val="18"/>
      <w:lang w:val="el-GR"/>
    </w:rPr>
  </w:style>
  <w:style w:type="character" w:styleId="FollowedHyperlink">
    <w:name w:val="FollowedHyperlink"/>
    <w:basedOn w:val="DefaultParagraphFont"/>
    <w:rsid w:val="00BA18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882/oj" TargetMode="External"/><Relationship Id="rId7" Type="http://schemas.openxmlformats.org/officeDocument/2006/relationships/hyperlink" Target="http://data.europa.eu/eli/reg/2017/2394/oj" TargetMode="External"/><Relationship Id="rId2" Type="http://schemas.openxmlformats.org/officeDocument/2006/relationships/hyperlink" Target="http://data.europa.eu/eli/reg/2018/302/oj" TargetMode="External"/><Relationship Id="rId1" Type="http://schemas.openxmlformats.org/officeDocument/2006/relationships/hyperlink" Target="http://data.europa.eu/eli/reg/2024/2747/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80EEC-A7EF-4A97-BD39-D7ABA7315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3914</Words>
  <Characters>22313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STEFOS Stefanos</cp:lastModifiedBy>
  <cp:revision>2</cp:revision>
  <cp:lastPrinted>2004-11-19T15:42:00Z</cp:lastPrinted>
  <dcterms:created xsi:type="dcterms:W3CDTF">2025-06-12T14:26:00Z</dcterms:created>
  <dcterms:modified xsi:type="dcterms:W3CDTF">2025-06-12T14:26:00Z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B10-0246/2025</vt:lpwstr>
  </property>
  <property fmtid="{D5CDD505-2E9C-101B-9397-08002B2CF9AE}" pid="4" name="&lt;Type&gt;">
    <vt:lpwstr>RR</vt:lpwstr>
  </property>
</Properties>
</file>