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045D0" w14:paraId="5DFFCCF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C636E47" w14:textId="77777777" w:rsidR="00751A4A" w:rsidRPr="008045D0" w:rsidRDefault="00806293" w:rsidP="0010095E">
            <w:pPr>
              <w:pStyle w:val="EPName"/>
            </w:pPr>
            <w:r w:rsidRPr="008045D0">
              <w:t>Europski parlament</w:t>
            </w:r>
          </w:p>
          <w:p w14:paraId="1D8A750F" w14:textId="77777777" w:rsidR="00751A4A" w:rsidRPr="008045D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45D0">
              <w:t>2024</w:t>
            </w:r>
            <w:r w:rsidR="00817416" w:rsidRPr="008045D0">
              <w:t>-202</w:t>
            </w:r>
            <w:r w:rsidRPr="008045D0">
              <w:t>9</w:t>
            </w:r>
          </w:p>
        </w:tc>
        <w:tc>
          <w:tcPr>
            <w:tcW w:w="2268" w:type="dxa"/>
            <w:shd w:val="clear" w:color="auto" w:fill="auto"/>
          </w:tcPr>
          <w:p w14:paraId="63B97D10" w14:textId="77777777" w:rsidR="00751A4A" w:rsidRPr="008045D0" w:rsidRDefault="00187494" w:rsidP="0010095E">
            <w:pPr>
              <w:pStyle w:val="EPLogo"/>
            </w:pPr>
            <w:r w:rsidRPr="008045D0">
              <w:rPr>
                <w:noProof/>
                <w:lang w:val="en-GB"/>
              </w:rPr>
              <w:drawing>
                <wp:inline distT="0" distB="0" distL="0" distR="0" wp14:anchorId="5F4E6CEB" wp14:editId="5EB564F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68019E" w14:textId="77777777" w:rsidR="00D058B8" w:rsidRPr="008045D0" w:rsidRDefault="00D058B8" w:rsidP="004C5D52">
      <w:pPr>
        <w:pStyle w:val="LineTop"/>
      </w:pPr>
    </w:p>
    <w:p w14:paraId="6612DFF7" w14:textId="77777777" w:rsidR="00680577" w:rsidRPr="008045D0" w:rsidRDefault="00806293" w:rsidP="00680577">
      <w:pPr>
        <w:pStyle w:val="EPBodyTA1"/>
      </w:pPr>
      <w:r w:rsidRPr="008045D0">
        <w:t>USVOJENI TEKSTOVI</w:t>
      </w:r>
    </w:p>
    <w:p w14:paraId="7D26F133" w14:textId="77777777" w:rsidR="00D058B8" w:rsidRPr="008045D0" w:rsidRDefault="00D058B8" w:rsidP="00D058B8">
      <w:pPr>
        <w:pStyle w:val="LineBottom"/>
      </w:pPr>
    </w:p>
    <w:p w14:paraId="5A003600" w14:textId="77777777" w:rsidR="00806293" w:rsidRPr="008045D0" w:rsidRDefault="00806293" w:rsidP="00806293">
      <w:pPr>
        <w:pStyle w:val="ATHeading1"/>
      </w:pPr>
      <w:bookmarkStart w:id="0" w:name="TANumber"/>
      <w:r w:rsidRPr="008045D0">
        <w:t>P10_TA(2025)0</w:t>
      </w:r>
      <w:bookmarkEnd w:id="0"/>
      <w:r w:rsidR="00D6670C" w:rsidRPr="008045D0">
        <w:t>107</w:t>
      </w:r>
    </w:p>
    <w:p w14:paraId="55247D3C" w14:textId="77777777" w:rsidR="00806293" w:rsidRPr="008045D0" w:rsidRDefault="00BD38AB" w:rsidP="00806293">
      <w:pPr>
        <w:pStyle w:val="ATHeading2"/>
      </w:pPr>
      <w:bookmarkStart w:id="1" w:name="title"/>
      <w:r w:rsidRPr="008045D0">
        <w:t>Stari izazovi i nove poslovne prakse</w:t>
      </w:r>
      <w:r w:rsidR="00806293" w:rsidRPr="008045D0">
        <w:t xml:space="preserve"> na unutarnjem tržištu </w:t>
      </w:r>
      <w:bookmarkEnd w:id="1"/>
    </w:p>
    <w:p w14:paraId="73E53B77" w14:textId="77777777" w:rsidR="00806293" w:rsidRPr="008045D0" w:rsidRDefault="00806293" w:rsidP="00806293">
      <w:pPr>
        <w:rPr>
          <w:i/>
          <w:vanish/>
        </w:rPr>
      </w:pPr>
      <w:r w:rsidRPr="008045D0">
        <w:rPr>
          <w:i/>
        </w:rPr>
        <w:fldChar w:fldCharType="begin"/>
      </w:r>
      <w:r w:rsidRPr="008045D0">
        <w:rPr>
          <w:i/>
        </w:rPr>
        <w:instrText xml:space="preserve"> TC"(</w:instrText>
      </w:r>
      <w:bookmarkStart w:id="2" w:name="DocNumber"/>
      <w:r w:rsidRPr="008045D0">
        <w:rPr>
          <w:i/>
        </w:rPr>
        <w:instrText>B10-0246/2025</w:instrText>
      </w:r>
      <w:bookmarkEnd w:id="2"/>
      <w:r w:rsidRPr="008045D0">
        <w:rPr>
          <w:i/>
        </w:rPr>
        <w:instrText xml:space="preserve">)"\l3 \n&gt; \* MERGEFORMAT </w:instrText>
      </w:r>
      <w:r w:rsidRPr="008045D0">
        <w:rPr>
          <w:i/>
        </w:rPr>
        <w:fldChar w:fldCharType="end"/>
      </w:r>
    </w:p>
    <w:p w14:paraId="3C2727D0" w14:textId="77777777" w:rsidR="00806293" w:rsidRPr="008045D0" w:rsidRDefault="00806293" w:rsidP="00806293">
      <w:pPr>
        <w:rPr>
          <w:vanish/>
        </w:rPr>
      </w:pPr>
      <w:bookmarkStart w:id="3" w:name="PE"/>
      <w:r w:rsidRPr="008045D0">
        <w:rPr>
          <w:vanish/>
        </w:rPr>
        <w:t>PE772.165</w:t>
      </w:r>
      <w:bookmarkEnd w:id="3"/>
    </w:p>
    <w:p w14:paraId="452F1979" w14:textId="77777777" w:rsidR="00806293" w:rsidRPr="008045D0" w:rsidRDefault="00806293" w:rsidP="00806293">
      <w:pPr>
        <w:pStyle w:val="ATHeading3"/>
      </w:pPr>
      <w:bookmarkStart w:id="4" w:name="Sujet"/>
      <w:r w:rsidRPr="008045D0">
        <w:t>Rezoluc</w:t>
      </w:r>
      <w:r w:rsidR="00BD38AB" w:rsidRPr="008045D0">
        <w:t>ija Europskog parlamenta od 8. svibnja</w:t>
      </w:r>
      <w:r w:rsidRPr="008045D0">
        <w:t xml:space="preserve"> 2025. o starim izazovima i novim poslovnim praksama na unutarnjem tržištu</w:t>
      </w:r>
      <w:bookmarkEnd w:id="4"/>
      <w:r w:rsidRPr="008045D0">
        <w:t xml:space="preserve"> </w:t>
      </w:r>
      <w:bookmarkStart w:id="5" w:name="References"/>
      <w:r w:rsidRPr="008045D0">
        <w:t>(2025/2542(RSP))</w:t>
      </w:r>
      <w:bookmarkEnd w:id="5"/>
    </w:p>
    <w:p w14:paraId="3AF118AA" w14:textId="77777777" w:rsidR="00DD036D" w:rsidRPr="008045D0" w:rsidRDefault="00DD036D" w:rsidP="00DD036D">
      <w:pPr>
        <w:pStyle w:val="EPComma"/>
      </w:pPr>
      <w:bookmarkStart w:id="6" w:name="TextBodyBegin"/>
      <w:bookmarkEnd w:id="6"/>
      <w:r w:rsidRPr="008045D0">
        <w:rPr>
          <w:i/>
          <w:iCs/>
        </w:rPr>
        <w:t>Europski parlament</w:t>
      </w:r>
      <w:r w:rsidRPr="008045D0">
        <w:t>,</w:t>
      </w:r>
    </w:p>
    <w:p w14:paraId="4E4C0634" w14:textId="77777777" w:rsidR="00DD036D" w:rsidRPr="008045D0" w:rsidRDefault="00DD036D" w:rsidP="00DD036D">
      <w:pPr>
        <w:pStyle w:val="NormalHanging12a"/>
      </w:pPr>
      <w:r w:rsidRPr="008045D0">
        <w:t>–</w:t>
      </w:r>
      <w:r w:rsidRPr="008045D0">
        <w:tab/>
        <w:t>uzimajući u obzir svoju Rezoluciju od 18. siječnja 2023. o tridesetoj obljetnici jedinstvenog tržišta: slavljenje postignuća i razmatranje budućeg razvoja</w:t>
      </w:r>
      <w:r w:rsidRPr="008045D0">
        <w:rPr>
          <w:rStyle w:val="FootnoteReference"/>
        </w:rPr>
        <w:footnoteReference w:id="1"/>
      </w:r>
      <w:r w:rsidRPr="008045D0">
        <w:t>,</w:t>
      </w:r>
    </w:p>
    <w:p w14:paraId="5596C790" w14:textId="77777777" w:rsidR="00DD036D" w:rsidRPr="008045D0" w:rsidRDefault="00DD036D" w:rsidP="00DD036D">
      <w:pPr>
        <w:pStyle w:val="NormalHanging12a"/>
      </w:pPr>
      <w:r w:rsidRPr="008045D0">
        <w:t>–</w:t>
      </w:r>
      <w:r w:rsidRPr="008045D0">
        <w:tab/>
        <w:t xml:space="preserve">uzimajući u obzir izvješće Enrica </w:t>
      </w:r>
      <w:proofErr w:type="spellStart"/>
      <w:r w:rsidRPr="008045D0">
        <w:t>Lette</w:t>
      </w:r>
      <w:proofErr w:type="spellEnd"/>
      <w:r w:rsidRPr="008045D0">
        <w:t xml:space="preserve"> od 17. travnja 2024. naslovljeno „Više od tržišta” (</w:t>
      </w:r>
      <w:proofErr w:type="spellStart"/>
      <w:r w:rsidRPr="008045D0">
        <w:t>Lettino</w:t>
      </w:r>
      <w:proofErr w:type="spellEnd"/>
      <w:r w:rsidRPr="008045D0">
        <w:t xml:space="preserve"> izvješće),</w:t>
      </w:r>
    </w:p>
    <w:p w14:paraId="1472D4E1" w14:textId="77777777" w:rsidR="00DD036D" w:rsidRPr="008045D0" w:rsidRDefault="00DD036D" w:rsidP="00DD036D">
      <w:pPr>
        <w:pStyle w:val="NormalHanging12a"/>
      </w:pPr>
      <w:r w:rsidRPr="008045D0">
        <w:t>–</w:t>
      </w:r>
      <w:r w:rsidRPr="008045D0">
        <w:tab/>
        <w:t xml:space="preserve">uzimajući u obzir izvješće Marija </w:t>
      </w:r>
      <w:proofErr w:type="spellStart"/>
      <w:r w:rsidRPr="008045D0">
        <w:t>Draghija</w:t>
      </w:r>
      <w:proofErr w:type="spellEnd"/>
      <w:r w:rsidRPr="008045D0">
        <w:t xml:space="preserve"> od 9. rujna 2024. naslovljeno „Budućnost europske konkurentnosti” (</w:t>
      </w:r>
      <w:proofErr w:type="spellStart"/>
      <w:r w:rsidRPr="008045D0">
        <w:t>Draghijevo</w:t>
      </w:r>
      <w:proofErr w:type="spellEnd"/>
      <w:r w:rsidRPr="008045D0">
        <w:t xml:space="preserve"> izvješće),</w:t>
      </w:r>
    </w:p>
    <w:p w14:paraId="145D6EFE" w14:textId="77777777" w:rsidR="00DD036D" w:rsidRPr="008045D0" w:rsidRDefault="00DD036D" w:rsidP="00DD036D">
      <w:pPr>
        <w:pStyle w:val="NormalHanging12a"/>
      </w:pPr>
      <w:r w:rsidRPr="008045D0">
        <w:t>–</w:t>
      </w:r>
      <w:r w:rsidRPr="008045D0">
        <w:tab/>
        <w:t>uzimajući u obzir komunikaciju Komisije od 29. siječnja 2025. naslovljenu „Godišnje izvješće o jedinstvenom tržištu i konkurentnosti za 2025.” (COM(2025)0026),</w:t>
      </w:r>
    </w:p>
    <w:p w14:paraId="5F77C30A" w14:textId="77777777" w:rsidR="00DD036D" w:rsidRPr="008045D0" w:rsidRDefault="00DD036D" w:rsidP="00DD036D">
      <w:pPr>
        <w:pStyle w:val="NormalHanging12a"/>
      </w:pPr>
      <w:r w:rsidRPr="008045D0">
        <w:t>–</w:t>
      </w:r>
      <w:r w:rsidRPr="008045D0">
        <w:tab/>
        <w:t>uzimajući u obzir komunikaciju Komisije od 29. siječnja 2025. naslovljenu „Kompas konkurentnosti za EU” (COM(2025)0030),</w:t>
      </w:r>
    </w:p>
    <w:p w14:paraId="10823C63" w14:textId="77777777" w:rsidR="00DD036D" w:rsidRPr="008045D0" w:rsidRDefault="00DD036D" w:rsidP="00DD036D">
      <w:pPr>
        <w:pStyle w:val="NormalHanging12a"/>
      </w:pPr>
      <w:r w:rsidRPr="008045D0">
        <w:t>–</w:t>
      </w:r>
      <w:r w:rsidRPr="008045D0">
        <w:tab/>
        <w:t>uzimajući u obzir komunikaciju Komisije od 11. veljače 2025. naslovljenu „Jednostavnija i brža Europa: Komunikacija o provedbi i pojednostavnjenju” (COM(2025)0047),</w:t>
      </w:r>
    </w:p>
    <w:p w14:paraId="6F536F10" w14:textId="77777777" w:rsidR="00DD036D" w:rsidRPr="008045D0" w:rsidRDefault="00DD036D" w:rsidP="00DD036D">
      <w:pPr>
        <w:pStyle w:val="NormalHanging12a"/>
      </w:pPr>
      <w:r w:rsidRPr="008045D0">
        <w:t>–</w:t>
      </w:r>
      <w:r w:rsidRPr="008045D0">
        <w:tab/>
        <w:t>uzimajući u obzir pitanje upućeno Komisiji i Vijeću o starim izazovima i novim poslovnim praksama na unutarnjem tržištu (O-000012/2025 – B10</w:t>
      </w:r>
      <w:r w:rsidRPr="008045D0">
        <w:noBreakHyphen/>
        <w:t>0264/2025),</w:t>
      </w:r>
    </w:p>
    <w:p w14:paraId="6ED8B57E" w14:textId="77777777" w:rsidR="00DD036D" w:rsidRPr="008045D0" w:rsidRDefault="00DD036D" w:rsidP="00DD036D">
      <w:pPr>
        <w:pStyle w:val="NormalHanging12a"/>
      </w:pPr>
      <w:r w:rsidRPr="008045D0">
        <w:t>–</w:t>
      </w:r>
      <w:r w:rsidRPr="008045D0">
        <w:tab/>
        <w:t>uzimajući u obzir članak 142. stavak 5. i članak 136. stavak 2. Poslovnika,</w:t>
      </w:r>
    </w:p>
    <w:p w14:paraId="0AB78635" w14:textId="77777777" w:rsidR="00DD036D" w:rsidRPr="008045D0" w:rsidRDefault="00DD036D" w:rsidP="00DD036D">
      <w:pPr>
        <w:pStyle w:val="NormalHanging12a"/>
      </w:pPr>
      <w:r w:rsidRPr="008045D0">
        <w:t>A.</w:t>
      </w:r>
      <w:r w:rsidRPr="008045D0">
        <w:tab/>
        <w:t xml:space="preserve">budući da je sposobnost Europske unije da se natječe i napreduje u globalnom gospodarstvu ključna, posebno u kontekstu aktualnih geopolitičkih izazova te klimatske krize i drugih ekoloških kriza; budući da se njezina trenutačna, srednjoročna i dugoročna konkurentnost oslanja na potpuno integrirano i učinkovito jedinstveno tržište koje europskim poduzećima omogućuje inovacije i napredak te daje prednost smanjenju </w:t>
      </w:r>
      <w:r w:rsidRPr="008045D0">
        <w:lastRenderedPageBreak/>
        <w:t>administrativnog opterećenja;</w:t>
      </w:r>
    </w:p>
    <w:p w14:paraId="3DA4543B" w14:textId="77777777" w:rsidR="00DD036D" w:rsidRPr="008045D0" w:rsidRDefault="00DD036D" w:rsidP="00DD036D">
      <w:pPr>
        <w:pStyle w:val="NormalHanging12a"/>
      </w:pPr>
      <w:r w:rsidRPr="008045D0">
        <w:t>B.</w:t>
      </w:r>
      <w:r w:rsidRPr="008045D0">
        <w:tab/>
        <w:t>budući da jedinstveno tržište, koje obuhvaća gotovo 450 milijuna građana i 23 milijuna poduzeća, stvara bruto domaći proizvod (BDP) od 17 bilijuna EUR, i time pozicionira EU među tri najveća svjetska gospodarstva te doprinosi otprilike jednoj šestini svjetske gospodarske proizvodnje;</w:t>
      </w:r>
    </w:p>
    <w:p w14:paraId="64401F04" w14:textId="77777777" w:rsidR="00DD036D" w:rsidRPr="008045D0" w:rsidRDefault="00DD036D" w:rsidP="00DD036D">
      <w:pPr>
        <w:pStyle w:val="NormalHanging12a"/>
      </w:pPr>
      <w:r w:rsidRPr="008045D0">
        <w:t>C.</w:t>
      </w:r>
      <w:r w:rsidRPr="008045D0">
        <w:tab/>
        <w:t xml:space="preserve">budući da je </w:t>
      </w:r>
      <w:proofErr w:type="spellStart"/>
      <w:r w:rsidRPr="008045D0">
        <w:t>Draghijevo</w:t>
      </w:r>
      <w:proofErr w:type="spellEnd"/>
      <w:r w:rsidRPr="008045D0">
        <w:t xml:space="preserve"> izvješće pokazalo da su troškovi usklađivanja koji proizlaze iz različitih zakonodavnih akata i dalje vrlo visoki za europska poduzeća, čime se ometa europski inovacijski kapacitet;</w:t>
      </w:r>
    </w:p>
    <w:p w14:paraId="0AF2D684" w14:textId="77777777" w:rsidR="00DD036D" w:rsidRPr="008045D0" w:rsidRDefault="00DD036D" w:rsidP="00DD036D">
      <w:pPr>
        <w:pStyle w:val="NormalHanging12a"/>
      </w:pPr>
      <w:r w:rsidRPr="008045D0">
        <w:t>D.</w:t>
      </w:r>
      <w:r w:rsidRPr="008045D0">
        <w:tab/>
        <w:t>budući da je i dalje ključno poboljšati funkcioniranje jedinstvenog tržišta rješavanjem problema trajne rascjepkanosti zajedničkim, usklađenim politikama EU-a, učinkovitijom provedbom i primjenom te pojednostavljenjem pravila EU-a; budući da smanjenje administrativnog opterećenja i troškova, posebno za mala i srednja poduzeća (MSP-ovi), može pomoći u poticanju inovacija i potpori europskim poduzećima; budući da oslobađanje punog potencijala jedinstvenog tržišta iziskuje prevladavanje trajnih prepreka slobodnom kretanju robe i usluga;</w:t>
      </w:r>
    </w:p>
    <w:p w14:paraId="211C354F" w14:textId="77777777" w:rsidR="00DD036D" w:rsidRPr="008045D0" w:rsidRDefault="00DD036D" w:rsidP="00DD036D">
      <w:pPr>
        <w:pStyle w:val="NormalHanging12a"/>
      </w:pPr>
      <w:r w:rsidRPr="008045D0">
        <w:t>E.</w:t>
      </w:r>
      <w:r w:rsidRPr="008045D0">
        <w:tab/>
        <w:t>budući da je naglo širenje digitalnih platformi i e-trgovine dovelo do nove tržišne dinamike i budući da razvoj trendova u globalnoj e-trgovini stvara dodatan pritisak na carinske kontrole, nadzor tržišta i tijela za zaštitu potrošača;</w:t>
      </w:r>
    </w:p>
    <w:p w14:paraId="5235E9BF" w14:textId="77777777" w:rsidR="00DD036D" w:rsidRPr="008045D0" w:rsidRDefault="00DD036D" w:rsidP="00DD036D">
      <w:pPr>
        <w:pStyle w:val="NormalHanging12a"/>
      </w:pPr>
      <w:r w:rsidRPr="008045D0">
        <w:t>F.</w:t>
      </w:r>
      <w:r w:rsidRPr="008045D0">
        <w:tab/>
        <w:t>budući da geopolitičke promjene i globalne gospodarske preobrazbe mijenjaju lance opskrbe, zbog čega EU mora prilagoditi svoje politike jedinstvenog tržišta; budući da je EU postavio najviše standarde sigurnosti proizvoda i zaštite potrošača, na internetu i izvan njega;</w:t>
      </w:r>
    </w:p>
    <w:p w14:paraId="79551A40" w14:textId="77777777" w:rsidR="00DD036D" w:rsidRPr="008045D0" w:rsidRDefault="00DD036D" w:rsidP="00DD036D">
      <w:pPr>
        <w:pStyle w:val="NormalHanging12a"/>
      </w:pPr>
      <w:r w:rsidRPr="008045D0">
        <w:t>G.</w:t>
      </w:r>
      <w:r w:rsidRPr="008045D0">
        <w:tab/>
        <w:t>budući da je pozornost skrenuta na sve veći broj prijavljenih slučajeva diljem EU-a u kojima se nude roba i usluge smanjene količine ili kvalitete, unatoč stabilnim ili rastućim cijenama;</w:t>
      </w:r>
    </w:p>
    <w:p w14:paraId="50DD0F99" w14:textId="77777777" w:rsidR="00DD036D" w:rsidRPr="008045D0" w:rsidRDefault="00DD036D" w:rsidP="00DD036D">
      <w:pPr>
        <w:pStyle w:val="NormalHanging12a"/>
        <w:rPr>
          <w:b/>
          <w:i/>
          <w:iCs/>
        </w:rPr>
      </w:pPr>
      <w:r w:rsidRPr="008045D0">
        <w:rPr>
          <w:b/>
          <w:i/>
        </w:rPr>
        <w:t>Stari i trajni izazovi</w:t>
      </w:r>
    </w:p>
    <w:p w14:paraId="4BAC2E48" w14:textId="77777777" w:rsidR="00DD036D" w:rsidRPr="008045D0" w:rsidRDefault="00DD036D" w:rsidP="00DD036D">
      <w:pPr>
        <w:pStyle w:val="NormalHanging12a"/>
      </w:pPr>
      <w:r w:rsidRPr="008045D0">
        <w:t>1.</w:t>
      </w:r>
      <w:r w:rsidRPr="008045D0">
        <w:tab/>
        <w:t>ponavlja da je jedinstveno tržište kamen temeljac europske gospodarske integracije, koji omogućuje slobodno kretanje robe, usluga, kapitala i ljudi; naglašava, međutim, da postoje dugotrajni i novi izazovi koji iziskuju ambiciozne reforme bez nanošenja štete europskoj konkurentnosti ili nametanja nepotrebnih administrativnih opterećenja poduzećima; poziva Komisiju i države članice da ubrzaju napore za provedbu tih reformi i uklone preostale neopravdane prepreke slobodnom kretanju robe i usluga, osiguravajući pritom visoku razinu zaštite potrošača;</w:t>
      </w:r>
    </w:p>
    <w:p w14:paraId="277867DC" w14:textId="77777777" w:rsidR="00DD036D" w:rsidRPr="008045D0" w:rsidRDefault="00DD036D" w:rsidP="00DD036D">
      <w:pPr>
        <w:pStyle w:val="NormalHanging12a"/>
      </w:pPr>
      <w:r w:rsidRPr="008045D0">
        <w:t>2.</w:t>
      </w:r>
      <w:r w:rsidRPr="008045D0">
        <w:tab/>
        <w:t xml:space="preserve">poziva Komisiju i države članice da zadrže snažnu zaštitu potrošača te da istodobno predvide pravila tržišnog natjecanja koja su pogodna za inovacije, proporcionalna i otporna na buduće promjene; naglašava da je potrebno zajamčiti pravnu sigurnost i dosljednost te smanjiti regulatornu složenost i fragmentaciju koje bi mogle nerazmjerno utjecati na MSP-ove te </w:t>
      </w:r>
      <w:r w:rsidRPr="008045D0">
        <w:rPr>
          <w:i/>
          <w:iCs/>
        </w:rPr>
        <w:t>start-</w:t>
      </w:r>
      <w:proofErr w:type="spellStart"/>
      <w:r w:rsidRPr="008045D0">
        <w:rPr>
          <w:i/>
          <w:iCs/>
        </w:rPr>
        <w:t>up</w:t>
      </w:r>
      <w:proofErr w:type="spellEnd"/>
      <w:r w:rsidRPr="008045D0">
        <w:t xml:space="preserve"> i </w:t>
      </w:r>
      <w:proofErr w:type="spellStart"/>
      <w:r w:rsidRPr="008045D0">
        <w:rPr>
          <w:i/>
          <w:iCs/>
        </w:rPr>
        <w:t>scale-up</w:t>
      </w:r>
      <w:proofErr w:type="spellEnd"/>
      <w:r w:rsidRPr="008045D0">
        <w:t xml:space="preserve"> poduzeća;</w:t>
      </w:r>
    </w:p>
    <w:p w14:paraId="51352562" w14:textId="77777777" w:rsidR="00D6670C" w:rsidRPr="008045D0" w:rsidRDefault="008045D0" w:rsidP="00DD036D">
      <w:pPr>
        <w:pStyle w:val="NormalHanging12a"/>
      </w:pPr>
      <w:r w:rsidRPr="008045D0">
        <w:t>3</w:t>
      </w:r>
      <w:r w:rsidR="00D6670C" w:rsidRPr="008045D0">
        <w:t>.</w:t>
      </w:r>
      <w:r w:rsidR="00D6670C" w:rsidRPr="008045D0">
        <w:tab/>
        <w:t xml:space="preserve">ističe da su postojeće prepreke </w:t>
      </w:r>
      <w:r w:rsidR="000C5BDD">
        <w:t>i propisi</w:t>
      </w:r>
      <w:r w:rsidR="00D6670C" w:rsidRPr="008045D0">
        <w:t xml:space="preserve"> ograničili razvoj jedinstvenog tržišta, kako je navedeno u </w:t>
      </w:r>
      <w:proofErr w:type="spellStart"/>
      <w:r w:rsidR="00D6670C" w:rsidRPr="008045D0">
        <w:t>Draghijevu</w:t>
      </w:r>
      <w:proofErr w:type="spellEnd"/>
      <w:r w:rsidR="00D6670C" w:rsidRPr="008045D0">
        <w:t xml:space="preserve"> izvješću; poziva na prelazak na regulatorni pristup kojim se poduzeća osnažuju za rast, inovacije i vodeću ulogu na međunarodnoj razini, čime bi se ponovno uspostavilo jedinstveno tržište kao istinski pokretač rasta i konkurentnosti;</w:t>
      </w:r>
    </w:p>
    <w:p w14:paraId="7EE7FEDC" w14:textId="77777777" w:rsidR="00DD036D" w:rsidRPr="008045D0" w:rsidRDefault="008045D0" w:rsidP="00DD036D">
      <w:pPr>
        <w:pStyle w:val="NormalHanging12a"/>
      </w:pPr>
      <w:r w:rsidRPr="008045D0">
        <w:lastRenderedPageBreak/>
        <w:t>4</w:t>
      </w:r>
      <w:r w:rsidR="00DD036D" w:rsidRPr="008045D0">
        <w:t>.</w:t>
      </w:r>
      <w:r w:rsidR="00DD036D" w:rsidRPr="008045D0">
        <w:tab/>
        <w:t>poziva Komisiju da se pobrine za to da se buduće zakonodavne inicijative dosljedno vode strateškim prioritetima navedenima u njezinoj komunikacijskoj strategiji i strategiji konkurentnosti;</w:t>
      </w:r>
    </w:p>
    <w:p w14:paraId="25292B18" w14:textId="77777777" w:rsidR="00DD036D" w:rsidRPr="008045D0" w:rsidRDefault="008045D0" w:rsidP="00DD036D">
      <w:pPr>
        <w:pStyle w:val="NormalHanging12a"/>
      </w:pPr>
      <w:r w:rsidRPr="008045D0">
        <w:t>5</w:t>
      </w:r>
      <w:r w:rsidR="00DD036D" w:rsidRPr="008045D0">
        <w:t>.</w:t>
      </w:r>
      <w:r w:rsidR="00DD036D" w:rsidRPr="008045D0">
        <w:tab/>
        <w:t xml:space="preserve">naglašava da, kao što pokazuju </w:t>
      </w:r>
      <w:proofErr w:type="spellStart"/>
      <w:r w:rsidR="00DD036D" w:rsidRPr="008045D0">
        <w:t>Lettino</w:t>
      </w:r>
      <w:proofErr w:type="spellEnd"/>
      <w:r w:rsidR="00DD036D" w:rsidRPr="008045D0">
        <w:t xml:space="preserve"> i </w:t>
      </w:r>
      <w:proofErr w:type="spellStart"/>
      <w:r w:rsidR="00DD036D" w:rsidRPr="008045D0">
        <w:t>Draghijevo</w:t>
      </w:r>
      <w:proofErr w:type="spellEnd"/>
      <w:r w:rsidR="00DD036D" w:rsidRPr="008045D0">
        <w:t xml:space="preserve"> izvješće, u uslužnom sektoru i dalje postoji neiskorišteni potencijal; poziva na daljnje djelovanje u tom sektoru kako bi se uklonile znatne prepreke koje i dalje postoje, počevši od postavljanja ambicioznih ciljeva u predstojećoj strategiji jedinstvenog tržišta; napominje da uslužni sektor čini tri četvrtine BDP-a EU-a, obuhvaća dvije trećine radnih mjesta i stvara devet od deset novih radnih mjesta u gospodarstvu EU-a; međutim, također napominje da je uslužni sektor i dalje najslabije razvijen segment jedinstvenog tržišta EU-a;</w:t>
      </w:r>
    </w:p>
    <w:p w14:paraId="37670439" w14:textId="77777777" w:rsidR="00DD036D" w:rsidRPr="008045D0" w:rsidRDefault="008045D0" w:rsidP="00DD036D">
      <w:pPr>
        <w:pStyle w:val="NormalHanging12a"/>
      </w:pPr>
      <w:r w:rsidRPr="008045D0">
        <w:t>6</w:t>
      </w:r>
      <w:r w:rsidR="00DD036D" w:rsidRPr="008045D0">
        <w:t>.</w:t>
      </w:r>
      <w:r w:rsidR="00DD036D" w:rsidRPr="008045D0">
        <w:tab/>
        <w:t>pozdravlja Prijedlog uredbe o javnom sučelju povezanom s Informacijskim sustavom unutarnjeg tržišta za izjavu o upućivanju radnika i o izmjeni Uredbe (EU) br. 1024/2012 (</w:t>
      </w:r>
      <w:r w:rsidR="00BD38AB" w:rsidRPr="008045D0">
        <w:rPr>
          <w:shd w:val="clear" w:color="auto" w:fill="FFFFFF"/>
        </w:rPr>
        <w:t>COM(</w:t>
      </w:r>
      <w:r w:rsidR="00DD036D" w:rsidRPr="008045D0">
        <w:rPr>
          <w:shd w:val="clear" w:color="auto" w:fill="FFFFFF"/>
        </w:rPr>
        <w:t>2024</w:t>
      </w:r>
      <w:r w:rsidR="00BD38AB" w:rsidRPr="008045D0">
        <w:rPr>
          <w:shd w:val="clear" w:color="auto" w:fill="FFFFFF"/>
        </w:rPr>
        <w:t>)0</w:t>
      </w:r>
      <w:r w:rsidR="00DD036D" w:rsidRPr="008045D0">
        <w:rPr>
          <w:shd w:val="clear" w:color="auto" w:fill="FFFFFF"/>
        </w:rPr>
        <w:t>531</w:t>
      </w:r>
      <w:r w:rsidR="00DD036D" w:rsidRPr="008045D0">
        <w:t>), koji bi trebao dovesti do pojednostavljenja i ojačane provedbe; također napominje da bi digitalizacija mogla znatno smanjiti administrativno opterećenje za prekogranične usluge i osigurati bolji pristup za poduzeća i potrošače; u tom pogledu poziva na uspostavu jedinstvenog portala za deklaracije i digitalizaciju obrazaca A1 za prekogranične usluge;</w:t>
      </w:r>
    </w:p>
    <w:p w14:paraId="0619C3A5" w14:textId="77777777" w:rsidR="00DD036D" w:rsidRPr="008045D0" w:rsidRDefault="008045D0" w:rsidP="00DD036D">
      <w:pPr>
        <w:pStyle w:val="NormalHanging12a"/>
      </w:pPr>
      <w:r w:rsidRPr="008045D0">
        <w:t>7</w:t>
      </w:r>
      <w:r w:rsidR="00DD036D" w:rsidRPr="008045D0">
        <w:t>.</w:t>
      </w:r>
      <w:r w:rsidR="00DD036D" w:rsidRPr="008045D0">
        <w:tab/>
        <w:t>naglašava važnost učinkovitog priznavanja stručnih kvalifikacija i uklanjanja neopravdanih prepreka slobodnom kretanju stručnjaka kako bi profesionalne usluge EU-a u narednim desetljećima postale globalno konkurentne; potiče Komisiju da i dalje pomno prati postupke zbog povrede prava u slučajevima u kojima države članice ne poštuju zakonodavstvo EU-a o priznavanju kvalifikacija;</w:t>
      </w:r>
    </w:p>
    <w:p w14:paraId="2573489D" w14:textId="77777777" w:rsidR="00DD036D" w:rsidRPr="008045D0" w:rsidRDefault="008045D0" w:rsidP="00DD036D">
      <w:pPr>
        <w:pStyle w:val="NormalHanging12a"/>
      </w:pPr>
      <w:r w:rsidRPr="008045D0">
        <w:t>8</w:t>
      </w:r>
      <w:r w:rsidR="00DD036D" w:rsidRPr="008045D0">
        <w:t>.</w:t>
      </w:r>
      <w:r w:rsidR="00DD036D" w:rsidRPr="008045D0">
        <w:tab/>
        <w:t>naglašava da bi se pravilima jedinstvenog tržišta trebao zaštititi pristup javnim uslugama i očuvati prava potrošača, kao i drugi prevladavajući razlozi od javnog interesa; dodaje da bi svaka procjena ograničenja na jedinstvenom tržištu usluga trebala uključivati kvalitativne kriterije;</w:t>
      </w:r>
    </w:p>
    <w:p w14:paraId="52B5874D" w14:textId="77777777" w:rsidR="00DD036D" w:rsidRPr="008045D0" w:rsidRDefault="008045D0" w:rsidP="00DD036D">
      <w:pPr>
        <w:pStyle w:val="NormalHanging12a"/>
      </w:pPr>
      <w:r w:rsidRPr="008045D0">
        <w:t>9</w:t>
      </w:r>
      <w:r w:rsidR="00DD036D" w:rsidRPr="008045D0">
        <w:t>.</w:t>
      </w:r>
      <w:r w:rsidR="00DD036D" w:rsidRPr="008045D0">
        <w:tab/>
        <w:t>napominje ulogu koju javna nabava EU-a može imati u prevladavanju prepreka ulasku na tržište, podupiranju održivih i otpornih industrijskih ekosustava, visokokvalitetnim radnim mjestima i stvaranju vrijednosti u EU-u;</w:t>
      </w:r>
    </w:p>
    <w:p w14:paraId="19146DC4" w14:textId="77777777" w:rsidR="00DD036D" w:rsidRPr="008045D0" w:rsidRDefault="008045D0" w:rsidP="00DD036D">
      <w:pPr>
        <w:pStyle w:val="NormalHanging12a"/>
      </w:pPr>
      <w:r w:rsidRPr="008045D0">
        <w:t>10</w:t>
      </w:r>
      <w:r w:rsidR="00DD036D" w:rsidRPr="008045D0">
        <w:t>.</w:t>
      </w:r>
      <w:r w:rsidR="00DD036D" w:rsidRPr="008045D0">
        <w:tab/>
        <w:t>potvrđuje da je novi zakonodavni okvir pridonio dosljednosti zakonodavstva EU-a o proizvodima i da su od njegova donošenja industrijski sektor, lanci opskrbe i proizvodi doživjeli važne preobrazbe u svjetlu digitalne i zelene tranzicije, ali i promjene u dinamici tržišta; napominje da su u evaluaciji novog zakonodavnog okvira iz 2022. utvrđeni ključni izazovi, kao što su potencijalni inozemni utjecaj, nezakonite prakse, nedostaci u nošenju s digitalizacijom i kružnim gospodarstvom te moguća ažuriranja obveza i definicija za određene gospodarske subjekte kako bi se uzele u obzir nove okolnosti na tržištu;</w:t>
      </w:r>
    </w:p>
    <w:p w14:paraId="3FC3B50C" w14:textId="77777777" w:rsidR="00DD036D" w:rsidRPr="008045D0" w:rsidRDefault="008045D0" w:rsidP="00DD036D">
      <w:pPr>
        <w:pStyle w:val="NormalHanging12a"/>
      </w:pPr>
      <w:r w:rsidRPr="008045D0">
        <w:t>11</w:t>
      </w:r>
      <w:r w:rsidR="00DD036D" w:rsidRPr="008045D0">
        <w:t>.</w:t>
      </w:r>
      <w:r w:rsidR="00DD036D" w:rsidRPr="008045D0">
        <w:tab/>
        <w:t>naglašava da su rješavanje tih pitanja i osiguravanje otpornosti novog zakonodavnog okvira na buduće promjene ključni za osiguravanje usklađenosti, smanjenje troškova i osiguravanje slobodnog kretanja robe; stoga poziva na ažuriranje novog zakonodavnog okvira kako bi se pojednostavila pravila o proizvodima, promicala digitalizacija i pojednostavili postupci usklađivanja i nadzora tržišta; smatra da bi se novim zakonodavnim okvirom trebala promicati upotreba digitalnih putovnica za proizvode kao sredstva za dokazivanje sukladnosti proizvoda i usklađenosti sa zahtjevima u pogledu informacija;</w:t>
      </w:r>
    </w:p>
    <w:p w14:paraId="520553B7" w14:textId="77777777" w:rsidR="00DD036D" w:rsidRPr="008045D0" w:rsidRDefault="008045D0" w:rsidP="00DD036D">
      <w:pPr>
        <w:pStyle w:val="NormalHanging12a"/>
      </w:pPr>
      <w:r w:rsidRPr="008045D0">
        <w:lastRenderedPageBreak/>
        <w:t>12</w:t>
      </w:r>
      <w:r w:rsidR="00DD036D" w:rsidRPr="008045D0">
        <w:t>.</w:t>
      </w:r>
      <w:r w:rsidR="00DD036D" w:rsidRPr="008045D0">
        <w:tab/>
        <w:t>poziva Komisiju i države članice da pojednostave pravila EU-a i olakšaju njihovu provedbu te da znatno smanje administrativno opterećenje, posebno za MSP-ove, koji imaju ključnu ulogu u podržavanju lokalnih zajednica i gospodarstava; naglašava važnost jamčenja pravne sigurnosti i dosljednosti za poduzeća, kao i predvidljivosti za dugoročna ulaganja, koje su ključne za poticanje konkurentnosti, inovacija i otpornosti te za brzo i smisleno poboljšanje za potrošače i poduzeća; nadalje, poziva države članice da spriječe poduzimanje mjera kojima bi se mogli ugroziti jednaki uvjeti na unutarnjem tržištu;</w:t>
      </w:r>
    </w:p>
    <w:p w14:paraId="316982D3" w14:textId="77777777" w:rsidR="00D6670C" w:rsidRPr="008045D0" w:rsidRDefault="008045D0" w:rsidP="00DD036D">
      <w:pPr>
        <w:pStyle w:val="NormalHanging12a"/>
      </w:pPr>
      <w:r w:rsidRPr="008045D0">
        <w:t>13</w:t>
      </w:r>
      <w:r w:rsidR="00D6670C" w:rsidRPr="008045D0">
        <w:t>.</w:t>
      </w:r>
      <w:r w:rsidR="00D6670C" w:rsidRPr="008045D0">
        <w:tab/>
        <w:t>poziva Komisiju da olakša aktivnosti MSP-ova i malih poduzeća srednje tržišne kapitalizacije na jedinstvenom tržištu, posebno s namjenskim skupnim pojednostavljenjem;</w:t>
      </w:r>
    </w:p>
    <w:p w14:paraId="37CCAF58" w14:textId="77777777" w:rsidR="00DD036D" w:rsidRPr="008045D0" w:rsidRDefault="008045D0" w:rsidP="00DD036D">
      <w:pPr>
        <w:pStyle w:val="NormalHanging12a"/>
      </w:pPr>
      <w:r w:rsidRPr="008045D0">
        <w:t>14</w:t>
      </w:r>
      <w:r w:rsidR="00DD036D" w:rsidRPr="008045D0">
        <w:t>.</w:t>
      </w:r>
      <w:r w:rsidR="00DD036D" w:rsidRPr="008045D0">
        <w:tab/>
        <w:t>uviđa da nedosljedna i fragmentirana provedba zakona EU-a u državama članicama i dalje narušava tržišno natjecanje i ugrožava cjelovitost jedinstvenog tržišta; dodaje da glavnu odgovornost za provedbu pravila EU-a snose države članice; poziva Komisiju da u potpunosti iskoristi svoje provedbene ovlasti; poziva na poboljšanje mehanizama praćenja i provedbe na razini EU-a, kao što su usklađena pravila o minimalnim razinama provjera, usklađene metodologije za provedbu tih provjera i zajedničkih inspekcija, kako bi se osigurala ujednačena primjena prava EU-a i, po potrebi, brza pravna zaštita za potrošače;</w:t>
      </w:r>
    </w:p>
    <w:p w14:paraId="426FA2E1" w14:textId="77777777" w:rsidR="00DD036D" w:rsidRPr="008045D0" w:rsidRDefault="008045D0" w:rsidP="00DD036D">
      <w:pPr>
        <w:pStyle w:val="NormalHanging12a"/>
      </w:pPr>
      <w:r w:rsidRPr="008045D0">
        <w:t>15</w:t>
      </w:r>
      <w:r w:rsidR="00DD036D" w:rsidRPr="008045D0">
        <w:t>.</w:t>
      </w:r>
      <w:r w:rsidR="00DD036D" w:rsidRPr="008045D0">
        <w:tab/>
        <w:t>naglašava važnost održavanja konkurentnog i dinamičnog gospodarskog okruženja zaštitom prava potrošača i provedbom pravila o digitalnom tržišnom natjecanju kako bi se riješio problem nepoštenih poslovnih praksi kojima se narušavaju tržišni uvjeti; nadalje, poziva države članice da povećaju kapacitete tijela za nadzor tržišta i carinskih tijela kako bi se osigurala učinkovita provedba pravila jedinstvenog tržišta, posebno u pogledu e-trgovine i uvoza iz trećih zemalja;</w:t>
      </w:r>
    </w:p>
    <w:p w14:paraId="4FC85865" w14:textId="77777777" w:rsidR="00DD036D" w:rsidRPr="008045D0" w:rsidRDefault="008045D0" w:rsidP="00DD036D">
      <w:pPr>
        <w:pStyle w:val="NormalHanging12a"/>
      </w:pPr>
      <w:r w:rsidRPr="008045D0">
        <w:t>16</w:t>
      </w:r>
      <w:r w:rsidR="00DD036D" w:rsidRPr="008045D0">
        <w:t>.</w:t>
      </w:r>
      <w:r w:rsidR="00DD036D" w:rsidRPr="008045D0">
        <w:tab/>
        <w:t>podsjeća da teritorijalna ograničenja opskrbe u segmentima maloprodaje i veleprodaje fragmentiraju jedinstveno tržište, ograničavaju izbor potrošača i doprinose znatnim razlikama u cijenama diljem Unije, što posebno utječe na cijene osnovne potrošačke robe; ističe da, iako se pravom tržišnog natjecanja djelotvorno kažnjavaju neke od tih praksi, mnoge od njih nisu obuhvaćene njegovim područjem primjene; stoga poziva Komisiju da predloži mjere za rješavanje tog pitanja, uključujući snažniju provedbu sporazuma o distribuciji kojima se narušava tržišno natjecanje, kako bi se zaštitilo pošteno tržišno natjecanje, čime bi se osigurala cjelovitost jedinstvenog tržišta;</w:t>
      </w:r>
    </w:p>
    <w:p w14:paraId="53F3FF8B" w14:textId="77777777" w:rsidR="00DD036D" w:rsidRPr="008045D0" w:rsidRDefault="008045D0" w:rsidP="00DD036D">
      <w:pPr>
        <w:pStyle w:val="NormalHanging12a"/>
      </w:pPr>
      <w:r w:rsidRPr="008045D0">
        <w:t>17</w:t>
      </w:r>
      <w:r w:rsidR="00DD036D" w:rsidRPr="008045D0">
        <w:t>.</w:t>
      </w:r>
      <w:r w:rsidR="00DD036D" w:rsidRPr="008045D0">
        <w:tab/>
        <w:t>poziva Komisiju da istraži uzroke diferenciranih razina inflacije osnovne robe i povećanja potrošačkih cijena uočenih u nekim državama članicama EU-a;</w:t>
      </w:r>
    </w:p>
    <w:p w14:paraId="529F6411" w14:textId="77777777" w:rsidR="00DD036D" w:rsidRPr="008045D0" w:rsidRDefault="008045D0" w:rsidP="00DD036D">
      <w:pPr>
        <w:pStyle w:val="NormalHanging12a"/>
      </w:pPr>
      <w:r w:rsidRPr="008045D0">
        <w:t>18</w:t>
      </w:r>
      <w:r w:rsidR="00DD036D" w:rsidRPr="008045D0">
        <w:t>.</w:t>
      </w:r>
      <w:r w:rsidR="00DD036D" w:rsidRPr="008045D0">
        <w:tab/>
        <w:t>smatra da je jedinstveno tržište ključan alat u kriznim vremenima ako države članice djeluju usklađeno; smatra da će nedavno doneseni Akt o izvanrednim okolnostima i otpornosti na unutarnjem tržištu</w:t>
      </w:r>
      <w:r w:rsidR="00DD036D" w:rsidRPr="008045D0">
        <w:rPr>
          <w:rStyle w:val="FootnoteReference"/>
        </w:rPr>
        <w:footnoteReference w:id="2"/>
      </w:r>
      <w:r w:rsidR="00DD036D" w:rsidRPr="008045D0">
        <w:t xml:space="preserve"> biti ključan za osiguravanje usklađenosti kako bi se spriječile nestašice i osiguralo neometano funkcioniranje jedinstvenog tržišta, uključujući slobodno kretanje osnovne robe i usluga diljem EU-a;</w:t>
      </w:r>
    </w:p>
    <w:p w14:paraId="47CEC195" w14:textId="77777777" w:rsidR="00DD036D" w:rsidRPr="008045D0" w:rsidRDefault="008045D0" w:rsidP="00DD036D">
      <w:pPr>
        <w:pStyle w:val="NormalHanging12a"/>
      </w:pPr>
      <w:r w:rsidRPr="008045D0">
        <w:lastRenderedPageBreak/>
        <w:t>19</w:t>
      </w:r>
      <w:r w:rsidR="00DD036D" w:rsidRPr="008045D0">
        <w:t>.</w:t>
      </w:r>
      <w:r w:rsidR="00DD036D" w:rsidRPr="008045D0">
        <w:tab/>
        <w:t>poziva Komisiju da osnaži potrošače da lako ostvaruju svoja prava putnika, i to osnivanjem nacionalnih provedbenih tijela kojima bi trebalo dodijeliti usklađene istražne i provedbene ovlasti te koja bi trebala moći učinkovito obrađivati pojedinačne pritužbe i povezane novčane kazne;</w:t>
      </w:r>
    </w:p>
    <w:p w14:paraId="61E55010" w14:textId="77777777" w:rsidR="00DD036D" w:rsidRPr="008045D0" w:rsidRDefault="008045D0" w:rsidP="00DD036D">
      <w:pPr>
        <w:pStyle w:val="NormalHanging12a"/>
      </w:pPr>
      <w:r w:rsidRPr="008045D0">
        <w:t>20</w:t>
      </w:r>
      <w:r w:rsidR="00DD036D" w:rsidRPr="008045D0">
        <w:t>.</w:t>
      </w:r>
      <w:r w:rsidR="00DD036D" w:rsidRPr="008045D0">
        <w:tab/>
        <w:t>ističe da su mjere e-trgovine usmjerene na geografsko blokiranje, posebno Uredba o geografskom blokiranju</w:t>
      </w:r>
      <w:r w:rsidR="00DD036D" w:rsidRPr="008045D0">
        <w:rPr>
          <w:rStyle w:val="FootnoteReference"/>
        </w:rPr>
        <w:footnoteReference w:id="3"/>
      </w:r>
      <w:r w:rsidR="00DD036D" w:rsidRPr="008045D0">
        <w:t>, bile uspješne u stvaranju okvira za manje rascjepkano jedinstveno tržište i povećanju izbora potrošača za kupnju na internetu; sa zabrinutošću konstatira da je provedba Uredbe neprimjerena;</w:t>
      </w:r>
    </w:p>
    <w:p w14:paraId="353D54F9" w14:textId="77777777" w:rsidR="00DD036D" w:rsidRPr="008045D0" w:rsidRDefault="008045D0" w:rsidP="00DD036D">
      <w:pPr>
        <w:pStyle w:val="NormalHanging12a"/>
      </w:pPr>
      <w:r w:rsidRPr="008045D0">
        <w:t>21</w:t>
      </w:r>
      <w:r w:rsidR="00DD036D" w:rsidRPr="008045D0">
        <w:t>.</w:t>
      </w:r>
      <w:r w:rsidR="00DD036D" w:rsidRPr="008045D0">
        <w:tab/>
        <w:t>konstatira da će se Europski akt o pristupačnosti</w:t>
      </w:r>
      <w:r w:rsidR="00DD036D" w:rsidRPr="008045D0">
        <w:rPr>
          <w:rStyle w:val="FootnoteReference"/>
        </w:rPr>
        <w:footnoteReference w:id="4"/>
      </w:r>
      <w:r w:rsidR="00DD036D" w:rsidRPr="008045D0">
        <w:t xml:space="preserve"> početi primjenjivati u svim državama članicama od 28. lipnja 2025.; naglašava važnost njegove potpune i učinkovite provedbe u državama članicama kako bi se osiguralo usklađivanje zahtjeva za pristupačnost proizvoda i usluga, čime bi se zajamčila njihova dostupnost osobama s invaliditetom na cijelom unutarnjem tržištu EU-a;</w:t>
      </w:r>
    </w:p>
    <w:p w14:paraId="0CF1A229" w14:textId="77777777" w:rsidR="00DD036D" w:rsidRPr="008045D0" w:rsidRDefault="00DD036D" w:rsidP="00DD036D">
      <w:pPr>
        <w:pStyle w:val="NormalHanging12a"/>
        <w:rPr>
          <w:b/>
          <w:i/>
          <w:iCs/>
        </w:rPr>
      </w:pPr>
      <w:r w:rsidRPr="008045D0">
        <w:rPr>
          <w:b/>
          <w:i/>
        </w:rPr>
        <w:t>Nove poslovne prakse</w:t>
      </w:r>
    </w:p>
    <w:p w14:paraId="2CE6C03C" w14:textId="77777777" w:rsidR="00DD036D" w:rsidRPr="008045D0" w:rsidRDefault="008045D0" w:rsidP="00DD036D">
      <w:pPr>
        <w:pStyle w:val="NormalHanging12a"/>
      </w:pPr>
      <w:r w:rsidRPr="008045D0">
        <w:t>22</w:t>
      </w:r>
      <w:r w:rsidR="00DD036D" w:rsidRPr="008045D0">
        <w:t>.</w:t>
      </w:r>
      <w:r w:rsidR="00DD036D" w:rsidRPr="008045D0">
        <w:tab/>
        <w:t>ističe da je brzo širenje digitalnih platformi i e-trgovine dovelo do nove tržišne dinamike te da je stvorilo napredne prilike, izazove i rizike za korisnike; potvrđuje da su Akt o digitalnim tržištima</w:t>
      </w:r>
      <w:r w:rsidR="00DD036D" w:rsidRPr="008045D0">
        <w:rPr>
          <w:rStyle w:val="FootnoteReference"/>
        </w:rPr>
        <w:footnoteReference w:id="5"/>
      </w:r>
      <w:r w:rsidR="00DD036D" w:rsidRPr="008045D0">
        <w:t xml:space="preserve"> i Akt o digitalnim uslugama</w:t>
      </w:r>
      <w:r w:rsidR="00DD036D" w:rsidRPr="008045D0">
        <w:rPr>
          <w:rStyle w:val="FootnoteReference"/>
        </w:rPr>
        <w:footnoteReference w:id="6"/>
      </w:r>
      <w:r w:rsidR="00DD036D" w:rsidRPr="008045D0">
        <w:t xml:space="preserve"> ključni zakonodavni instrumenti kojima se osigurava pošteno tržišno natjecanje, mogućnost neograničenog tržišnog natjecanja i pravednost na digitalnim platformama, uz istodobno poticanje zaštite potrošača i sigurnijeg, pouzdanijeg i transparentnijeg digitalnog okruženja u digitalnom gospodarstvu; poziva na pravilnu provedbu zakonodavstva EU-a o novim tehnologijama kako bi se osigurao slobodan, autonoman i informiran izbor potrošača, zaštita i pošteno tržišno natjecanje;</w:t>
      </w:r>
    </w:p>
    <w:p w14:paraId="2B698043" w14:textId="77777777" w:rsidR="00DD036D" w:rsidRPr="008045D0" w:rsidRDefault="008045D0" w:rsidP="00DD036D">
      <w:pPr>
        <w:pStyle w:val="NormalHanging12a"/>
      </w:pPr>
      <w:r w:rsidRPr="008045D0">
        <w:t>23</w:t>
      </w:r>
      <w:r w:rsidR="00DD036D" w:rsidRPr="008045D0">
        <w:t>.</w:t>
      </w:r>
      <w:r w:rsidR="00DD036D" w:rsidRPr="008045D0">
        <w:tab/>
        <w:t>smatra da je ključno osigurati učinkovitu provedbu i primjenu tih dvaju zakonodavnih akata i potiče Komisiju da zaključi tekuće istrage u okviru Akta o digitalnim uslugama i Akta o digitalnim tržištima;</w:t>
      </w:r>
    </w:p>
    <w:p w14:paraId="096A423D" w14:textId="77777777" w:rsidR="00D6670C" w:rsidRPr="008045D0" w:rsidRDefault="008045D0" w:rsidP="00DD036D">
      <w:pPr>
        <w:pStyle w:val="NormalHanging12a"/>
      </w:pPr>
      <w:r w:rsidRPr="008045D0">
        <w:t>24</w:t>
      </w:r>
      <w:r w:rsidR="00D6670C" w:rsidRPr="008045D0">
        <w:t>.</w:t>
      </w:r>
      <w:r w:rsidR="00D6670C" w:rsidRPr="008045D0">
        <w:tab/>
        <w:t xml:space="preserve">naglašava da se pri provedbi Akta o digitalnim uslugama mora u potpunosti poštovati sloboda izražavanja; naglašava da se mjerama protiv nezakonitog sadržaja ne smije ograničavati zakoniti govor i poziva na transparentnu provedbu kako bi se zaštitio </w:t>
      </w:r>
      <w:r w:rsidR="00D6670C" w:rsidRPr="008045D0">
        <w:lastRenderedPageBreak/>
        <w:t>otvoren i demokratski digitalni prostor;</w:t>
      </w:r>
    </w:p>
    <w:p w14:paraId="4C7BE4F8" w14:textId="77777777" w:rsidR="00DD036D" w:rsidRPr="008045D0" w:rsidRDefault="008045D0" w:rsidP="00DD036D">
      <w:pPr>
        <w:pStyle w:val="NormalHanging12a"/>
      </w:pPr>
      <w:r w:rsidRPr="008045D0">
        <w:t>25</w:t>
      </w:r>
      <w:r w:rsidR="00DD036D" w:rsidRPr="008045D0">
        <w:t>.</w:t>
      </w:r>
      <w:r w:rsidR="00DD036D" w:rsidRPr="008045D0">
        <w:tab/>
        <w:t>poziva Komisiju i države članice da osiguraju da se Aktom o umjetnoj inteligenciji</w:t>
      </w:r>
      <w:r w:rsidR="00DD036D" w:rsidRPr="008045D0">
        <w:rPr>
          <w:rStyle w:val="FootnoteReference"/>
        </w:rPr>
        <w:footnoteReference w:id="7"/>
      </w:r>
      <w:r w:rsidR="00DD036D" w:rsidRPr="008045D0">
        <w:t xml:space="preserve"> zadrži pristup koji se temelji na riziku i koji pogoduje inovacijama, osiguravajući da su zahtjevi u pogledu usklađenosti razmjerni stvarnim rizicima koji predstavlja primjena umjetne inteligencije, poštujući pritom potrebu da se osigura visoka razina zaštite zdravlja, sigurnosti i temeljnih prava;</w:t>
      </w:r>
    </w:p>
    <w:p w14:paraId="480BCA85" w14:textId="77777777" w:rsidR="00DD036D" w:rsidRPr="008045D0" w:rsidRDefault="008045D0" w:rsidP="00DD036D">
      <w:pPr>
        <w:pStyle w:val="NormalHanging12a"/>
      </w:pPr>
      <w:r w:rsidRPr="008045D0">
        <w:t>26</w:t>
      </w:r>
      <w:r w:rsidR="00DD036D" w:rsidRPr="008045D0">
        <w:t>.</w:t>
      </w:r>
      <w:r w:rsidR="00DD036D" w:rsidRPr="008045D0">
        <w:tab/>
        <w:t>pozdravlja Komisijinu provjeru primjerenosti potrošačkog prava u pogledu „digitalne pravednosti” i predstojeće javno savjetovanje; ističe da neka pitanja u vezi sa zaštitom potrošača na internetu i dalje nisu riješena, što dovodi do neravnoteže između potrošača i trgovaca u digitalnom gospodarstvu; poziva Komisiju da riješi ta pitanja u okviru predstojećeg Akta o digitalnoj pravednosti; smatra da bi digitalna ovisnost, internetske igre na sreću, zaštita maloljetnika na internetu i tehnologije kojima se utječe na ponašanje korisnika kao što su ciljano oglašavanje, oglašavanje utjecajnih osoba i tamni obrasci kojima se koriste internetski akteri, trebali biti obuhvaćeni Aktom o digitalnoj pravednosti, kojim bi se trebale ukloniti rupe u zakonu i koji bi trebao biti u skladu s postojećim pravnim instrumentima kako bi se bolje zaštitili potrošači na internetu, uzimajući u obzir potrebu za izbjegavanjem nepotrebnih regulatornih opterećenja;</w:t>
      </w:r>
    </w:p>
    <w:p w14:paraId="076534A6" w14:textId="77777777" w:rsidR="00DD036D" w:rsidRPr="008045D0" w:rsidRDefault="008045D0" w:rsidP="00DD036D">
      <w:pPr>
        <w:pStyle w:val="NormalHanging12a"/>
      </w:pPr>
      <w:r w:rsidRPr="008045D0">
        <w:t>27</w:t>
      </w:r>
      <w:r w:rsidR="00DD036D" w:rsidRPr="008045D0">
        <w:t>.</w:t>
      </w:r>
      <w:r w:rsidR="00DD036D" w:rsidRPr="008045D0">
        <w:tab/>
        <w:t>konstatira da razvoj trendova u globalnoj e-trgovini i restrukturiranju lanca opskrbe stvara veći pritisak na carinske kontrole, nadzor tržišta i tijela za zaštitu potrošača; ističe da se posljednjih godina povećala količina nesigurnih i nezakonitih proizvoda koji se prodaju na platformama za e-trgovinu, posebno iz zemalja koje nisu članice EU-a; ističe važnost digitalnih putovnica za proizvode u tim procesima; stoga poziva na pojačani okvir za nadzor tržišta i reviziju Uredbe o suradnji u zaštiti potrošača</w:t>
      </w:r>
      <w:r w:rsidR="00DD036D" w:rsidRPr="008045D0">
        <w:rPr>
          <w:rStyle w:val="FootnoteReference"/>
        </w:rPr>
        <w:footnoteReference w:id="8"/>
      </w:r>
      <w:r w:rsidR="00DD036D" w:rsidRPr="008045D0">
        <w:t xml:space="preserve"> te poziva Vijeće da brzo donese svoje stajalište kako bi se omogućilo donošenje revidiranog Carinskog zakonika Unije i osnivanje carinskog tijela EU-a 2026.;</w:t>
      </w:r>
    </w:p>
    <w:p w14:paraId="50A18019" w14:textId="77777777" w:rsidR="00DD036D" w:rsidRPr="008045D0" w:rsidRDefault="008045D0" w:rsidP="00DD036D">
      <w:pPr>
        <w:pStyle w:val="NormalHanging12a"/>
      </w:pPr>
      <w:r w:rsidRPr="008045D0">
        <w:t>28</w:t>
      </w:r>
      <w:r w:rsidR="00DD036D" w:rsidRPr="008045D0">
        <w:t>.</w:t>
      </w:r>
      <w:r w:rsidR="00DD036D" w:rsidRPr="008045D0">
        <w:tab/>
        <w:t>poziva države članice da nacionalnim tijelima dodijele dostatne tehničke, ljudske i financijske resurse; poziva države članice i Komisiju da osiguraju dostatna sredstva i stručno znanje za jačanje carinskih tijela i nadzora tržišta diljem Unije te da pojačaju zajedničke aktivnosti i testiranje na razini EU-a;</w:t>
      </w:r>
    </w:p>
    <w:p w14:paraId="5EBC16F9" w14:textId="77777777" w:rsidR="00DD036D" w:rsidRPr="008045D0" w:rsidRDefault="008045D0" w:rsidP="00DD036D">
      <w:pPr>
        <w:pStyle w:val="NormalHanging12a"/>
      </w:pPr>
      <w:r w:rsidRPr="008045D0">
        <w:t>29</w:t>
      </w:r>
      <w:r w:rsidR="00DD036D" w:rsidRPr="008045D0">
        <w:t>.</w:t>
      </w:r>
      <w:r w:rsidR="00DD036D" w:rsidRPr="008045D0">
        <w:tab/>
        <w:t>naglašava potrebu za jačanjem zaštite potrošača na tržištima na internetu i izvan njega, osiguravanjem transparentnosti u oglašavanju i određivanju cijena, posebno u pogledu dinamičnog određivanja cijena, osiguravanjem pravednih poslovnih praksi i snažnijih zaštitnih mjera protiv prijevara kako bi se ojačalo povjerenje potrošača u prekograničnu trgovinu i najviša razina zaštite;</w:t>
      </w:r>
    </w:p>
    <w:p w14:paraId="70CA2AC4" w14:textId="77777777" w:rsidR="00DD036D" w:rsidRPr="008045D0" w:rsidRDefault="008045D0" w:rsidP="00DD036D">
      <w:pPr>
        <w:pStyle w:val="NormalHanging12a"/>
      </w:pPr>
      <w:r w:rsidRPr="008045D0">
        <w:t>30</w:t>
      </w:r>
      <w:r w:rsidR="00DD036D" w:rsidRPr="008045D0">
        <w:t>.</w:t>
      </w:r>
      <w:r w:rsidR="00DD036D" w:rsidRPr="008045D0">
        <w:tab/>
        <w:t xml:space="preserve">naglašava da se sve više pažnje posvećuje slučajevima u kojima je smanjena količina ili kvaliteta robe ili usluga za istu ili povećanu cijenu; poziva Komisiju da procijeni opseg i </w:t>
      </w:r>
      <w:r w:rsidR="00DD036D" w:rsidRPr="008045D0">
        <w:lastRenderedPageBreak/>
        <w:t>temeljne uzroke takvih praksi te istraži odgovarajuće mjere za povećanje transparentnosti i osviještenosti potrošača;</w:t>
      </w:r>
    </w:p>
    <w:p w14:paraId="16D79904" w14:textId="77777777" w:rsidR="00DD036D" w:rsidRPr="008045D0" w:rsidRDefault="008045D0" w:rsidP="00DD036D">
      <w:pPr>
        <w:pStyle w:val="NormalHanging12a"/>
      </w:pPr>
      <w:r w:rsidRPr="008045D0">
        <w:t>31</w:t>
      </w:r>
      <w:r w:rsidR="00DD036D" w:rsidRPr="008045D0">
        <w:t>.</w:t>
      </w:r>
      <w:r w:rsidR="00DD036D" w:rsidRPr="008045D0">
        <w:tab/>
        <w:t>naglašava da pitanja okolišne održivosti i pravedne trgovine sve više oblikuju poslovne prakse jer imaju važnu ulogu u odlukama potrošača o kupnji, a time i potiču poduzeća na održivost; dodaje da transparentnost i informiranje potrošača o okolišnim aspektima, kao i o društveno odgovornim i etičkim proizvodnim procesima, omogućuju potrošačima da usvoje održive obrasce potrošnje;</w:t>
      </w:r>
    </w:p>
    <w:p w14:paraId="6815F303" w14:textId="77777777" w:rsidR="00DD036D" w:rsidRPr="008045D0" w:rsidRDefault="008045D0" w:rsidP="00DD036D">
      <w:pPr>
        <w:pStyle w:val="NormalHanging12a"/>
      </w:pPr>
      <w:r w:rsidRPr="008045D0">
        <w:t>32</w:t>
      </w:r>
      <w:r w:rsidR="00DD036D" w:rsidRPr="008045D0">
        <w:t>.</w:t>
      </w:r>
      <w:r w:rsidR="00DD036D" w:rsidRPr="008045D0">
        <w:tab/>
        <w:t>poziva Komisiju i države članice da održe svoju razinu ambicije u tom pogledu i da nastave raditi na sustavima označivanja na razini EU-a; podsjeća da je cilj Direktive o tvrdnjama o prihvatljivosti za okoliš uspostaviti alat za zaštitu potrošača od manipulativnog zelenog marketinga utvrđivanjem zahtjeva za potkrepljivanje i provjeru;</w:t>
      </w:r>
    </w:p>
    <w:p w14:paraId="2D189BA6" w14:textId="77777777" w:rsidR="00DD036D" w:rsidRPr="008045D0" w:rsidRDefault="008045D0" w:rsidP="00DD036D">
      <w:pPr>
        <w:pStyle w:val="NormalHanging12a"/>
      </w:pPr>
      <w:r w:rsidRPr="008045D0">
        <w:t>33</w:t>
      </w:r>
      <w:r w:rsidR="00DD036D" w:rsidRPr="008045D0">
        <w:t>.</w:t>
      </w:r>
      <w:r w:rsidR="00DD036D" w:rsidRPr="008045D0">
        <w:tab/>
        <w:t>ističe potrebu za daljnjom borbom protiv obmanjujućeg oglašavanja i manipulativnog zelenog marketinga te za jačanjem tržišta rabljenih proizvoda; primjećuje, međutim, da restriktivna pravila o održivosti mogu negativno utjecati na europsku konkurentnost;</w:t>
      </w:r>
    </w:p>
    <w:p w14:paraId="2417F5D0" w14:textId="77777777" w:rsidR="00DD036D" w:rsidRPr="008045D0" w:rsidRDefault="008045D0" w:rsidP="00DD036D">
      <w:pPr>
        <w:pStyle w:val="NormalHanging12a"/>
        <w:rPr>
          <w:bCs/>
          <w:iCs/>
        </w:rPr>
      </w:pPr>
      <w:r w:rsidRPr="008045D0">
        <w:t>34</w:t>
      </w:r>
      <w:r w:rsidR="00DD036D" w:rsidRPr="008045D0">
        <w:t>.</w:t>
      </w:r>
      <w:r w:rsidR="00DD036D" w:rsidRPr="008045D0">
        <w:tab/>
        <w:t>ističe da neki rastući trendovi u e-trgovini izazivaju zabrinutost u pogledu robe iz trećih zemalja koja ne ispunjava zahtjeve EU-a u pogledu sigurnosti i održivosti, što negativno utječe na MSP-ove u Uniji; pozdravlja komunikaciju Komisije naslovljenu „Sveobuhvatan paket instrumenata EU-a za sigurnu i održivu e-trgovinu” i traži od Komisije da brzo provede preporuke sadržane u njoj;</w:t>
      </w:r>
    </w:p>
    <w:p w14:paraId="463E037B" w14:textId="77777777" w:rsidR="00DD036D" w:rsidRPr="008045D0" w:rsidRDefault="008045D0" w:rsidP="00DD036D">
      <w:pPr>
        <w:pStyle w:val="NormalHanging12a"/>
      </w:pPr>
      <w:r w:rsidRPr="008045D0">
        <w:t>35</w:t>
      </w:r>
      <w:r w:rsidR="00DD036D" w:rsidRPr="008045D0">
        <w:t>.</w:t>
      </w:r>
      <w:r w:rsidR="00DD036D" w:rsidRPr="008045D0">
        <w:tab/>
        <w:t>naglašava da su usklađeni tehnički standardi kojima se osigurava sigurnost, kvaliteta i svojstva proizvoda u svim državama članicama ključni za slobodno kretanje robe unutar jedinstvenog tržišta; ističe da standardi moraju odražavati interese, ciljeve politike i vrijednosti Unije uzimajući u obzir stajališta svih dionika; dodaje da se u nedavnoj presudi Suda Europske unije</w:t>
      </w:r>
      <w:r w:rsidR="00DD036D" w:rsidRPr="008045D0">
        <w:rPr>
          <w:rStyle w:val="FootnoteReference"/>
          <w:color w:val="000000"/>
        </w:rPr>
        <w:footnoteReference w:id="9"/>
      </w:r>
      <w:r w:rsidR="00DD036D" w:rsidRPr="008045D0">
        <w:t xml:space="preserve"> priznaje dodana vrijednost usklađenih normi koje su dio prava EU-a zbog njihovih pravnih učinaka te se utvrđuje da bi one trebale biti javno dostupne; naglašava potrebu za poboljšanjem prilagodljivosti normizacijskog okvira, posebno za nove zelene i digitalne vrijednosne lance, te za pomaganjem industriji da zadrži konkurentne položaje na ključnim tržištima tehnologija;</w:t>
      </w:r>
    </w:p>
    <w:p w14:paraId="54185422" w14:textId="77777777" w:rsidR="00DD036D" w:rsidRPr="008045D0" w:rsidRDefault="008045D0" w:rsidP="00DD036D">
      <w:pPr>
        <w:pStyle w:val="NormalHanging12a"/>
      </w:pPr>
      <w:r w:rsidRPr="008045D0">
        <w:t>36</w:t>
      </w:r>
      <w:r w:rsidR="00DD036D" w:rsidRPr="008045D0">
        <w:t>.</w:t>
      </w:r>
      <w:r w:rsidR="00DD036D" w:rsidRPr="008045D0">
        <w:tab/>
        <w:t>smatra da EU mora uložiti veće napore u uspostavu novog mehanizma s državama članicama i nacionalnim tijelima za normizaciju radi razmjene informacija, koordinacije i jačanja europskog pristupa međunarodnim aktivnostima normizacije; poziva na brzo djelovanje kako bi se ažurirao okvir EU-a za normizaciju i ubrzao postupak normizacije te osiguralo brzo objavljivanje usklađenih normi kojima se odobrava pretpostavka sukladnosti i koje su usklađene s međunarodnim normama za potporu globalnoj trgovini, uz istodobno poticanje većeg sudjelovanja industrije, posebno MSP-ova;</w:t>
      </w:r>
    </w:p>
    <w:p w14:paraId="44607D02" w14:textId="77777777" w:rsidR="00DD036D" w:rsidRPr="008045D0" w:rsidRDefault="008045D0" w:rsidP="00DD036D">
      <w:pPr>
        <w:pStyle w:val="NormalHanging12a"/>
        <w:rPr>
          <w:szCs w:val="24"/>
        </w:rPr>
      </w:pPr>
      <w:r w:rsidRPr="008045D0">
        <w:t>37</w:t>
      </w:r>
      <w:r w:rsidR="00DD036D" w:rsidRPr="008045D0">
        <w:t>.</w:t>
      </w:r>
      <w:r w:rsidR="00DD036D" w:rsidRPr="008045D0">
        <w:tab/>
        <w:t xml:space="preserve">ističe potrebu za jačanjem vanjske dimenzije jedinstvenog tržišta kako bi se zaštitili strateška autonomija i globalni utjecaj EU-a te pozdravlja postupnu integraciju zemalja kandidatkinja u jedinstveno tržište s ciljem njihova budućeg članstva u EU-u; naglašava da visoki regulatorni standardi EU-a mogu poslužiti kao globalna referentna vrijednost i da se moraju učinkovito provoditi kako bi se osigurali jednaki uvjeti za europska poduzeća; poziva Komisiju da pojača regulatorne dijaloge i političku suradnju s </w:t>
      </w:r>
      <w:r w:rsidR="00DD036D" w:rsidRPr="008045D0">
        <w:lastRenderedPageBreak/>
        <w:t>relevantnim trećim zemljama kako bi se utvrdili zajednički izazovi i uspostavile zajedničke mjere, posebno u pogledu e-trgovine, digitalnih pravila i potrošača;</w:t>
      </w:r>
    </w:p>
    <w:p w14:paraId="44A89BB4" w14:textId="77777777" w:rsidR="00DD036D" w:rsidRPr="008045D0" w:rsidRDefault="008045D0" w:rsidP="00DD036D">
      <w:pPr>
        <w:pStyle w:val="NormalHanging12a"/>
        <w:rPr>
          <w:szCs w:val="24"/>
        </w:rPr>
      </w:pPr>
      <w:r w:rsidRPr="008045D0">
        <w:t>38</w:t>
      </w:r>
      <w:r w:rsidR="00DD036D" w:rsidRPr="008045D0">
        <w:t>.</w:t>
      </w:r>
      <w:r w:rsidR="00DD036D" w:rsidRPr="008045D0">
        <w:tab/>
        <w:t>ponavlja svoj poziv na inovativnu, komplementarnu i fleksibilnu interakciju između tekućeg posla oko provedbe aktualnog Sporazuma o pridruživanju između EU-a i Ukrajine i procesa pristupnih pregovora, čime bi se omogućila postupna integracija Ukrajine u jedinstveno tržište EU-a i sektorske programe;</w:t>
      </w:r>
    </w:p>
    <w:p w14:paraId="136A2A66" w14:textId="77777777" w:rsidR="00DD036D" w:rsidRPr="008045D0" w:rsidRDefault="00DD036D" w:rsidP="00DD036D">
      <w:pPr>
        <w:pStyle w:val="NormalHanging12a"/>
        <w:rPr>
          <w:b/>
          <w:i/>
          <w:iCs/>
        </w:rPr>
      </w:pPr>
      <w:r w:rsidRPr="008045D0">
        <w:rPr>
          <w:b/>
          <w:i/>
        </w:rPr>
        <w:t>Zaključci</w:t>
      </w:r>
    </w:p>
    <w:p w14:paraId="6AE95502" w14:textId="77777777" w:rsidR="00DD036D" w:rsidRPr="008045D0" w:rsidRDefault="008045D0" w:rsidP="00DD036D">
      <w:pPr>
        <w:pStyle w:val="NormalHanging12a"/>
      </w:pPr>
      <w:r w:rsidRPr="008045D0">
        <w:t>39</w:t>
      </w:r>
      <w:r w:rsidR="00DD036D" w:rsidRPr="008045D0">
        <w:t>.</w:t>
      </w:r>
      <w:r w:rsidR="00DD036D" w:rsidRPr="008045D0">
        <w:tab/>
        <w:t>uviđa da geopolitičke napetosti, klimatske promjene, izazovi za konkurentnost EU-a i gospodarske nejednakosti predstavljaju znatan rizik za cjelovitost jedinstvenog tržišta; poziva na snažan, koordiniran i strateški politički odgovor kako bi se ojačalo jedinstveno tržište;</w:t>
      </w:r>
    </w:p>
    <w:p w14:paraId="146F1249" w14:textId="77777777" w:rsidR="00DD036D" w:rsidRPr="008045D0" w:rsidRDefault="008045D0" w:rsidP="00DD036D">
      <w:pPr>
        <w:pStyle w:val="NormalHanging12a"/>
      </w:pPr>
      <w:r w:rsidRPr="008045D0">
        <w:t>40</w:t>
      </w:r>
      <w:r w:rsidR="00DD036D" w:rsidRPr="008045D0">
        <w:t>.</w:t>
      </w:r>
      <w:r w:rsidR="00DD036D" w:rsidRPr="008045D0">
        <w:tab/>
        <w:t>poziva na kontinuirani razvoj jedinstvenog tržišta kako bi se riješile i preostale neopravdane prepreke i novi komercijalni izazovi; smatra da su uklanjanje regulatorne rascjepkanosti, promicanje pojednostavnjenja, znatno smanjenje administrativnog opterećenja, poboljšanje provedbe i osiguravanje otpornih lanaca opskrbe ključni za održavanje konkurentske prednosti i pravednih tržišnih uvjeta EU-a te za poboljšanje jedinstvenog tržišta; naglašava važnost savjetovanja sa svim relevantnim dionicima u tim postupcima;</w:t>
      </w:r>
    </w:p>
    <w:p w14:paraId="041D2502" w14:textId="77777777" w:rsidR="00DD036D" w:rsidRPr="008045D0" w:rsidRDefault="008045D0" w:rsidP="00DD036D">
      <w:pPr>
        <w:pStyle w:val="NormalHanging12a"/>
      </w:pPr>
      <w:r w:rsidRPr="008045D0">
        <w:t>41</w:t>
      </w:r>
      <w:r w:rsidR="00DD036D" w:rsidRPr="008045D0">
        <w:t>.</w:t>
      </w:r>
      <w:r w:rsidR="00DD036D" w:rsidRPr="008045D0">
        <w:tab/>
        <w:t>ističe važnost digitalne transformacije, kružnog gospodarstva i prilagodljivosti globalnim gospodarskim promjenama u osiguravanju dugoročne gospodarske dinamičnosti EU-a;</w:t>
      </w:r>
    </w:p>
    <w:p w14:paraId="6D2170D3" w14:textId="77777777" w:rsidR="00DD036D" w:rsidRPr="008045D0" w:rsidRDefault="008045D0" w:rsidP="00DD036D">
      <w:pPr>
        <w:pStyle w:val="NormalHanging12a"/>
      </w:pPr>
      <w:r w:rsidRPr="008045D0">
        <w:t>42</w:t>
      </w:r>
      <w:r w:rsidR="00DD036D" w:rsidRPr="008045D0">
        <w:t>.</w:t>
      </w:r>
      <w:r w:rsidR="00DD036D" w:rsidRPr="008045D0">
        <w:tab/>
        <w:t>ponavlja da je jačanje unutarnje i vanjske dimenzije jedinstvenog tržišta ključno za očuvanje strateške autonomije i konkurentnosti EU-a;</w:t>
      </w:r>
    </w:p>
    <w:p w14:paraId="36F24A36" w14:textId="77777777" w:rsidR="00DD036D" w:rsidRPr="008045D0" w:rsidRDefault="008045D0" w:rsidP="00DD036D">
      <w:pPr>
        <w:pStyle w:val="NormalHanging12a"/>
      </w:pPr>
      <w:r w:rsidRPr="008045D0">
        <w:t>43</w:t>
      </w:r>
      <w:r w:rsidR="00DD036D" w:rsidRPr="008045D0">
        <w:t>.</w:t>
      </w:r>
      <w:r w:rsidR="00DD036D" w:rsidRPr="008045D0">
        <w:tab/>
        <w:t>stoga potiče Komisiju da to uzme u obzir u predstojećoj novoj strategiji jedinstvenog tržišta, predviđenoj za lipanj 2025., u Strategiji za potrošače do 2030., predviđenoj za kraj 2025., i u Aktu o digitalnoj pravednosti, predviđenom za 2026.;</w:t>
      </w:r>
    </w:p>
    <w:p w14:paraId="0815C154" w14:textId="77777777" w:rsidR="00DD036D" w:rsidRPr="008045D0" w:rsidRDefault="00DD036D" w:rsidP="00DD036D">
      <w:pPr>
        <w:pStyle w:val="NormalHanging12a"/>
        <w:jc w:val="center"/>
      </w:pPr>
      <w:r w:rsidRPr="008045D0">
        <w:t>°</w:t>
      </w:r>
    </w:p>
    <w:p w14:paraId="45A66079" w14:textId="77777777" w:rsidR="00DD036D" w:rsidRPr="008045D0" w:rsidRDefault="00DD036D" w:rsidP="00DD036D">
      <w:pPr>
        <w:pStyle w:val="NormalHanging12a"/>
        <w:jc w:val="center"/>
      </w:pPr>
      <w:r w:rsidRPr="008045D0">
        <w:t>°</w:t>
      </w:r>
      <w:r w:rsidRPr="008045D0">
        <w:tab/>
        <w:t>°</w:t>
      </w:r>
    </w:p>
    <w:p w14:paraId="1ACFDB33" w14:textId="77777777" w:rsidR="00777A4A" w:rsidRPr="008045D0" w:rsidRDefault="008045D0" w:rsidP="00777A4A">
      <w:pPr>
        <w:pStyle w:val="NormalHanging12a"/>
      </w:pPr>
      <w:r w:rsidRPr="008045D0">
        <w:t>44</w:t>
      </w:r>
      <w:r w:rsidR="00DD036D" w:rsidRPr="008045D0">
        <w:t>.</w:t>
      </w:r>
      <w:r w:rsidR="00DD036D" w:rsidRPr="008045D0">
        <w:tab/>
        <w:t>nalaže svojoj predsjednici da ovu Rezoluciju proslijedi Vijeću i Komisiji.</w:t>
      </w:r>
    </w:p>
    <w:p w14:paraId="3318F3D1" w14:textId="77777777" w:rsidR="00E365E1" w:rsidRPr="008045D0" w:rsidRDefault="00E365E1" w:rsidP="00806293"/>
    <w:sectPr w:rsidR="00E365E1" w:rsidRPr="008045D0" w:rsidSect="00777A4A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C03F6" w14:textId="77777777" w:rsidR="00806293" w:rsidRPr="00777A4A" w:rsidRDefault="00806293">
      <w:r w:rsidRPr="00777A4A">
        <w:separator/>
      </w:r>
    </w:p>
  </w:endnote>
  <w:endnote w:type="continuationSeparator" w:id="0">
    <w:p w14:paraId="03176101" w14:textId="77777777" w:rsidR="00806293" w:rsidRPr="00777A4A" w:rsidRDefault="00806293">
      <w:r w:rsidRPr="00777A4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A299D" w14:textId="77777777" w:rsidR="00806293" w:rsidRPr="00777A4A" w:rsidRDefault="00806293">
      <w:r w:rsidRPr="00777A4A">
        <w:separator/>
      </w:r>
    </w:p>
  </w:footnote>
  <w:footnote w:type="continuationSeparator" w:id="0">
    <w:p w14:paraId="6B59817F" w14:textId="77777777" w:rsidR="00806293" w:rsidRPr="00777A4A" w:rsidRDefault="00806293">
      <w:r w:rsidRPr="00777A4A">
        <w:continuationSeparator/>
      </w:r>
    </w:p>
  </w:footnote>
  <w:footnote w:id="1">
    <w:p w14:paraId="7A9FB53B" w14:textId="77777777" w:rsidR="00DD036D" w:rsidRPr="00BD38AB" w:rsidRDefault="00DD036D" w:rsidP="00777A4A">
      <w:pPr>
        <w:pStyle w:val="FootnoteText"/>
        <w:ind w:left="567" w:hanging="567"/>
        <w:rPr>
          <w:i/>
          <w:sz w:val="24"/>
          <w:lang w:val="hr-HR"/>
        </w:rPr>
      </w:pPr>
      <w:r w:rsidRPr="00777A4A">
        <w:rPr>
          <w:rStyle w:val="FootnoteReference"/>
          <w:sz w:val="24"/>
          <w:lang w:val="hr-HR"/>
        </w:rPr>
        <w:footnoteRef/>
      </w:r>
      <w:r w:rsidR="00777A4A" w:rsidRPr="00777A4A">
        <w:rPr>
          <w:rStyle w:val="Emphasis"/>
          <w:sz w:val="24"/>
          <w:shd w:val="clear" w:color="auto" w:fill="FFFFFF"/>
          <w:lang w:val="hr-HR"/>
        </w:rPr>
        <w:t xml:space="preserve"> </w:t>
      </w:r>
      <w:r w:rsidR="00777A4A" w:rsidRPr="00777A4A">
        <w:rPr>
          <w:rStyle w:val="Emphasis"/>
          <w:sz w:val="24"/>
          <w:shd w:val="clear" w:color="auto" w:fill="FFFFFF"/>
          <w:lang w:val="hr-HR"/>
        </w:rPr>
        <w:tab/>
      </w:r>
      <w:r w:rsidRPr="00BD38AB">
        <w:rPr>
          <w:rStyle w:val="Emphasis"/>
          <w:i w:val="0"/>
          <w:sz w:val="24"/>
          <w:shd w:val="clear" w:color="auto" w:fill="FFFFFF"/>
          <w:lang w:val="hr-HR"/>
        </w:rPr>
        <w:t>SL C 214, 16.6.2023., str. 8.</w:t>
      </w:r>
    </w:p>
  </w:footnote>
  <w:footnote w:id="2">
    <w:p w14:paraId="5BF89A0F" w14:textId="77777777" w:rsidR="00DD036D" w:rsidRPr="00777A4A" w:rsidRDefault="00DD036D" w:rsidP="00777A4A">
      <w:pPr>
        <w:pStyle w:val="FootnoteText"/>
        <w:ind w:left="567" w:hanging="567"/>
        <w:rPr>
          <w:sz w:val="24"/>
          <w:lang w:val="hr-HR"/>
        </w:rPr>
      </w:pPr>
      <w:r w:rsidRPr="00777A4A">
        <w:rPr>
          <w:rStyle w:val="FootnoteReference"/>
          <w:sz w:val="24"/>
          <w:lang w:val="hr-HR"/>
        </w:rPr>
        <w:footnoteRef/>
      </w:r>
      <w:r w:rsidR="00777A4A" w:rsidRPr="00777A4A">
        <w:rPr>
          <w:sz w:val="24"/>
          <w:shd w:val="clear" w:color="auto" w:fill="FFFFFF"/>
          <w:lang w:val="hr-HR"/>
        </w:rPr>
        <w:t xml:space="preserve"> </w:t>
      </w:r>
      <w:r w:rsidR="00777A4A" w:rsidRPr="00777A4A">
        <w:rPr>
          <w:sz w:val="24"/>
          <w:shd w:val="clear" w:color="auto" w:fill="FFFFFF"/>
          <w:lang w:val="hr-HR"/>
        </w:rPr>
        <w:tab/>
      </w:r>
      <w:r w:rsidRPr="00777A4A">
        <w:rPr>
          <w:sz w:val="24"/>
          <w:shd w:val="clear" w:color="auto" w:fill="FFFFFF"/>
          <w:lang w:val="hr-HR"/>
        </w:rPr>
        <w:t xml:space="preserve">Uredba (EU) 2024/2747 Europskog parlamenta i Vijeća od 9. listopada 2024. o uspostavi okvira mjera povezanih s izvanrednim okolnostima na unutarnjem tržištu i s otpornosti unutarnjeg tržišta i izmjeni Uredbe Vijeća (EZ) br. </w:t>
      </w:r>
      <w:r w:rsidRPr="00777A4A">
        <w:rPr>
          <w:sz w:val="24"/>
          <w:shd w:val="clear" w:color="auto" w:fill="FFFFFF"/>
          <w:lang w:val="hr-HR"/>
        </w:rPr>
        <w:t xml:space="preserve">2679/98, </w:t>
      </w:r>
      <w:r w:rsidR="00BD38AB">
        <w:rPr>
          <w:sz w:val="24"/>
          <w:shd w:val="clear" w:color="auto" w:fill="FFFFFF"/>
          <w:lang w:val="hr-HR"/>
        </w:rPr>
        <w:t>(</w:t>
      </w:r>
      <w:r w:rsidRPr="00BD38AB">
        <w:rPr>
          <w:rStyle w:val="Emphasis"/>
          <w:i w:val="0"/>
          <w:sz w:val="24"/>
          <w:shd w:val="clear" w:color="auto" w:fill="FFFFFF"/>
          <w:lang w:val="hr-HR"/>
        </w:rPr>
        <w:t>SL L, 2024/2747, 8.11.2024., ELI</w:t>
      </w:r>
      <w:r w:rsidRPr="00777A4A">
        <w:rPr>
          <w:rStyle w:val="Emphasis"/>
          <w:sz w:val="24"/>
          <w:shd w:val="clear" w:color="auto" w:fill="FFFFFF"/>
          <w:lang w:val="hr-HR"/>
        </w:rPr>
        <w:t>: </w:t>
      </w:r>
      <w:r w:rsidR="008312AB">
        <w:fldChar w:fldCharType="begin"/>
      </w:r>
      <w:r w:rsidR="008312AB" w:rsidRPr="008312AB">
        <w:rPr>
          <w:lang w:val="hr-HR"/>
        </w:rPr>
        <w:instrText>HYPERLINK "http://data.europa.eu/eli/reg/2024/2747/oj" \t "_blank" \o "Omogućuje pristup tom dokumentu putem URL-a za ELI."</w:instrText>
      </w:r>
      <w:r w:rsidR="008312AB">
        <w:fldChar w:fldCharType="separate"/>
      </w:r>
      <w:r w:rsidRPr="00777A4A">
        <w:rPr>
          <w:rStyle w:val="Hyperlink"/>
          <w:sz w:val="24"/>
          <w:lang w:val="hr-HR"/>
        </w:rPr>
        <w:t>http://data.europa.eu/eli/reg/2024/2747/oj</w:t>
      </w:r>
      <w:r w:rsidR="008312AB">
        <w:rPr>
          <w:rStyle w:val="Hyperlink"/>
          <w:sz w:val="24"/>
          <w:lang w:val="hr-HR"/>
        </w:rPr>
        <w:fldChar w:fldCharType="end"/>
      </w:r>
      <w:r w:rsidR="00BD38AB">
        <w:rPr>
          <w:rStyle w:val="Hyperlink"/>
          <w:color w:val="auto"/>
          <w:sz w:val="24"/>
          <w:u w:val="none"/>
          <w:lang w:val="hr-HR"/>
        </w:rPr>
        <w:t>)</w:t>
      </w:r>
      <w:r w:rsidRPr="008312AB">
        <w:rPr>
          <w:rStyle w:val="Emphasis"/>
          <w:i w:val="0"/>
          <w:iCs w:val="0"/>
          <w:sz w:val="24"/>
          <w:shd w:val="clear" w:color="auto" w:fill="FFFFFF"/>
          <w:lang w:val="hr-HR"/>
        </w:rPr>
        <w:t>.</w:t>
      </w:r>
    </w:p>
  </w:footnote>
  <w:footnote w:id="3">
    <w:p w14:paraId="6B3B1494" w14:textId="77777777" w:rsidR="00DD036D" w:rsidRPr="00777A4A" w:rsidRDefault="00DD036D" w:rsidP="00777A4A">
      <w:pPr>
        <w:pStyle w:val="FootnoteText"/>
        <w:ind w:left="567" w:hanging="567"/>
        <w:rPr>
          <w:sz w:val="24"/>
          <w:lang w:val="hr-HR"/>
        </w:rPr>
      </w:pPr>
      <w:r w:rsidRPr="00777A4A">
        <w:rPr>
          <w:rStyle w:val="FootnoteReference"/>
          <w:sz w:val="24"/>
          <w:lang w:val="hr-HR"/>
        </w:rPr>
        <w:footnoteRef/>
      </w:r>
      <w:r w:rsidR="00777A4A" w:rsidRPr="00777A4A">
        <w:rPr>
          <w:sz w:val="24"/>
          <w:shd w:val="clear" w:color="auto" w:fill="FFFFFF"/>
          <w:lang w:val="hr-HR"/>
        </w:rPr>
        <w:t xml:space="preserve"> </w:t>
      </w:r>
      <w:r w:rsidR="00777A4A" w:rsidRPr="00777A4A">
        <w:rPr>
          <w:sz w:val="24"/>
          <w:shd w:val="clear" w:color="auto" w:fill="FFFFFF"/>
          <w:lang w:val="hr-HR"/>
        </w:rPr>
        <w:tab/>
      </w:r>
      <w:r w:rsidRPr="00777A4A">
        <w:rPr>
          <w:sz w:val="24"/>
          <w:shd w:val="clear" w:color="auto" w:fill="FFFFFF"/>
          <w:lang w:val="hr-HR"/>
        </w:rPr>
        <w:t xml:space="preserve">Uredba (EU) 2018/302 Europskog parlamenta i Vijeća od 28. veljače 2018. o rješavanju pitanja neopravdanoga geografskog blokiranja i drugih oblika diskriminacije na unutarnjem tržištu na temelju državljanstva, mjesta boravišta ili mjesta poslovnog </w:t>
      </w:r>
      <w:proofErr w:type="spellStart"/>
      <w:r w:rsidRPr="00777A4A">
        <w:rPr>
          <w:sz w:val="24"/>
          <w:shd w:val="clear" w:color="auto" w:fill="FFFFFF"/>
          <w:lang w:val="hr-HR"/>
        </w:rPr>
        <w:t>nastana</w:t>
      </w:r>
      <w:proofErr w:type="spellEnd"/>
      <w:r w:rsidRPr="00777A4A">
        <w:rPr>
          <w:sz w:val="24"/>
          <w:shd w:val="clear" w:color="auto" w:fill="FFFFFF"/>
          <w:lang w:val="hr-HR"/>
        </w:rPr>
        <w:t xml:space="preserve"> klijenata te o izmjeni uredbi (EZ) br. 2006/2004 i (EU) 2017/2394 i Direktive 2009/22/EZ, </w:t>
      </w:r>
      <w:r w:rsidR="00BD38AB">
        <w:rPr>
          <w:sz w:val="24"/>
          <w:shd w:val="clear" w:color="auto" w:fill="FFFFFF"/>
          <w:lang w:val="hr-HR"/>
        </w:rPr>
        <w:t>(</w:t>
      </w:r>
      <w:r w:rsidRPr="00BD38AB">
        <w:rPr>
          <w:rStyle w:val="Emphasis"/>
          <w:i w:val="0"/>
          <w:sz w:val="24"/>
          <w:shd w:val="clear" w:color="auto" w:fill="FFFFFF"/>
          <w:lang w:val="hr-HR"/>
        </w:rPr>
        <w:t>SL L 60</w:t>
      </w:r>
      <w:r w:rsidR="0059729E">
        <w:rPr>
          <w:rStyle w:val="Emphasis"/>
          <w:i w:val="0"/>
          <w:sz w:val="24"/>
          <w:shd w:val="clear" w:color="auto" w:fill="FFFFFF"/>
          <w:lang w:val="hr-HR"/>
        </w:rPr>
        <w:t xml:space="preserve"> </w:t>
      </w:r>
      <w:r w:rsidRPr="00BD38AB">
        <w:rPr>
          <w:rStyle w:val="Emphasis"/>
          <w:i w:val="0"/>
          <w:sz w:val="24"/>
          <w:shd w:val="clear" w:color="auto" w:fill="FFFFFF"/>
          <w:lang w:val="hr-HR"/>
        </w:rPr>
        <w:t>I, 2.3.2018., str. 1.,</w:t>
      </w:r>
      <w:r w:rsidRPr="00777A4A">
        <w:rPr>
          <w:rStyle w:val="Emphasis"/>
          <w:sz w:val="24"/>
          <w:shd w:val="clear" w:color="auto" w:fill="FFFFFF"/>
          <w:lang w:val="hr-HR"/>
        </w:rPr>
        <w:t xml:space="preserve"> </w:t>
      </w:r>
      <w:r w:rsidRPr="00777A4A">
        <w:rPr>
          <w:sz w:val="24"/>
          <w:shd w:val="clear" w:color="auto" w:fill="FFFFFF"/>
          <w:lang w:val="hr-HR"/>
        </w:rPr>
        <w:t>ELI: </w:t>
      </w:r>
      <w:r w:rsidR="008312AB">
        <w:fldChar w:fldCharType="begin"/>
      </w:r>
      <w:r w:rsidR="008312AB" w:rsidRPr="008312AB">
        <w:rPr>
          <w:lang w:val="hr-HR"/>
        </w:rPr>
        <w:instrText>HYPERLINK "http://data.europa.eu/eli/reg/2018/302/oj" \o "Omogućuje pristup tom dokumentu putem URL-a za ELI."</w:instrText>
      </w:r>
      <w:r w:rsidR="008312AB">
        <w:fldChar w:fldCharType="separate"/>
      </w:r>
      <w:r w:rsidRPr="00777A4A">
        <w:rPr>
          <w:rStyle w:val="Hyperlink"/>
          <w:sz w:val="24"/>
          <w:shd w:val="clear" w:color="auto" w:fill="FFFFFF"/>
          <w:lang w:val="hr-HR"/>
        </w:rPr>
        <w:t>http://data.europa.eu/eli/reg/2018/302/oj</w:t>
      </w:r>
      <w:r w:rsidR="008312AB">
        <w:rPr>
          <w:rStyle w:val="Hyperlink"/>
          <w:sz w:val="24"/>
          <w:shd w:val="clear" w:color="auto" w:fill="FFFFFF"/>
          <w:lang w:val="hr-HR"/>
        </w:rPr>
        <w:fldChar w:fldCharType="end"/>
      </w:r>
      <w:r w:rsidR="00BD38AB">
        <w:rPr>
          <w:rStyle w:val="Hyperlink"/>
          <w:color w:val="auto"/>
          <w:sz w:val="24"/>
          <w:shd w:val="clear" w:color="auto" w:fill="FFFFFF"/>
          <w:lang w:val="hr-HR"/>
        </w:rPr>
        <w:t>)</w:t>
      </w:r>
      <w:r w:rsidRPr="00777A4A">
        <w:rPr>
          <w:sz w:val="24"/>
          <w:lang w:val="hr-HR"/>
        </w:rPr>
        <w:t>.</w:t>
      </w:r>
    </w:p>
  </w:footnote>
  <w:footnote w:id="4">
    <w:p w14:paraId="54915784" w14:textId="77777777" w:rsidR="00DD036D" w:rsidRPr="00777A4A" w:rsidRDefault="00DD036D" w:rsidP="00777A4A">
      <w:pPr>
        <w:pStyle w:val="FootnoteText"/>
        <w:ind w:left="567" w:hanging="567"/>
        <w:rPr>
          <w:sz w:val="24"/>
          <w:lang w:val="hr-HR"/>
        </w:rPr>
      </w:pPr>
      <w:r w:rsidRPr="00777A4A">
        <w:rPr>
          <w:rStyle w:val="FootnoteReference"/>
          <w:sz w:val="24"/>
          <w:lang w:val="hr-HR"/>
        </w:rPr>
        <w:footnoteRef/>
      </w:r>
      <w:r w:rsidR="00777A4A" w:rsidRPr="00777A4A">
        <w:rPr>
          <w:sz w:val="24"/>
          <w:shd w:val="clear" w:color="auto" w:fill="FFFFFF"/>
          <w:lang w:val="hr-HR"/>
        </w:rPr>
        <w:t xml:space="preserve"> </w:t>
      </w:r>
      <w:r w:rsidR="00777A4A" w:rsidRPr="00777A4A">
        <w:rPr>
          <w:sz w:val="24"/>
          <w:shd w:val="clear" w:color="auto" w:fill="FFFFFF"/>
          <w:lang w:val="hr-HR"/>
        </w:rPr>
        <w:tab/>
      </w:r>
      <w:r w:rsidRPr="00777A4A">
        <w:rPr>
          <w:sz w:val="24"/>
          <w:shd w:val="clear" w:color="auto" w:fill="FFFFFF"/>
          <w:lang w:val="hr-HR"/>
        </w:rPr>
        <w:t xml:space="preserve">Direktiva (EU) 2019/882 Europskog parlamenta i Vijeća od 17. travnja 2019. o zahtjevima za pristupačnost proizvoda i usluga, </w:t>
      </w:r>
      <w:r w:rsidR="00BD38AB">
        <w:rPr>
          <w:sz w:val="24"/>
          <w:shd w:val="clear" w:color="auto" w:fill="FFFFFF"/>
          <w:lang w:val="hr-HR"/>
        </w:rPr>
        <w:t>(</w:t>
      </w:r>
      <w:r w:rsidRPr="00BD38AB">
        <w:rPr>
          <w:rStyle w:val="Emphasis"/>
          <w:i w:val="0"/>
          <w:sz w:val="24"/>
          <w:shd w:val="clear" w:color="auto" w:fill="FFFFFF"/>
          <w:lang w:val="hr-HR"/>
        </w:rPr>
        <w:t>SL L 151, 7.6.2019., str. 70</w:t>
      </w:r>
      <w:r w:rsidRPr="00777A4A">
        <w:rPr>
          <w:rStyle w:val="Emphasis"/>
          <w:sz w:val="24"/>
          <w:shd w:val="clear" w:color="auto" w:fill="FFFFFF"/>
          <w:lang w:val="hr-HR"/>
        </w:rPr>
        <w:t xml:space="preserve">., </w:t>
      </w:r>
      <w:r w:rsidRPr="00777A4A">
        <w:rPr>
          <w:sz w:val="24"/>
          <w:shd w:val="clear" w:color="auto" w:fill="FFFFFF"/>
          <w:lang w:val="hr-HR"/>
        </w:rPr>
        <w:t>ELI: </w:t>
      </w:r>
      <w:r w:rsidR="008312AB">
        <w:fldChar w:fldCharType="begin"/>
      </w:r>
      <w:r w:rsidR="008312AB" w:rsidRPr="008312AB">
        <w:rPr>
          <w:lang w:val="sv-SE"/>
        </w:rPr>
        <w:instrText>HYPERLINK "http://data.europa.eu/eli/dir/2019/882/oj" \o "Omogućuje pristup tom dokumentu putem URL-a za ELI."</w:instrText>
      </w:r>
      <w:r w:rsidR="008312AB">
        <w:fldChar w:fldCharType="separate"/>
      </w:r>
      <w:r w:rsidRPr="00777A4A">
        <w:rPr>
          <w:rStyle w:val="Hyperlink"/>
          <w:sz w:val="24"/>
          <w:shd w:val="clear" w:color="auto" w:fill="FFFFFF"/>
          <w:lang w:val="hr-HR"/>
        </w:rPr>
        <w:t>http://data.europa.eu/eli/dir/2019/882/oj</w:t>
      </w:r>
      <w:r w:rsidR="008312AB">
        <w:rPr>
          <w:rStyle w:val="Hyperlink"/>
          <w:sz w:val="24"/>
          <w:shd w:val="clear" w:color="auto" w:fill="FFFFFF"/>
          <w:lang w:val="hr-HR"/>
        </w:rPr>
        <w:fldChar w:fldCharType="end"/>
      </w:r>
      <w:r w:rsidR="00BD38AB">
        <w:rPr>
          <w:rStyle w:val="Hyperlink"/>
          <w:color w:val="auto"/>
          <w:sz w:val="24"/>
          <w:u w:val="none"/>
          <w:shd w:val="clear" w:color="auto" w:fill="FFFFFF"/>
          <w:lang w:val="hr-HR"/>
        </w:rPr>
        <w:t>)</w:t>
      </w:r>
      <w:r w:rsidRPr="00777A4A">
        <w:rPr>
          <w:sz w:val="24"/>
          <w:lang w:val="hr-HR"/>
        </w:rPr>
        <w:t>.</w:t>
      </w:r>
    </w:p>
  </w:footnote>
  <w:footnote w:id="5">
    <w:p w14:paraId="66D75691" w14:textId="77777777" w:rsidR="00DD036D" w:rsidRPr="00777A4A" w:rsidRDefault="00DD036D" w:rsidP="00777A4A">
      <w:pPr>
        <w:pStyle w:val="FootnoteText"/>
        <w:ind w:left="567" w:hanging="567"/>
        <w:rPr>
          <w:sz w:val="24"/>
          <w:lang w:val="hr-HR"/>
        </w:rPr>
      </w:pPr>
      <w:r w:rsidRPr="00777A4A">
        <w:rPr>
          <w:rStyle w:val="FootnoteReference"/>
          <w:sz w:val="24"/>
          <w:lang w:val="hr-HR"/>
        </w:rPr>
        <w:footnoteRef/>
      </w:r>
      <w:r w:rsidR="00777A4A" w:rsidRPr="00777A4A">
        <w:rPr>
          <w:sz w:val="24"/>
          <w:shd w:val="clear" w:color="auto" w:fill="FFFFFF"/>
          <w:lang w:val="hr-HR"/>
        </w:rPr>
        <w:t xml:space="preserve"> </w:t>
      </w:r>
      <w:r w:rsidR="00777A4A" w:rsidRPr="00777A4A">
        <w:rPr>
          <w:sz w:val="24"/>
          <w:shd w:val="clear" w:color="auto" w:fill="FFFFFF"/>
          <w:lang w:val="hr-HR"/>
        </w:rPr>
        <w:tab/>
      </w:r>
      <w:r w:rsidRPr="00777A4A">
        <w:rPr>
          <w:sz w:val="24"/>
          <w:shd w:val="clear" w:color="auto" w:fill="FFFFFF"/>
          <w:lang w:val="hr-HR"/>
        </w:rPr>
        <w:t xml:space="preserve">Uredba (EU) 2022/1925 Europskog parlamenta i Vijeća od 14. rujna 2022. o pravednim tržištima s mogućnošću neograničenog tržišnog natjecanja u digitalnom sektoru i izmjeni direktiva (EU) 2019/1937 i (EU) 2020/1828, </w:t>
      </w:r>
      <w:r w:rsidR="00BD38AB">
        <w:rPr>
          <w:sz w:val="24"/>
          <w:shd w:val="clear" w:color="auto" w:fill="FFFFFF"/>
          <w:lang w:val="hr-HR"/>
        </w:rPr>
        <w:t>(</w:t>
      </w:r>
      <w:r w:rsidRPr="00BD38AB">
        <w:rPr>
          <w:rStyle w:val="Emphasis"/>
          <w:i w:val="0"/>
          <w:sz w:val="24"/>
          <w:shd w:val="clear" w:color="auto" w:fill="FFFFFF"/>
          <w:lang w:val="hr-HR"/>
        </w:rPr>
        <w:t>SL L 265, 12.10.2022., str. 1.,</w:t>
      </w:r>
      <w:r w:rsidRPr="00777A4A">
        <w:rPr>
          <w:sz w:val="24"/>
          <w:shd w:val="clear" w:color="auto" w:fill="FFFFFF"/>
          <w:lang w:val="hr-HR"/>
        </w:rPr>
        <w:t xml:space="preserve"> ELI: </w:t>
      </w:r>
      <w:r w:rsidR="008312AB">
        <w:fldChar w:fldCharType="begin"/>
      </w:r>
      <w:r w:rsidR="008312AB" w:rsidRPr="008312AB">
        <w:rPr>
          <w:lang w:val="hr-HR"/>
        </w:rPr>
        <w:instrText>HYPERLINK "http://data.europa.eu/eli/reg/2022/1925/oj" \o "Omogućuje pristup tom dokumentu putem URL-a za ELI."</w:instrText>
      </w:r>
      <w:r w:rsidR="008312AB">
        <w:fldChar w:fldCharType="separate"/>
      </w:r>
      <w:r w:rsidRPr="00777A4A">
        <w:rPr>
          <w:rStyle w:val="Hyperlink"/>
          <w:sz w:val="24"/>
          <w:shd w:val="clear" w:color="auto" w:fill="FFFFFF"/>
          <w:lang w:val="hr-HR"/>
        </w:rPr>
        <w:t>http://data.europa.eu/eli/reg/2022/1925/oj</w:t>
      </w:r>
      <w:r w:rsidR="008312AB">
        <w:rPr>
          <w:rStyle w:val="Hyperlink"/>
          <w:sz w:val="24"/>
          <w:shd w:val="clear" w:color="auto" w:fill="FFFFFF"/>
          <w:lang w:val="hr-HR"/>
        </w:rPr>
        <w:fldChar w:fldCharType="end"/>
      </w:r>
      <w:r w:rsidR="00BD38AB">
        <w:rPr>
          <w:rStyle w:val="Hyperlink"/>
          <w:color w:val="auto"/>
          <w:sz w:val="24"/>
          <w:u w:val="none"/>
          <w:shd w:val="clear" w:color="auto" w:fill="FFFFFF"/>
          <w:lang w:val="hr-HR"/>
        </w:rPr>
        <w:t>)</w:t>
      </w:r>
      <w:r w:rsidRPr="00777A4A">
        <w:rPr>
          <w:sz w:val="24"/>
          <w:lang w:val="hr-HR"/>
        </w:rPr>
        <w:t>.</w:t>
      </w:r>
    </w:p>
  </w:footnote>
  <w:footnote w:id="6">
    <w:p w14:paraId="6E20DCED" w14:textId="77777777" w:rsidR="00DD036D" w:rsidRPr="00777A4A" w:rsidRDefault="00DD036D" w:rsidP="00777A4A">
      <w:pPr>
        <w:pStyle w:val="FootnoteText"/>
        <w:ind w:left="567" w:hanging="567"/>
        <w:rPr>
          <w:sz w:val="24"/>
          <w:lang w:val="hr-HR"/>
        </w:rPr>
      </w:pPr>
      <w:r w:rsidRPr="00777A4A">
        <w:rPr>
          <w:rStyle w:val="FootnoteReference"/>
          <w:sz w:val="24"/>
          <w:lang w:val="hr-HR"/>
        </w:rPr>
        <w:footnoteRef/>
      </w:r>
      <w:r w:rsidR="00777A4A" w:rsidRPr="00777A4A">
        <w:rPr>
          <w:sz w:val="24"/>
          <w:shd w:val="clear" w:color="auto" w:fill="FFFFFF"/>
          <w:lang w:val="hr-HR"/>
        </w:rPr>
        <w:t xml:space="preserve"> </w:t>
      </w:r>
      <w:r w:rsidR="00777A4A" w:rsidRPr="00777A4A">
        <w:rPr>
          <w:sz w:val="24"/>
          <w:shd w:val="clear" w:color="auto" w:fill="FFFFFF"/>
          <w:lang w:val="hr-HR"/>
        </w:rPr>
        <w:tab/>
      </w:r>
      <w:r w:rsidRPr="00777A4A">
        <w:rPr>
          <w:sz w:val="24"/>
          <w:shd w:val="clear" w:color="auto" w:fill="FFFFFF"/>
          <w:lang w:val="hr-HR"/>
        </w:rPr>
        <w:t xml:space="preserve">Uredba (EU) 2022/2065 Europskog parlamenta i Vijeća od 19. listopada 2022. o jedinstvenom tržištu digitalnih usluga i izmjeni Direktive 2000/31/EZ, </w:t>
      </w:r>
      <w:r w:rsidR="00BD38AB">
        <w:rPr>
          <w:sz w:val="24"/>
          <w:shd w:val="clear" w:color="auto" w:fill="FFFFFF"/>
          <w:lang w:val="hr-HR"/>
        </w:rPr>
        <w:t>(</w:t>
      </w:r>
      <w:r w:rsidRPr="00BD38AB">
        <w:rPr>
          <w:rStyle w:val="Emphasis"/>
          <w:i w:val="0"/>
          <w:sz w:val="24"/>
          <w:shd w:val="clear" w:color="auto" w:fill="FFFFFF"/>
          <w:lang w:val="hr-HR"/>
        </w:rPr>
        <w:t>SL L 277, 27.10.2022., str. 1.</w:t>
      </w:r>
      <w:r w:rsidRPr="00777A4A">
        <w:rPr>
          <w:rStyle w:val="Emphasis"/>
          <w:sz w:val="24"/>
          <w:shd w:val="clear" w:color="auto" w:fill="FFFFFF"/>
          <w:lang w:val="hr-HR"/>
        </w:rPr>
        <w:t xml:space="preserve">, </w:t>
      </w:r>
      <w:r w:rsidRPr="00777A4A">
        <w:rPr>
          <w:sz w:val="24"/>
          <w:shd w:val="clear" w:color="auto" w:fill="FFFFFF"/>
          <w:lang w:val="hr-HR"/>
        </w:rPr>
        <w:t>ELI: </w:t>
      </w:r>
      <w:r w:rsidR="008312AB">
        <w:fldChar w:fldCharType="begin"/>
      </w:r>
      <w:r w:rsidR="008312AB" w:rsidRPr="008312AB">
        <w:rPr>
          <w:lang w:val="sv-SE"/>
        </w:rPr>
        <w:instrText>HYPERLINK "http://data.europa.eu/eli/reg/2022/2065/oj" \o "Omogućuje pristup tom dokumentu putem URL-a za ELI."</w:instrText>
      </w:r>
      <w:r w:rsidR="008312AB">
        <w:fldChar w:fldCharType="separate"/>
      </w:r>
      <w:r w:rsidRPr="00777A4A">
        <w:rPr>
          <w:rStyle w:val="Hyperlink"/>
          <w:sz w:val="24"/>
          <w:shd w:val="clear" w:color="auto" w:fill="FFFFFF"/>
          <w:lang w:val="hr-HR"/>
        </w:rPr>
        <w:t>http://data.europa.eu/eli/reg/2022/2065/oj</w:t>
      </w:r>
      <w:r w:rsidR="008312AB">
        <w:rPr>
          <w:rStyle w:val="Hyperlink"/>
          <w:sz w:val="24"/>
          <w:shd w:val="clear" w:color="auto" w:fill="FFFFFF"/>
          <w:lang w:val="hr-HR"/>
        </w:rPr>
        <w:fldChar w:fldCharType="end"/>
      </w:r>
      <w:r w:rsidR="00BD38AB">
        <w:rPr>
          <w:rStyle w:val="Hyperlink"/>
          <w:color w:val="auto"/>
          <w:sz w:val="24"/>
          <w:u w:val="none"/>
          <w:shd w:val="clear" w:color="auto" w:fill="FFFFFF"/>
          <w:lang w:val="hr-HR"/>
        </w:rPr>
        <w:t>)</w:t>
      </w:r>
      <w:r w:rsidRPr="00777A4A">
        <w:rPr>
          <w:sz w:val="24"/>
          <w:lang w:val="hr-HR"/>
        </w:rPr>
        <w:t>.</w:t>
      </w:r>
    </w:p>
  </w:footnote>
  <w:footnote w:id="7">
    <w:p w14:paraId="7DC871A5" w14:textId="77777777" w:rsidR="00DD036D" w:rsidRPr="00777A4A" w:rsidRDefault="00DD036D" w:rsidP="00777A4A">
      <w:pPr>
        <w:pStyle w:val="FootnoteText"/>
        <w:ind w:left="567" w:hanging="567"/>
        <w:rPr>
          <w:sz w:val="24"/>
          <w:lang w:val="hr-HR"/>
        </w:rPr>
      </w:pPr>
      <w:r w:rsidRPr="00777A4A">
        <w:rPr>
          <w:rStyle w:val="FootnoteReference"/>
          <w:sz w:val="24"/>
          <w:lang w:val="hr-HR"/>
        </w:rPr>
        <w:footnoteRef/>
      </w:r>
      <w:r w:rsidR="00777A4A" w:rsidRPr="00777A4A">
        <w:rPr>
          <w:sz w:val="24"/>
          <w:shd w:val="clear" w:color="auto" w:fill="FFFFFF"/>
          <w:lang w:val="hr-HR"/>
        </w:rPr>
        <w:t xml:space="preserve"> </w:t>
      </w:r>
      <w:r w:rsidR="00777A4A" w:rsidRPr="00777A4A">
        <w:rPr>
          <w:sz w:val="24"/>
          <w:shd w:val="clear" w:color="auto" w:fill="FFFFFF"/>
          <w:lang w:val="hr-HR"/>
        </w:rPr>
        <w:tab/>
      </w:r>
      <w:r w:rsidRPr="00777A4A">
        <w:rPr>
          <w:sz w:val="24"/>
          <w:shd w:val="clear" w:color="auto" w:fill="FFFFFF"/>
          <w:lang w:val="hr-HR"/>
        </w:rPr>
        <w:t xml:space="preserve">Uredba (EU) 2024/1689 Europskog parlamenta i Vijeća od 13. lipnja 2024. o utvrđivanju usklađenih pravila o umjetnoj inteligenciji i o izmjeni uredaba (EZ) br. 300/2008, (EU) br. 167/2013, (EU) br. 168/2013, (EU) 2018/858, (EU) 2018/1139 i (EU) 2019/2144 te direktiva 2014/90/EU, (EU) 2016/797 i (EU) 2020/1828, </w:t>
      </w:r>
      <w:r w:rsidR="00BD38AB">
        <w:rPr>
          <w:sz w:val="24"/>
          <w:shd w:val="clear" w:color="auto" w:fill="FFFFFF"/>
          <w:lang w:val="hr-HR"/>
        </w:rPr>
        <w:t>(</w:t>
      </w:r>
      <w:r w:rsidRPr="00BD38AB">
        <w:rPr>
          <w:rStyle w:val="Emphasis"/>
          <w:i w:val="0"/>
          <w:sz w:val="24"/>
          <w:shd w:val="clear" w:color="auto" w:fill="FFFFFF"/>
          <w:lang w:val="hr-HR"/>
        </w:rPr>
        <w:t>SL L, 2024/1689, 12.7.2024.,</w:t>
      </w:r>
      <w:r w:rsidRPr="00777A4A">
        <w:rPr>
          <w:rStyle w:val="Emphasis"/>
          <w:sz w:val="24"/>
          <w:shd w:val="clear" w:color="auto" w:fill="FFFFFF"/>
          <w:lang w:val="hr-HR"/>
        </w:rPr>
        <w:t xml:space="preserve"> </w:t>
      </w:r>
      <w:r w:rsidRPr="00BD38AB">
        <w:rPr>
          <w:rStyle w:val="Emphasis"/>
          <w:i w:val="0"/>
          <w:sz w:val="24"/>
          <w:shd w:val="clear" w:color="auto" w:fill="FFFFFF"/>
          <w:lang w:val="hr-HR"/>
        </w:rPr>
        <w:t>ELI</w:t>
      </w:r>
      <w:r w:rsidRPr="00777A4A">
        <w:rPr>
          <w:rStyle w:val="Emphasis"/>
          <w:sz w:val="24"/>
          <w:shd w:val="clear" w:color="auto" w:fill="FFFFFF"/>
          <w:lang w:val="hr-HR"/>
        </w:rPr>
        <w:t>: </w:t>
      </w:r>
      <w:r w:rsidR="008312AB">
        <w:fldChar w:fldCharType="begin"/>
      </w:r>
      <w:r w:rsidR="008312AB" w:rsidRPr="008312AB">
        <w:rPr>
          <w:lang w:val="hr-HR"/>
        </w:rPr>
        <w:instrText>HYPERLINK "http://data.europa.eu/eli/reg/2024/1689/oj" \t "_blank" \o "Omogućuje pristup tom dokumentu putem URL-a za ELI."</w:instrText>
      </w:r>
      <w:r w:rsidR="008312AB">
        <w:fldChar w:fldCharType="separate"/>
      </w:r>
      <w:r w:rsidRPr="00777A4A">
        <w:rPr>
          <w:rStyle w:val="Hyperlink"/>
          <w:sz w:val="24"/>
          <w:lang w:val="hr-HR"/>
        </w:rPr>
        <w:t>http://data.europa.eu/eli/reg/2024/1689/oj</w:t>
      </w:r>
      <w:r w:rsidR="008312AB">
        <w:rPr>
          <w:rStyle w:val="Hyperlink"/>
          <w:sz w:val="24"/>
          <w:lang w:val="hr-HR"/>
        </w:rPr>
        <w:fldChar w:fldCharType="end"/>
      </w:r>
      <w:r w:rsidR="00BD38AB">
        <w:rPr>
          <w:rStyle w:val="Hyperlink"/>
          <w:color w:val="auto"/>
          <w:sz w:val="24"/>
          <w:u w:val="none"/>
          <w:lang w:val="hr-HR"/>
        </w:rPr>
        <w:t>)</w:t>
      </w:r>
      <w:r w:rsidRPr="00777A4A">
        <w:rPr>
          <w:rStyle w:val="Emphasis"/>
          <w:sz w:val="24"/>
          <w:shd w:val="clear" w:color="auto" w:fill="FFFFFF"/>
          <w:lang w:val="hr-HR"/>
        </w:rPr>
        <w:t>.</w:t>
      </w:r>
    </w:p>
  </w:footnote>
  <w:footnote w:id="8">
    <w:p w14:paraId="0DBCC965" w14:textId="77777777" w:rsidR="00DD036D" w:rsidRPr="00777A4A" w:rsidRDefault="00DD036D" w:rsidP="00777A4A">
      <w:pPr>
        <w:pStyle w:val="FootnoteText"/>
        <w:ind w:left="567" w:hanging="567"/>
        <w:rPr>
          <w:sz w:val="24"/>
          <w:lang w:val="hr-HR"/>
        </w:rPr>
      </w:pPr>
      <w:r w:rsidRPr="00777A4A">
        <w:rPr>
          <w:rStyle w:val="FootnoteReference"/>
          <w:sz w:val="24"/>
          <w:lang w:val="hr-HR"/>
        </w:rPr>
        <w:footnoteRef/>
      </w:r>
      <w:r w:rsidR="00777A4A" w:rsidRPr="00777A4A">
        <w:rPr>
          <w:sz w:val="24"/>
          <w:shd w:val="clear" w:color="auto" w:fill="FFFFFF"/>
          <w:lang w:val="hr-HR"/>
        </w:rPr>
        <w:t xml:space="preserve"> </w:t>
      </w:r>
      <w:r w:rsidR="00777A4A" w:rsidRPr="00777A4A">
        <w:rPr>
          <w:sz w:val="24"/>
          <w:shd w:val="clear" w:color="auto" w:fill="FFFFFF"/>
          <w:lang w:val="hr-HR"/>
        </w:rPr>
        <w:tab/>
      </w:r>
      <w:r w:rsidR="0059729E">
        <w:rPr>
          <w:sz w:val="24"/>
          <w:shd w:val="clear" w:color="auto" w:fill="FFFFFF"/>
          <w:lang w:val="hr-HR"/>
        </w:rPr>
        <w:t xml:space="preserve">Uredba (EU) </w:t>
      </w:r>
      <w:r w:rsidRPr="00777A4A">
        <w:rPr>
          <w:sz w:val="24"/>
          <w:shd w:val="clear" w:color="auto" w:fill="FFFFFF"/>
          <w:lang w:val="hr-HR"/>
        </w:rPr>
        <w:t xml:space="preserve">2017/2394 Europskog parlamenta i Vijeća od 12. prosinca 2017. o suradnji između nacionalnih tijela odgovornih za izvršavanje propisâ o zaštiti potrošača i o stavljanju izvan snage Uredbe (EZ) br. 2006/2004, </w:t>
      </w:r>
      <w:r w:rsidR="00BD38AB">
        <w:rPr>
          <w:sz w:val="24"/>
          <w:shd w:val="clear" w:color="auto" w:fill="FFFFFF"/>
          <w:lang w:val="hr-HR"/>
        </w:rPr>
        <w:t>(</w:t>
      </w:r>
      <w:r w:rsidRPr="00BD38AB">
        <w:rPr>
          <w:rStyle w:val="Emphasis"/>
          <w:i w:val="0"/>
          <w:sz w:val="24"/>
          <w:shd w:val="clear" w:color="auto" w:fill="FFFFFF"/>
          <w:lang w:val="hr-HR"/>
        </w:rPr>
        <w:t>SL L 345, 27.12.2017., str. 1.,</w:t>
      </w:r>
      <w:r w:rsidRPr="00777A4A">
        <w:rPr>
          <w:i/>
          <w:sz w:val="24"/>
          <w:shd w:val="clear" w:color="auto" w:fill="FFFFFF"/>
          <w:lang w:val="hr-HR"/>
        </w:rPr>
        <w:t xml:space="preserve"> </w:t>
      </w:r>
      <w:r w:rsidRPr="00777A4A">
        <w:rPr>
          <w:sz w:val="24"/>
          <w:shd w:val="clear" w:color="auto" w:fill="FFFFFF"/>
          <w:lang w:val="hr-HR"/>
        </w:rPr>
        <w:t>ELI: </w:t>
      </w:r>
      <w:r w:rsidR="008312AB">
        <w:fldChar w:fldCharType="begin"/>
      </w:r>
      <w:r w:rsidR="008312AB" w:rsidRPr="008312AB">
        <w:rPr>
          <w:lang w:val="hr-HR"/>
        </w:rPr>
        <w:instrText>HYPERLINK "http://data.europa.eu/eli/reg/2017/2394/oj" \o "Omogućuje pristup tom dokumentu putem URL-a za ELI."</w:instrText>
      </w:r>
      <w:r w:rsidR="008312AB">
        <w:fldChar w:fldCharType="separate"/>
      </w:r>
      <w:r w:rsidRPr="00777A4A">
        <w:rPr>
          <w:rStyle w:val="Hyperlink"/>
          <w:sz w:val="24"/>
          <w:shd w:val="clear" w:color="auto" w:fill="FFFFFF"/>
          <w:lang w:val="hr-HR"/>
        </w:rPr>
        <w:t>http://data.europa.eu/eli/reg/2017/2394/oj</w:t>
      </w:r>
      <w:r w:rsidR="008312AB">
        <w:rPr>
          <w:rStyle w:val="Hyperlink"/>
          <w:sz w:val="24"/>
          <w:shd w:val="clear" w:color="auto" w:fill="FFFFFF"/>
          <w:lang w:val="hr-HR"/>
        </w:rPr>
        <w:fldChar w:fldCharType="end"/>
      </w:r>
      <w:r w:rsidR="00BD38AB">
        <w:rPr>
          <w:rStyle w:val="Hyperlink"/>
          <w:color w:val="auto"/>
          <w:sz w:val="24"/>
          <w:u w:val="none"/>
          <w:shd w:val="clear" w:color="auto" w:fill="FFFFFF"/>
          <w:lang w:val="hr-HR"/>
        </w:rPr>
        <w:t>)</w:t>
      </w:r>
      <w:r w:rsidRPr="00777A4A">
        <w:rPr>
          <w:sz w:val="24"/>
          <w:lang w:val="hr-HR"/>
        </w:rPr>
        <w:t>.</w:t>
      </w:r>
    </w:p>
  </w:footnote>
  <w:footnote w:id="9">
    <w:p w14:paraId="1E86E450" w14:textId="77777777" w:rsidR="00DD036D" w:rsidRPr="00777A4A" w:rsidRDefault="00DD036D" w:rsidP="00777A4A">
      <w:pPr>
        <w:pStyle w:val="FootnoteText"/>
        <w:ind w:left="567" w:hanging="567"/>
        <w:rPr>
          <w:sz w:val="24"/>
          <w:lang w:val="hr-HR"/>
        </w:rPr>
      </w:pPr>
      <w:r w:rsidRPr="00777A4A">
        <w:rPr>
          <w:rStyle w:val="FootnoteReference"/>
          <w:sz w:val="24"/>
          <w:lang w:val="hr-HR"/>
        </w:rPr>
        <w:footnoteRef/>
      </w:r>
      <w:r w:rsidR="00777A4A" w:rsidRPr="00777A4A">
        <w:rPr>
          <w:sz w:val="24"/>
          <w:lang w:val="hr-HR"/>
        </w:rPr>
        <w:t xml:space="preserve"> </w:t>
      </w:r>
      <w:r w:rsidR="00777A4A" w:rsidRPr="00777A4A">
        <w:rPr>
          <w:sz w:val="24"/>
          <w:lang w:val="hr-HR"/>
        </w:rPr>
        <w:tab/>
      </w:r>
      <w:r w:rsidRPr="00777A4A">
        <w:rPr>
          <w:sz w:val="24"/>
          <w:lang w:val="hr-HR"/>
        </w:rPr>
        <w:t xml:space="preserve">Presuda od 5. ožujka 2024., </w:t>
      </w:r>
      <w:r w:rsidRPr="00777A4A">
        <w:rPr>
          <w:i/>
          <w:sz w:val="24"/>
          <w:lang w:val="hr-HR"/>
        </w:rPr>
        <w:t>Public.Resource.Org Inc.</w:t>
      </w:r>
      <w:r w:rsidRPr="00777A4A">
        <w:rPr>
          <w:sz w:val="24"/>
          <w:lang w:val="hr-HR"/>
        </w:rPr>
        <w:t>/</w:t>
      </w:r>
      <w:proofErr w:type="spellStart"/>
      <w:r w:rsidRPr="00777A4A">
        <w:rPr>
          <w:i/>
          <w:sz w:val="24"/>
          <w:lang w:val="hr-HR"/>
        </w:rPr>
        <w:t>Right</w:t>
      </w:r>
      <w:proofErr w:type="spellEnd"/>
      <w:r w:rsidRPr="00777A4A">
        <w:rPr>
          <w:i/>
          <w:sz w:val="24"/>
          <w:lang w:val="hr-HR"/>
        </w:rPr>
        <w:t xml:space="preserve"> to Know</w:t>
      </w:r>
      <w:r w:rsidRPr="00777A4A">
        <w:rPr>
          <w:sz w:val="24"/>
          <w:lang w:val="hr-HR"/>
        </w:rPr>
        <w:t xml:space="preserve"> </w:t>
      </w:r>
      <w:r w:rsidRPr="00777A4A">
        <w:rPr>
          <w:i/>
          <w:sz w:val="24"/>
          <w:lang w:val="hr-HR"/>
        </w:rPr>
        <w:t xml:space="preserve">CLG, </w:t>
      </w:r>
      <w:r w:rsidRPr="00777A4A">
        <w:rPr>
          <w:sz w:val="24"/>
          <w:lang w:val="hr-HR"/>
        </w:rPr>
        <w:t>C‑588/21 P, EU:C:2024:201.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9326212">
    <w:abstractNumId w:val="9"/>
  </w:num>
  <w:num w:numId="2" w16cid:durableId="846408552">
    <w:abstractNumId w:val="9"/>
  </w:num>
  <w:num w:numId="3" w16cid:durableId="1981033740">
    <w:abstractNumId w:val="7"/>
  </w:num>
  <w:num w:numId="4" w16cid:durableId="2017347078">
    <w:abstractNumId w:val="7"/>
  </w:num>
  <w:num w:numId="5" w16cid:durableId="507408762">
    <w:abstractNumId w:val="6"/>
  </w:num>
  <w:num w:numId="6" w16cid:durableId="741527">
    <w:abstractNumId w:val="6"/>
  </w:num>
  <w:num w:numId="7" w16cid:durableId="1023702643">
    <w:abstractNumId w:val="5"/>
  </w:num>
  <w:num w:numId="8" w16cid:durableId="1806698453">
    <w:abstractNumId w:val="5"/>
  </w:num>
  <w:num w:numId="9" w16cid:durableId="420444824">
    <w:abstractNumId w:val="4"/>
  </w:num>
  <w:num w:numId="10" w16cid:durableId="115099748">
    <w:abstractNumId w:val="4"/>
  </w:num>
  <w:num w:numId="11" w16cid:durableId="1070153580">
    <w:abstractNumId w:val="8"/>
  </w:num>
  <w:num w:numId="12" w16cid:durableId="804540749">
    <w:abstractNumId w:val="8"/>
  </w:num>
  <w:num w:numId="13" w16cid:durableId="737631445">
    <w:abstractNumId w:val="3"/>
  </w:num>
  <w:num w:numId="14" w16cid:durableId="1770540235">
    <w:abstractNumId w:val="3"/>
  </w:num>
  <w:num w:numId="15" w16cid:durableId="1909414957">
    <w:abstractNumId w:val="2"/>
  </w:num>
  <w:num w:numId="16" w16cid:durableId="1915163750">
    <w:abstractNumId w:val="2"/>
  </w:num>
  <w:num w:numId="17" w16cid:durableId="1867592869">
    <w:abstractNumId w:val="1"/>
  </w:num>
  <w:num w:numId="18" w16cid:durableId="1210803713">
    <w:abstractNumId w:val="1"/>
  </w:num>
  <w:num w:numId="19" w16cid:durableId="2032218560">
    <w:abstractNumId w:val="0"/>
  </w:num>
  <w:num w:numId="20" w16cid:durableId="1024328886">
    <w:abstractNumId w:val="0"/>
  </w:num>
  <w:num w:numId="21" w16cid:durableId="1863401841">
    <w:abstractNumId w:val="9"/>
  </w:num>
  <w:num w:numId="22" w16cid:durableId="1980262296">
    <w:abstractNumId w:val="7"/>
  </w:num>
  <w:num w:numId="23" w16cid:durableId="730347885">
    <w:abstractNumId w:val="6"/>
  </w:num>
  <w:num w:numId="24" w16cid:durableId="1838350378">
    <w:abstractNumId w:val="5"/>
  </w:num>
  <w:num w:numId="25" w16cid:durableId="78647714">
    <w:abstractNumId w:val="4"/>
  </w:num>
  <w:num w:numId="26" w16cid:durableId="651644788">
    <w:abstractNumId w:val="8"/>
  </w:num>
  <w:num w:numId="27" w16cid:durableId="1044716275">
    <w:abstractNumId w:val="3"/>
  </w:num>
  <w:num w:numId="28" w16cid:durableId="1047409140">
    <w:abstractNumId w:val="2"/>
  </w:num>
  <w:num w:numId="29" w16cid:durableId="98794131">
    <w:abstractNumId w:val="1"/>
  </w:num>
  <w:num w:numId="30" w16cid:durableId="665283143">
    <w:abstractNumId w:val="0"/>
  </w:num>
  <w:num w:numId="31" w16cid:durableId="389695273">
    <w:abstractNumId w:val="9"/>
  </w:num>
  <w:num w:numId="32" w16cid:durableId="1721441933">
    <w:abstractNumId w:val="7"/>
  </w:num>
  <w:num w:numId="33" w16cid:durableId="205915554">
    <w:abstractNumId w:val="6"/>
  </w:num>
  <w:num w:numId="34" w16cid:durableId="2031105196">
    <w:abstractNumId w:val="5"/>
  </w:num>
  <w:num w:numId="35" w16cid:durableId="1161696542">
    <w:abstractNumId w:val="4"/>
  </w:num>
  <w:num w:numId="36" w16cid:durableId="1116171895">
    <w:abstractNumId w:val="8"/>
  </w:num>
  <w:num w:numId="37" w16cid:durableId="468129267">
    <w:abstractNumId w:val="3"/>
  </w:num>
  <w:num w:numId="38" w16cid:durableId="482896387">
    <w:abstractNumId w:val="2"/>
  </w:num>
  <w:num w:numId="39" w16cid:durableId="782185952">
    <w:abstractNumId w:val="1"/>
  </w:num>
  <w:num w:numId="40" w16cid:durableId="752314908">
    <w:abstractNumId w:val="0"/>
  </w:num>
  <w:num w:numId="41" w16cid:durableId="1578711582">
    <w:abstractNumId w:val="10"/>
  </w:num>
  <w:num w:numId="42" w16cid:durableId="381515937">
    <w:abstractNumId w:val="10"/>
  </w:num>
  <w:num w:numId="43" w16cid:durableId="1119882969">
    <w:abstractNumId w:val="10"/>
  </w:num>
  <w:num w:numId="44" w16cid:durableId="5063633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B10-0246/2025"/>
    <w:docVar w:name="dvlangue" w:val="HR"/>
    <w:docVar w:name="dvnumam" w:val="0"/>
    <w:docVar w:name="dvpe" w:val="772.165"/>
    <w:docVar w:name="dvtitre" w:val="Rezolucija Europskog parlamenta od .... 2025. o starim izazovima i novim poslovnim praksama na unutarnjem tržištu(2025/2542(RSP))"/>
  </w:docVars>
  <w:rsids>
    <w:rsidRoot w:val="00806293"/>
    <w:rsid w:val="00002272"/>
    <w:rsid w:val="00064002"/>
    <w:rsid w:val="000677B9"/>
    <w:rsid w:val="000831BA"/>
    <w:rsid w:val="000A42CC"/>
    <w:rsid w:val="000C5BDD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2808"/>
    <w:rsid w:val="0050519A"/>
    <w:rsid w:val="005072A1"/>
    <w:rsid w:val="00514517"/>
    <w:rsid w:val="00545827"/>
    <w:rsid w:val="00560270"/>
    <w:rsid w:val="0059729E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7A4A"/>
    <w:rsid w:val="00786EC0"/>
    <w:rsid w:val="007D1690"/>
    <w:rsid w:val="007E22AD"/>
    <w:rsid w:val="008045D0"/>
    <w:rsid w:val="00806293"/>
    <w:rsid w:val="00817416"/>
    <w:rsid w:val="008312AB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38A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670C"/>
    <w:rsid w:val="00D834A0"/>
    <w:rsid w:val="00D872DF"/>
    <w:rsid w:val="00D91E21"/>
    <w:rsid w:val="00DA7FCD"/>
    <w:rsid w:val="00DD036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D8542E"/>
  <w15:chartTrackingRefBased/>
  <w15:docId w15:val="{7184E819-BC3E-45B8-8B6F-09AC58EFF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D036D"/>
    <w:pPr>
      <w:spacing w:before="480" w:after="240"/>
    </w:pPr>
  </w:style>
  <w:style w:type="paragraph" w:customStyle="1" w:styleId="NormalHanging12a">
    <w:name w:val="NormalHanging12a"/>
    <w:basedOn w:val="Normal"/>
    <w:rsid w:val="00DD036D"/>
    <w:pPr>
      <w:spacing w:after="240"/>
      <w:ind w:left="567" w:hanging="567"/>
    </w:pPr>
  </w:style>
  <w:style w:type="character" w:styleId="Emphasis">
    <w:name w:val="Emphasis"/>
    <w:basedOn w:val="DefaultParagraphFont"/>
    <w:uiPriority w:val="20"/>
    <w:qFormat/>
    <w:rsid w:val="00DD036D"/>
    <w:rPr>
      <w:i/>
      <w:iCs/>
    </w:rPr>
  </w:style>
  <w:style w:type="character" w:styleId="Hyperlink">
    <w:name w:val="Hyperlink"/>
    <w:basedOn w:val="DefaultParagraphFont"/>
    <w:uiPriority w:val="99"/>
    <w:unhideWhenUsed/>
    <w:rsid w:val="00DD03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547737-0EB5-4810-8A69-6908F37E8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2974</Words>
  <Characters>18896</Characters>
  <Application>Microsoft Office Word</Application>
  <DocSecurity>0</DocSecurity>
  <Lines>157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2025-09-18T14:15:00Z</dcterms:created>
  <dcterms:modified xsi:type="dcterms:W3CDTF">2025-09-18T14:15:00Z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P10_TA(2025)0107_</vt:lpwstr>
  </property>
  <property fmtid="{D5CDD505-2E9C-101B-9397-08002B2CF9AE}" pid="4" name="&lt;Type&gt;">
    <vt:lpwstr>RR</vt:lpwstr>
  </property>
</Properties>
</file>