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7403" w:rsidTr="0010095E">
        <w:trPr>
          <w:trHeight w:hRule="exact" w:val="1418"/>
        </w:trPr>
        <w:tc>
          <w:tcPr>
            <w:tcW w:w="6804" w:type="dxa"/>
            <w:shd w:val="clear" w:color="auto" w:fill="auto"/>
            <w:vAlign w:val="center"/>
          </w:tcPr>
          <w:p w:rsidR="00751A4A" w:rsidRPr="00457403" w:rsidRDefault="00EF6096" w:rsidP="0010095E">
            <w:pPr>
              <w:pStyle w:val="EPName"/>
            </w:pPr>
            <w:r w:rsidRPr="00457403">
              <w:t>Europees Parlement</w:t>
            </w:r>
          </w:p>
          <w:p w:rsidR="00751A4A" w:rsidRPr="00457403" w:rsidRDefault="005F1B17" w:rsidP="005F1B17">
            <w:pPr>
              <w:pStyle w:val="EPTerm"/>
              <w:rPr>
                <w:rStyle w:val="HideTWBExt"/>
                <w:noProof w:val="0"/>
                <w:vanish w:val="0"/>
                <w:color w:val="auto"/>
              </w:rPr>
            </w:pPr>
            <w:r w:rsidRPr="00457403">
              <w:t>2024</w:t>
            </w:r>
            <w:r w:rsidR="00817416" w:rsidRPr="00457403">
              <w:t>-202</w:t>
            </w:r>
            <w:r w:rsidRPr="00457403">
              <w:t>9</w:t>
            </w:r>
          </w:p>
        </w:tc>
        <w:tc>
          <w:tcPr>
            <w:tcW w:w="2268" w:type="dxa"/>
            <w:shd w:val="clear" w:color="auto" w:fill="auto"/>
          </w:tcPr>
          <w:p w:rsidR="00751A4A" w:rsidRPr="00457403" w:rsidRDefault="00187494" w:rsidP="0010095E">
            <w:pPr>
              <w:pStyle w:val="EPLogo"/>
            </w:pPr>
            <w:r w:rsidRPr="0045740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7403" w:rsidRDefault="00D058B8" w:rsidP="004C5D52">
      <w:pPr>
        <w:pStyle w:val="LineTop"/>
      </w:pPr>
    </w:p>
    <w:p w:rsidR="00680577" w:rsidRPr="00457403" w:rsidRDefault="00EF6096" w:rsidP="00680577">
      <w:pPr>
        <w:pStyle w:val="EPBodyTA1"/>
      </w:pPr>
      <w:r w:rsidRPr="00457403">
        <w:t>AANGENOMEN TEKSTEN</w:t>
      </w:r>
    </w:p>
    <w:p w:rsidR="00D058B8" w:rsidRPr="00457403" w:rsidRDefault="00D058B8" w:rsidP="00D058B8">
      <w:pPr>
        <w:pStyle w:val="LineBottom"/>
      </w:pPr>
    </w:p>
    <w:p w:rsidR="00EF6096" w:rsidRPr="00457403" w:rsidRDefault="00EF6096" w:rsidP="00EF6096">
      <w:pPr>
        <w:pStyle w:val="ATHeading1"/>
      </w:pPr>
      <w:bookmarkStart w:id="0" w:name="TANumber"/>
      <w:r w:rsidRPr="00457403">
        <w:t>P10_</w:t>
      </w:r>
      <w:proofErr w:type="gramStart"/>
      <w:r w:rsidRPr="00457403">
        <w:t>TA(</w:t>
      </w:r>
      <w:proofErr w:type="gramEnd"/>
      <w:r w:rsidRPr="00457403">
        <w:t>2025)0</w:t>
      </w:r>
      <w:bookmarkEnd w:id="0"/>
      <w:r w:rsidR="004B7640" w:rsidRPr="00457403">
        <w:t>107</w:t>
      </w:r>
    </w:p>
    <w:p w:rsidR="00EF6096" w:rsidRPr="00457403" w:rsidRDefault="00EF6096" w:rsidP="00EF6096">
      <w:pPr>
        <w:pStyle w:val="ATHeading2"/>
      </w:pPr>
      <w:bookmarkStart w:id="1" w:name="title"/>
      <w:r w:rsidRPr="00457403">
        <w:t>Bekende uitdagingen en nieuwe handelspraktijken op de interne markt</w:t>
      </w:r>
      <w:bookmarkEnd w:id="1"/>
    </w:p>
    <w:p w:rsidR="00EF6096" w:rsidRPr="00457403" w:rsidRDefault="00EF6096" w:rsidP="00EF6096">
      <w:pPr>
        <w:rPr>
          <w:i/>
          <w:vanish/>
        </w:rPr>
      </w:pPr>
      <w:r w:rsidRPr="00457403">
        <w:rPr>
          <w:i/>
        </w:rPr>
        <w:fldChar w:fldCharType="begin"/>
      </w:r>
      <w:r w:rsidRPr="00457403">
        <w:rPr>
          <w:i/>
        </w:rPr>
        <w:instrText xml:space="preserve"> TC"(</w:instrText>
      </w:r>
      <w:bookmarkStart w:id="2" w:name="DocNumber"/>
      <w:r w:rsidRPr="00457403">
        <w:rPr>
          <w:i/>
        </w:rPr>
        <w:instrText>B10-0246/2025</w:instrText>
      </w:r>
      <w:bookmarkEnd w:id="2"/>
      <w:r w:rsidRPr="00457403">
        <w:rPr>
          <w:i/>
        </w:rPr>
        <w:instrText>)"\l3 \n&gt; \* MERGEFORM</w:instrText>
      </w:r>
      <w:bookmarkStart w:id="3" w:name="_GoBack"/>
      <w:bookmarkEnd w:id="3"/>
      <w:r w:rsidRPr="00457403">
        <w:rPr>
          <w:i/>
        </w:rPr>
        <w:instrText xml:space="preserve">AT </w:instrText>
      </w:r>
      <w:r w:rsidRPr="00457403">
        <w:rPr>
          <w:i/>
        </w:rPr>
        <w:fldChar w:fldCharType="end"/>
      </w:r>
    </w:p>
    <w:p w:rsidR="00EF6096" w:rsidRPr="00457403" w:rsidRDefault="00EF6096" w:rsidP="00EF6096">
      <w:pPr>
        <w:rPr>
          <w:vanish/>
        </w:rPr>
      </w:pPr>
      <w:bookmarkStart w:id="4" w:name="PE"/>
      <w:r w:rsidRPr="00457403">
        <w:rPr>
          <w:vanish/>
        </w:rPr>
        <w:t>PE772.165</w:t>
      </w:r>
      <w:bookmarkEnd w:id="4"/>
    </w:p>
    <w:p w:rsidR="00EF6096" w:rsidRPr="00457403" w:rsidRDefault="00EF6096" w:rsidP="00EF6096">
      <w:pPr>
        <w:pStyle w:val="ATHeading3"/>
      </w:pPr>
      <w:bookmarkStart w:id="5" w:name="Sujet"/>
      <w:r w:rsidRPr="00457403">
        <w:t xml:space="preserve">Resolutie van het Europees Parlement van </w:t>
      </w:r>
      <w:r w:rsidR="002B73D2" w:rsidRPr="00457403">
        <w:t>8</w:t>
      </w:r>
      <w:r w:rsidRPr="00457403">
        <w:t xml:space="preserve"> mei 2025 over bekende uitdagingen en nieuwe handelspraktijken op de interne markt</w:t>
      </w:r>
      <w:bookmarkEnd w:id="5"/>
      <w:r w:rsidRPr="00457403">
        <w:t xml:space="preserve"> </w:t>
      </w:r>
      <w:bookmarkStart w:id="6" w:name="References"/>
      <w:r w:rsidRPr="00457403">
        <w:t>(2025/2542(RSP))</w:t>
      </w:r>
      <w:bookmarkEnd w:id="6"/>
    </w:p>
    <w:p w:rsidR="00F57758" w:rsidRPr="00457403" w:rsidRDefault="00F57758" w:rsidP="00F57758">
      <w:pPr>
        <w:pStyle w:val="EPComma"/>
      </w:pPr>
      <w:bookmarkStart w:id="7" w:name="TextBodyBegin"/>
      <w:bookmarkEnd w:id="7"/>
      <w:r w:rsidRPr="00457403">
        <w:rPr>
          <w:i/>
          <w:iCs/>
        </w:rPr>
        <w:t>Het Europees Parlement</w:t>
      </w:r>
      <w:r w:rsidRPr="00457403">
        <w:t>,</w:t>
      </w:r>
    </w:p>
    <w:p w:rsidR="00F57758" w:rsidRPr="00457403" w:rsidRDefault="00F57758" w:rsidP="00F57758">
      <w:pPr>
        <w:pStyle w:val="NormalHanging12a"/>
      </w:pPr>
      <w:r w:rsidRPr="00457403">
        <w:t>–</w:t>
      </w:r>
      <w:r w:rsidRPr="00457403">
        <w:tab/>
        <w:t>gezien zijn resolutie van 18 januari 2023 over het dertigjarig bestaan van de eengemaakte markt: de verwezenlijkingen vieren en uitkijken naar toekomstige ontwikkelingen</w:t>
      </w:r>
      <w:r w:rsidRPr="00457403">
        <w:rPr>
          <w:rStyle w:val="FootnoteReference"/>
        </w:rPr>
        <w:footnoteReference w:id="1"/>
      </w:r>
      <w:r w:rsidRPr="00457403">
        <w:t>,</w:t>
      </w:r>
    </w:p>
    <w:p w:rsidR="00F57758" w:rsidRPr="00457403" w:rsidRDefault="00F57758" w:rsidP="00F57758">
      <w:pPr>
        <w:pStyle w:val="NormalHanging12a"/>
      </w:pPr>
      <w:r w:rsidRPr="00457403">
        <w:t>–</w:t>
      </w:r>
      <w:r w:rsidRPr="00457403">
        <w:tab/>
        <w:t>gezien het verslag van Enrico Letta van 17 april 2024 getiteld “</w:t>
      </w:r>
      <w:proofErr w:type="spellStart"/>
      <w:r w:rsidRPr="00457403">
        <w:t>Much</w:t>
      </w:r>
      <w:proofErr w:type="spellEnd"/>
      <w:r w:rsidRPr="00457403">
        <w:t xml:space="preserve"> more </w:t>
      </w:r>
      <w:proofErr w:type="spellStart"/>
      <w:r w:rsidRPr="00457403">
        <w:t>than</w:t>
      </w:r>
      <w:proofErr w:type="spellEnd"/>
      <w:r w:rsidRPr="00457403">
        <w:t xml:space="preserve"> a market” (het Letta-verslag),</w:t>
      </w:r>
    </w:p>
    <w:p w:rsidR="00F57758" w:rsidRPr="00457403" w:rsidRDefault="00F57758" w:rsidP="00F57758">
      <w:pPr>
        <w:pStyle w:val="NormalHanging12a"/>
      </w:pPr>
      <w:r w:rsidRPr="00457403">
        <w:t>–</w:t>
      </w:r>
      <w:r w:rsidRPr="00457403">
        <w:tab/>
        <w:t>gezien het verslag van Mario Draghi van 9 september 2024 getiteld “The future of European competitiveness” (het Draghi-verslag),</w:t>
      </w:r>
    </w:p>
    <w:p w:rsidR="00F57758" w:rsidRPr="00457403" w:rsidRDefault="00F57758" w:rsidP="00F57758">
      <w:pPr>
        <w:pStyle w:val="NormalHanging12a"/>
      </w:pPr>
      <w:r w:rsidRPr="00457403">
        <w:t>–</w:t>
      </w:r>
      <w:r w:rsidRPr="00457403">
        <w:tab/>
        <w:t>gezien de mededeling van de Commissie van 29 januari 2025 getiteld “Het jaarverslag over de eengemaakte markt en het concurrentievermogen 2025” (</w:t>
      </w:r>
      <w:proofErr w:type="gramStart"/>
      <w:r w:rsidRPr="00457403">
        <w:t>COM(</w:t>
      </w:r>
      <w:proofErr w:type="gramEnd"/>
      <w:r w:rsidRPr="00457403">
        <w:t>2025)0026),</w:t>
      </w:r>
    </w:p>
    <w:p w:rsidR="00F57758" w:rsidRPr="00457403" w:rsidRDefault="00F57758" w:rsidP="00F57758">
      <w:pPr>
        <w:pStyle w:val="NormalHanging12a"/>
      </w:pPr>
      <w:r w:rsidRPr="00457403">
        <w:t>–</w:t>
      </w:r>
      <w:r w:rsidRPr="00457403">
        <w:tab/>
        <w:t>gezien de mededeling van de Commissie van 29 januari 2025 getiteld “Het EU-kompas voor concurrentievermogen” (</w:t>
      </w:r>
      <w:proofErr w:type="gramStart"/>
      <w:r w:rsidRPr="00457403">
        <w:t>COM(</w:t>
      </w:r>
      <w:proofErr w:type="gramEnd"/>
      <w:r w:rsidRPr="00457403">
        <w:t>2025)0030),</w:t>
      </w:r>
    </w:p>
    <w:p w:rsidR="00F57758" w:rsidRPr="00457403" w:rsidRDefault="00F57758" w:rsidP="00F57758">
      <w:pPr>
        <w:pStyle w:val="NormalHanging12a"/>
      </w:pPr>
      <w:r w:rsidRPr="00457403">
        <w:t>–</w:t>
      </w:r>
      <w:r w:rsidRPr="00457403">
        <w:tab/>
        <w:t>gezien de mededeling van de Commissie van 11 februari 2025 getiteld “Een eenvoudiger en sneller Europa: mededeling over uitvoering en vereenvoudiging” (</w:t>
      </w:r>
      <w:proofErr w:type="gramStart"/>
      <w:r w:rsidRPr="00457403">
        <w:t>COM(</w:t>
      </w:r>
      <w:proofErr w:type="gramEnd"/>
      <w:r w:rsidRPr="00457403">
        <w:t>2025)0047);</w:t>
      </w:r>
    </w:p>
    <w:p w:rsidR="00F57758" w:rsidRPr="00457403" w:rsidRDefault="00F57758" w:rsidP="00F57758">
      <w:pPr>
        <w:pStyle w:val="NormalHanging12a"/>
      </w:pPr>
      <w:r w:rsidRPr="00457403">
        <w:t>–</w:t>
      </w:r>
      <w:r w:rsidRPr="00457403">
        <w:tab/>
        <w:t>gezien de vraag aan de Commissie over bekende uitdagingen en nieuwe handelspraktijken op de interne markt (O-000012/2025 – B10</w:t>
      </w:r>
      <w:r w:rsidRPr="00457403">
        <w:noBreakHyphen/>
        <w:t>0264/2025),</w:t>
      </w:r>
    </w:p>
    <w:p w:rsidR="00F57758" w:rsidRPr="00457403" w:rsidRDefault="00F57758" w:rsidP="00F57758">
      <w:pPr>
        <w:pStyle w:val="NormalHanging12a"/>
      </w:pPr>
      <w:r w:rsidRPr="00457403">
        <w:t>–</w:t>
      </w:r>
      <w:r w:rsidRPr="00457403">
        <w:tab/>
        <w:t>gezien artikel 142, lid 5, en artikel 136, lid 2, van zijn Reglement,</w:t>
      </w:r>
    </w:p>
    <w:p w:rsidR="00F57758" w:rsidRPr="00457403" w:rsidRDefault="00F57758" w:rsidP="00F57758">
      <w:pPr>
        <w:pStyle w:val="NormalHanging12a"/>
      </w:pPr>
      <w:r w:rsidRPr="00457403">
        <w:t>A.</w:t>
      </w:r>
      <w:r w:rsidRPr="00457403">
        <w:tab/>
        <w:t xml:space="preserve">overwegende dat het vermogen van de Europese Unie om te concurreren en te floreren in de wereldeconomie van vitaal belang is, vooral in het licht van de huidige geopolitieke uitdagingen en de klimaatcrisis en andere milieucrises; overwegende dat het huidige concurrentievermogen van de Europese Unie en haar concurrentievermogen </w:t>
      </w:r>
      <w:r w:rsidRPr="00457403">
        <w:lastRenderedPageBreak/>
        <w:t>op middellange en lange termijn berust op een volledig geïntegreerde en efficiënte interne markt die Europese bedrijven in staat stelt te innoveren en te gedijen en waarin prioriteit wordt gegeven aan het verminderen van administratieve lasten;</w:t>
      </w:r>
    </w:p>
    <w:p w:rsidR="00F57758" w:rsidRPr="00457403" w:rsidRDefault="00F57758" w:rsidP="00F57758">
      <w:pPr>
        <w:pStyle w:val="NormalHanging12a"/>
      </w:pPr>
      <w:r w:rsidRPr="00457403">
        <w:t>B.</w:t>
      </w:r>
      <w:r w:rsidRPr="00457403">
        <w:tab/>
        <w:t>overwegende dat de interne markt, die bijna 450 miljoen burgers en 23 miljoen bedrijven omvat, een bruto binnenlands product (bbp) van 17 biljoen EUR genereert, waarmee de EU tot de drie grootste economieën ter wereld behoort en ongeveer een zesde van de wereldwijde economische output voor haar rekening neemt;</w:t>
      </w:r>
    </w:p>
    <w:p w:rsidR="00F57758" w:rsidRPr="00457403" w:rsidRDefault="00F57758" w:rsidP="00F57758">
      <w:pPr>
        <w:pStyle w:val="NormalHanging12a"/>
      </w:pPr>
      <w:r w:rsidRPr="00457403">
        <w:t>C.</w:t>
      </w:r>
      <w:r w:rsidRPr="00457403">
        <w:tab/>
        <w:t>overwegende dat het Draghi-verslag heeft laten zien dat de nalevingskosten die voortvloeien uit diverse wetgeving voor Europese bedrijven zeer hoog blijven, waardoor het Europese innovatievermogen wordt belemmerd;</w:t>
      </w:r>
    </w:p>
    <w:p w:rsidR="00F57758" w:rsidRPr="00457403" w:rsidRDefault="00F57758" w:rsidP="00F57758">
      <w:pPr>
        <w:pStyle w:val="NormalHanging12a"/>
      </w:pPr>
      <w:r w:rsidRPr="00457403">
        <w:t>D.</w:t>
      </w:r>
      <w:r w:rsidRPr="00457403">
        <w:tab/>
        <w:t>overwegende dat het van cruciaal belang blijft om de werking van de interne markt te verbeteren door de nog altijd bestaande versnippering aan te pakken middels gemeenschappelijk, geharmoniseerd EU-beleid, een efficiëntere uitvoering en handhaving, en vereenvoudiging van EU-regels; overwegende dat het verminderen van administratieve lasten en kosten, met name voor kleine en middelgrote ondernemingen (kmo’s), innovatie kan helpen bevorderen en Europese bedrijven kan ondersteunen; overwegende dat om het potentieel van de interne markt volledig te kunnen benutten, hardnekkige belemmeringen voor het vrije verkeer van goederen en diensten moeten worden weggenomen;</w:t>
      </w:r>
    </w:p>
    <w:p w:rsidR="00F57758" w:rsidRPr="00457403" w:rsidRDefault="00F57758" w:rsidP="00F57758">
      <w:pPr>
        <w:pStyle w:val="NormalHanging12a"/>
      </w:pPr>
      <w:r w:rsidRPr="00457403">
        <w:t>E.</w:t>
      </w:r>
      <w:r w:rsidRPr="00457403">
        <w:tab/>
        <w:t>overwegende dat de snelle uitbreiding van digitale platformen en e-commerce heeft gezorgd voor een nieuwe marktdynamiek en dat de voortdurend veranderende trends in de wereldwijde e-commerce extra druk leggen op douanecontroles, markttoezicht en consumentenbeschermingsautoriteiten;</w:t>
      </w:r>
    </w:p>
    <w:p w:rsidR="00F57758" w:rsidRPr="00457403" w:rsidRDefault="00F57758" w:rsidP="00F57758">
      <w:pPr>
        <w:pStyle w:val="NormalHanging12a"/>
      </w:pPr>
      <w:r w:rsidRPr="00457403">
        <w:t>F.</w:t>
      </w:r>
      <w:r w:rsidRPr="00457403">
        <w:tab/>
        <w:t>overwegende dat geopolitieke verschuivingen en mondiale economische transformaties toeleveringsketens opnieuw vormgeven, waardoor de EU gedwongen wordt haar internemarktbeleid aan te passen; overwegende dat de EU voorziet in de hoogste normen voor productveiligheid en consumentenbescherming, zowel offline als online;</w:t>
      </w:r>
    </w:p>
    <w:p w:rsidR="00F57758" w:rsidRPr="00457403" w:rsidRDefault="00F57758" w:rsidP="00F57758">
      <w:pPr>
        <w:pStyle w:val="NormalHanging12a"/>
      </w:pPr>
      <w:r w:rsidRPr="00457403">
        <w:t>G.</w:t>
      </w:r>
      <w:r w:rsidRPr="00457403">
        <w:tab/>
        <w:t>overwegende dat in de EU een toenemend aantal gevallen wordt waargenomen waarbij goederen en diensten kwantitatief of kwalitatief minder goed zijn ondanks stabiele of stijgende prijzen;</w:t>
      </w:r>
    </w:p>
    <w:p w:rsidR="00F57758" w:rsidRPr="00457403" w:rsidRDefault="00F57758" w:rsidP="00F57758">
      <w:pPr>
        <w:pStyle w:val="NormalHanging12a"/>
        <w:rPr>
          <w:b/>
          <w:i/>
          <w:iCs/>
        </w:rPr>
      </w:pPr>
      <w:r w:rsidRPr="00457403">
        <w:rPr>
          <w:b/>
          <w:i/>
        </w:rPr>
        <w:t>Bekende en blijvende uitdagingen</w:t>
      </w:r>
    </w:p>
    <w:p w:rsidR="00F57758" w:rsidRPr="00457403" w:rsidRDefault="00F57758" w:rsidP="00F57758">
      <w:pPr>
        <w:pStyle w:val="NormalHanging12a"/>
      </w:pPr>
      <w:r w:rsidRPr="00457403">
        <w:t>1.</w:t>
      </w:r>
      <w:r w:rsidRPr="00457403">
        <w:tab/>
        <w:t>bevestigt opnieuw dat de interne markt een hoeksteen van de Europese economische integratie is en vrij verkeer van goederen, diensten, kapitaal en personen mogelijk maakt; benadrukt echter dat bekende en nieuwe uitdagingen ambitieuze hervormingen noodzakelijk maken zonder dat afbreuk mag worden gedaan aan het Europese concurrentievermogen of bedrijven onnodige administratieve lasten worden opgelegd; roept de Commissie en de lidstaten op om vaart te maken met de uitvoering van deze hervormingen en om de resterende ongerechtvaardigde belemmeringen voor het vrije verkeer van goederen en diensten weg te nemen, met behoud van een hoog niveau van consumentenbescherming;</w:t>
      </w:r>
    </w:p>
    <w:p w:rsidR="00F57758" w:rsidRPr="00457403" w:rsidRDefault="00F57758" w:rsidP="00F57758">
      <w:pPr>
        <w:pStyle w:val="NormalHanging12a"/>
      </w:pPr>
      <w:r w:rsidRPr="00457403">
        <w:t>2.</w:t>
      </w:r>
      <w:r w:rsidRPr="00457403">
        <w:tab/>
        <w:t xml:space="preserve">roept de Commissie en de lidstaten op om een hoog niveau van consumentenbescherming te handhaven en tegelijkertijd te zorgen voor </w:t>
      </w:r>
      <w:r w:rsidRPr="00457403">
        <w:lastRenderedPageBreak/>
        <w:t xml:space="preserve">mededingingsregels die innovatievriendelijk, toekomstbestendig en evenredig zijn; onderstreept dat rechtszekerheid en consistentie moeten worden gewaarborgd en dat de complexiteit en versnippering van de regelgeving, die onevenredige belemmeringen kunnen opwerpen voor kmo’s, </w:t>
      </w:r>
      <w:proofErr w:type="gramStart"/>
      <w:r w:rsidRPr="00457403">
        <w:t>start-ups</w:t>
      </w:r>
      <w:proofErr w:type="gramEnd"/>
      <w:r w:rsidRPr="00457403">
        <w:t xml:space="preserve"> en scale-ups, tot een minimum moeten worden beperkt;</w:t>
      </w:r>
    </w:p>
    <w:p w:rsidR="004B7640" w:rsidRPr="00457403" w:rsidRDefault="008048C0" w:rsidP="00F57758">
      <w:pPr>
        <w:pStyle w:val="NormalHanging12a"/>
      </w:pPr>
      <w:r w:rsidRPr="00457403">
        <w:t>3</w:t>
      </w:r>
      <w:r w:rsidR="004B7640" w:rsidRPr="00457403">
        <w:t>.</w:t>
      </w:r>
      <w:r w:rsidR="004B7640" w:rsidRPr="00457403">
        <w:tab/>
      </w:r>
      <w:r w:rsidR="00133265" w:rsidRPr="00457403">
        <w:t>benadrukt dat de ontwikkeling van de interne markt bemoeilijkt wordt door het feit dat bestaande obstakels nog altijd niet zijn geëlimineerd en door regelgeving, zoals ook geconstateerd wordt in het rapport-</w:t>
      </w:r>
      <w:proofErr w:type="spellStart"/>
      <w:r w:rsidR="00133265" w:rsidRPr="00457403">
        <w:t>Draghi</w:t>
      </w:r>
      <w:proofErr w:type="spellEnd"/>
      <w:r w:rsidR="00133265" w:rsidRPr="00457403">
        <w:t>;</w:t>
      </w:r>
      <w:r w:rsidR="004B7640" w:rsidRPr="00457403">
        <w:t xml:space="preserve"> dringt erop aan over te stappen op een benadering van regelgeving die ondernemingen in staat stelt te groeien, te innoveren en internationaal toonaangevend te zijn, en daarmee de interne markt te herstellen als daadwerkelijke aanjager van groei en concurrentievermogen;</w:t>
      </w:r>
    </w:p>
    <w:p w:rsidR="00F57758" w:rsidRPr="00457403" w:rsidRDefault="008048C0" w:rsidP="00F57758">
      <w:pPr>
        <w:pStyle w:val="NormalHanging12a"/>
      </w:pPr>
      <w:r w:rsidRPr="00457403">
        <w:t>4</w:t>
      </w:r>
      <w:r w:rsidR="00F57758" w:rsidRPr="00457403">
        <w:t>.</w:t>
      </w:r>
      <w:r w:rsidR="00F57758" w:rsidRPr="00457403">
        <w:tab/>
        <w:t>verzoekt de Commissie ervoor te zorgen dat toekomstige wetgevingsinitiatieven consequent worden gestuurd door de strategische prioriteiten van haar communicatie- en concurrentiestrategie;</w:t>
      </w:r>
    </w:p>
    <w:p w:rsidR="00F57758" w:rsidRPr="00457403" w:rsidRDefault="008048C0" w:rsidP="00F57758">
      <w:pPr>
        <w:pStyle w:val="NormalHanging12a"/>
      </w:pPr>
      <w:r w:rsidRPr="00457403">
        <w:t>5</w:t>
      </w:r>
      <w:r w:rsidR="00F57758" w:rsidRPr="00457403">
        <w:t>.</w:t>
      </w:r>
      <w:r w:rsidR="00F57758" w:rsidRPr="00457403">
        <w:tab/>
        <w:t>onderstreept dat er, zoals uiteengezet in de Letta- en Draghi-verslagen, nog steeds onbenut potentieel in de dienstensector bestaat; dringt aan op verdere actie in deze sector om de aanzienlijke obstakels die er nog zijn weg te nemen, te beginnen met het vaststellen van ambitieuze doelstellingen in de komende strategie voor de interne markt; merkt op dat diensten goed zijn voor driekwart van het bbp van de EU, twee derde van de werkgelegenheid vertegenwoordigen en negen van de tien nieuwe banen in de EU-economie creëren; merkt echter ook op dat diensten nog steeds het minst ontwikkelde segment van de interne markt van de EU vormen;</w:t>
      </w:r>
    </w:p>
    <w:p w:rsidR="00F57758" w:rsidRPr="00457403" w:rsidRDefault="008048C0" w:rsidP="00F57758">
      <w:pPr>
        <w:pStyle w:val="NormalHanging12a"/>
      </w:pPr>
      <w:r w:rsidRPr="00457403">
        <w:t>6</w:t>
      </w:r>
      <w:r w:rsidR="00F57758" w:rsidRPr="00457403">
        <w:t>.</w:t>
      </w:r>
      <w:r w:rsidR="00F57758" w:rsidRPr="00457403">
        <w:tab/>
        <w:t xml:space="preserve">verwelkomt het voorstel voor een verordening betreffende een met het Informatiesysteem interne markt verbonden openbare interface voor de verklaring van de detachering van werknemers en tot wijziging van Verordening (EU) nr. 1024/2012 </w:t>
      </w:r>
      <w:r w:rsidR="00F57758" w:rsidRPr="00457403">
        <w:rPr>
          <w:shd w:val="clear" w:color="auto" w:fill="FFFFFF"/>
        </w:rPr>
        <w:t>(COM</w:t>
      </w:r>
      <w:r w:rsidR="002B73D2" w:rsidRPr="00457403">
        <w:rPr>
          <w:shd w:val="clear" w:color="auto" w:fill="FFFFFF"/>
        </w:rPr>
        <w:t>(</w:t>
      </w:r>
      <w:r w:rsidR="00F57758" w:rsidRPr="00457403">
        <w:rPr>
          <w:shd w:val="clear" w:color="auto" w:fill="FFFFFF"/>
        </w:rPr>
        <w:t>2024</w:t>
      </w:r>
      <w:r w:rsidR="002B73D2" w:rsidRPr="00457403">
        <w:rPr>
          <w:shd w:val="clear" w:color="auto" w:fill="FFFFFF"/>
        </w:rPr>
        <w:t>)0</w:t>
      </w:r>
      <w:r w:rsidR="00F57758" w:rsidRPr="00457403">
        <w:rPr>
          <w:shd w:val="clear" w:color="auto" w:fill="FFFFFF"/>
        </w:rPr>
        <w:t>531</w:t>
      </w:r>
      <w:r w:rsidR="00F57758" w:rsidRPr="00457403">
        <w:t>), dat moet leiden tot vereenvoudiging en een versterkte handhaving; merkt ook op dat digitalisering de administratieve lasten van grensoverschrijdende diensten aanzienlijk kan verminderen en kan zorgen voor een betere toegang voor bedrijven en consumenten; dringt in dit verband aan op één aangifteportaal en op de digitalisering van A1-formulieren voor grensoverschrijdende diensten;</w:t>
      </w:r>
    </w:p>
    <w:p w:rsidR="00F57758" w:rsidRPr="00457403" w:rsidRDefault="008048C0" w:rsidP="00F57758">
      <w:pPr>
        <w:pStyle w:val="NormalHanging12a"/>
      </w:pPr>
      <w:r w:rsidRPr="00457403">
        <w:t>7</w:t>
      </w:r>
      <w:r w:rsidR="00F57758" w:rsidRPr="00457403">
        <w:t>.</w:t>
      </w:r>
      <w:r w:rsidR="00F57758" w:rsidRPr="00457403">
        <w:tab/>
        <w:t>wijst op het belang van de erkenning van beroepskwalificaties en het wegnemen van ongerechtvaardigde belemmeringen voor het vrije verkeer van beroepsbeoefenaren, teneinde professionele diensten in de EU de komende decennia wereldwijd concurrerend te maken; spoort de Commissie aan om waakzaam te blijven en inbreukprocedures in te leiden wanneer de lidstaten de EU-wetgeving inzake de erkenning van kwalificaties niet naleven;</w:t>
      </w:r>
    </w:p>
    <w:p w:rsidR="00F57758" w:rsidRPr="00457403" w:rsidRDefault="008048C0" w:rsidP="00F57758">
      <w:pPr>
        <w:pStyle w:val="NormalHanging12a"/>
      </w:pPr>
      <w:r w:rsidRPr="00457403">
        <w:t>8</w:t>
      </w:r>
      <w:r w:rsidR="00F57758" w:rsidRPr="00457403">
        <w:t>.</w:t>
      </w:r>
      <w:r w:rsidR="00F57758" w:rsidRPr="00457403">
        <w:tab/>
        <w:t>benadrukt dat de internemarktregels de toegang tot openbare diensten moeten waarborgen en de rechten van consumenten moeten beschermen en ook andere dwingende redenen van algemeen belang moeten eerbiedigen; voegt daaraan toe dat elke beoordeling van de belemmeringen op de interne dienstenmarkt kwalitatieve criteria moet omvatten;</w:t>
      </w:r>
    </w:p>
    <w:p w:rsidR="00F57758" w:rsidRPr="00457403" w:rsidRDefault="008048C0" w:rsidP="00F57758">
      <w:pPr>
        <w:pStyle w:val="NormalHanging12a"/>
      </w:pPr>
      <w:r w:rsidRPr="00457403">
        <w:t>9</w:t>
      </w:r>
      <w:r w:rsidR="00F57758" w:rsidRPr="00457403">
        <w:t>.</w:t>
      </w:r>
      <w:r w:rsidR="00F57758" w:rsidRPr="00457403">
        <w:tab/>
        <w:t xml:space="preserve">wijst op de rol die de EU-regels inzake overheidsopdrachten kunnen spelen bij het wegnemen van belemmeringen voor markttoegang en het ondersteunen van duurzame en veerkrachtige industriële ecosystemen, hoogwaardige banen en waardecreatie in de </w:t>
      </w:r>
      <w:r w:rsidR="00F57758" w:rsidRPr="00457403">
        <w:lastRenderedPageBreak/>
        <w:t>EU;</w:t>
      </w:r>
    </w:p>
    <w:p w:rsidR="00F57758" w:rsidRPr="00457403" w:rsidRDefault="008048C0" w:rsidP="00F57758">
      <w:pPr>
        <w:pStyle w:val="NormalHanging12a"/>
      </w:pPr>
      <w:r w:rsidRPr="00457403">
        <w:t>10</w:t>
      </w:r>
      <w:r w:rsidR="00F57758" w:rsidRPr="00457403">
        <w:t>.</w:t>
      </w:r>
      <w:r w:rsidR="00F57758" w:rsidRPr="00457403">
        <w:tab/>
        <w:t>erkent dat het nieuwe wetgevingskader heeft bijgedragen tot een consistente EU-productwetgeving en dat de industriesector, toeleveringsketens en producten sinds de vaststelling ervan niet alleen belangrijke veranderingen hebben ondergaan in het licht van de digitale en de groene transitie, maar dat ook de marktdynamiek is veranderd; merkt op dat bij de evaluatie van het nieuwe wetgevingskader in 2022 kritieke uitdagingen zijn vastgesteld, zoals mogelijke buitenlandse beïnvloeding, illegale praktijken, tekortschietende digitalisering, en tekortkomingen bij het bevorderen van de circulaire economie en bij het aanpassen van verplichtingen en definities voor bepaalde marktdeelnemers om rekening te houden met nieuwe marktrealiteiten;</w:t>
      </w:r>
    </w:p>
    <w:p w:rsidR="00F57758" w:rsidRPr="00457403" w:rsidRDefault="008048C0" w:rsidP="00F57758">
      <w:pPr>
        <w:pStyle w:val="NormalHanging12a"/>
      </w:pPr>
      <w:r w:rsidRPr="00457403">
        <w:t>11</w:t>
      </w:r>
      <w:r w:rsidR="00F57758" w:rsidRPr="00457403">
        <w:t>.</w:t>
      </w:r>
      <w:r w:rsidR="00F57758" w:rsidRPr="00457403">
        <w:tab/>
        <w:t>benadrukt dat het aanpakken van deze kwesties en het toekomstbestendig maken van het nieuwe wetgevingskader essentieel zijn om de samenhang te waarborgen, de kosten te beperken en het vrije verkeer van goederen te waarborgen; dringt daarom aan op actualisering van het nieuwe wetgevingskader om de productregels te stroomlijnen, digitalisering te bevorderen en nalevings- en markttoezichtprocedures te vereenvoudigen; is van mening dat het nieuwe wetgevingskader het gebruik van digitale productpaspoorten moet bevorderen als middel om de conformiteit van producten aan te tonen en aan informatievereisten te voldoen;</w:t>
      </w:r>
    </w:p>
    <w:p w:rsidR="00F57758" w:rsidRPr="00457403" w:rsidRDefault="008048C0" w:rsidP="00F57758">
      <w:pPr>
        <w:pStyle w:val="NormalHanging12a"/>
      </w:pPr>
      <w:r w:rsidRPr="00457403">
        <w:t>12</w:t>
      </w:r>
      <w:r w:rsidR="00F57758" w:rsidRPr="00457403">
        <w:t>.</w:t>
      </w:r>
      <w:r w:rsidR="00F57758" w:rsidRPr="00457403">
        <w:tab/>
        <w:t>roept de Commissie en de lidstaten op om EU-regels te vereenvoudigen en gemakkelijker toepasbaar te maken en om administratieve lasten aanzienlijk te verminderen, met name voor kmo’s, die van cruciaal belang zijn voor lokale gemeenschappen en economieën; benadrukt dat rechtszekerheid en consistentie belangrijk zijn voor bedrijven en voor de voorspelbaarheid in verband met langetermijninvesteringen, die essentieel zijn om het concurrentievermogen, de innovatie en de veerkracht te vergroten en om snelle en zinvolle verbeteringen voor consumenten en bedrijven tot stand te brengen; verzoekt de lidstaten voorts om af te zien van acties die het gelijke speelveld op de interne markt in gevaar kunnen brengen;</w:t>
      </w:r>
    </w:p>
    <w:p w:rsidR="004B7640" w:rsidRPr="00457403" w:rsidRDefault="008048C0" w:rsidP="00F57758">
      <w:pPr>
        <w:pStyle w:val="NormalHanging12a"/>
      </w:pPr>
      <w:r w:rsidRPr="00457403">
        <w:t>13</w:t>
      </w:r>
      <w:r w:rsidR="004B7640" w:rsidRPr="00457403">
        <w:t>.</w:t>
      </w:r>
      <w:r w:rsidR="004B7640" w:rsidRPr="00457403">
        <w:tab/>
        <w:t xml:space="preserve">verzoekt de Commissie de activiteiten van kmo’s en kleine </w:t>
      </w:r>
      <w:proofErr w:type="spellStart"/>
      <w:r w:rsidR="004B7640" w:rsidRPr="00457403">
        <w:t>midcaps</w:t>
      </w:r>
      <w:proofErr w:type="spellEnd"/>
      <w:r w:rsidR="004B7640" w:rsidRPr="00457403">
        <w:t xml:space="preserve"> op de interne markt te vergemakkelijken, met name door middel van een specifieke vereenvoudigingsomnibus;</w:t>
      </w:r>
    </w:p>
    <w:p w:rsidR="00F57758" w:rsidRPr="00457403" w:rsidRDefault="008048C0" w:rsidP="00F57758">
      <w:pPr>
        <w:pStyle w:val="NormalHanging12a"/>
      </w:pPr>
      <w:r w:rsidRPr="00457403">
        <w:t>14</w:t>
      </w:r>
      <w:r w:rsidR="00F57758" w:rsidRPr="00457403">
        <w:t>.</w:t>
      </w:r>
      <w:r w:rsidR="00F57758" w:rsidRPr="00457403">
        <w:tab/>
        <w:t>erkent dat een inconsistente en versnipperde handhaving van EU-wetgeving in de lidstaten de concurrentie blijft verstoren en de integriteit van de interne markt blijft ondergraven; voegt daaraan toe dat de primaire verantwoordelijkheid voor de handhaving van EU-regels bij de lidstaten ligt; verzoekt de Commissie om ten volle gebruik te maken van haar handhavingsbevoegdheden; dringt aan op betere toezichts- en handhavingsmechanismen op EU-niveau, zoals geharmoniseerde regels voor minimumniveaus van controles en geharmoniseerde methodologieën voor de uitvoering van die controles en van gezamenlijke inspecties, om te zorgen voor een uniforme toepassing van EU-wetgeving en, indien van toepassing, voor snelle verhaalsmogelijkheden voor consumenten;</w:t>
      </w:r>
    </w:p>
    <w:p w:rsidR="00F57758" w:rsidRPr="00457403" w:rsidRDefault="008048C0" w:rsidP="00F57758">
      <w:pPr>
        <w:pStyle w:val="NormalHanging12a"/>
      </w:pPr>
      <w:r w:rsidRPr="00457403">
        <w:t>15</w:t>
      </w:r>
      <w:r w:rsidR="00F57758" w:rsidRPr="00457403">
        <w:t>.</w:t>
      </w:r>
      <w:r w:rsidR="00F57758" w:rsidRPr="00457403">
        <w:tab/>
        <w:t xml:space="preserve">benadrukt het belang van de instandhouding van een concurrerend en dynamisch economisch klimaat door consumentenrechten te beschermen en digitale mededingingsregels te handhaven teneinde oneerlijke en marktverstorende handelspraktijken aan te pakken; verzoekt de lidstaten voorts om de capaciteit van de markttoezichtautoriteiten en douaneautoriteiten te vergroten teneinde een doeltreffende </w:t>
      </w:r>
      <w:r w:rsidR="00F57758" w:rsidRPr="00457403">
        <w:lastRenderedPageBreak/>
        <w:t>handhaving van de internemarktregels te waarborgen, met name ten aanzien van e-commerce en invoer uit niet-EU-landen;</w:t>
      </w:r>
    </w:p>
    <w:p w:rsidR="00F57758" w:rsidRPr="00457403" w:rsidRDefault="008048C0" w:rsidP="00F57758">
      <w:pPr>
        <w:pStyle w:val="NormalHanging12a"/>
      </w:pPr>
      <w:r w:rsidRPr="00457403">
        <w:t>16</w:t>
      </w:r>
      <w:r w:rsidR="00F57758" w:rsidRPr="00457403">
        <w:t>.</w:t>
      </w:r>
      <w:r w:rsidR="00F57758" w:rsidRPr="00457403">
        <w:tab/>
        <w:t>herinnert eraan dat territoriale aanbodbeperkingen in het groot- en detailhandelssegment de interne markt versnipperen, de keuzemogelijkheden van de consument beperken en bijdragen tot aanzienlijke prijsverschillen in de Unie, die met name van invloed zijn op de prijzen van basisconsumptiegoederen; benadrukt dat het mededingingsrecht sommige van deze praktijken doeltreffend bestraft, maar dat veel praktijken buiten het toepassingsgebied ervan vallen; dringt er daarom bij de Commissie op aan om maatregelen voor te stellen om die praktijken te bestrijden, waaronder een strengere handhaving tegen concurrentiebeperkende distributieovereenkomsten, teneinde eerlijke concurrentie te waarborgen en daarmee de integriteit van de interne markt te garanderen;</w:t>
      </w:r>
    </w:p>
    <w:p w:rsidR="00F57758" w:rsidRPr="00457403" w:rsidRDefault="008048C0" w:rsidP="00F57758">
      <w:pPr>
        <w:pStyle w:val="NormalHanging12a"/>
      </w:pPr>
      <w:r w:rsidRPr="00457403">
        <w:t>17</w:t>
      </w:r>
      <w:r w:rsidR="00F57758" w:rsidRPr="00457403">
        <w:t>.</w:t>
      </w:r>
      <w:r w:rsidR="00F57758" w:rsidRPr="00457403">
        <w:tab/>
        <w:t>verzoekt de Commissie voorts om onderzoek te doen naar de oorzaken van de uiteenlopende inflatieniveaus van basisgoederen en de stijgingen van de consumentenprijzen die in sommige EU-lidstaten worden waargenomen;</w:t>
      </w:r>
    </w:p>
    <w:p w:rsidR="00F57758" w:rsidRPr="00457403" w:rsidRDefault="008048C0" w:rsidP="00F57758">
      <w:pPr>
        <w:pStyle w:val="NormalHanging12a"/>
      </w:pPr>
      <w:r w:rsidRPr="00457403">
        <w:t>18</w:t>
      </w:r>
      <w:r w:rsidR="00F57758" w:rsidRPr="00457403">
        <w:t>.</w:t>
      </w:r>
      <w:r w:rsidR="00F57758" w:rsidRPr="00457403">
        <w:tab/>
        <w:t>is van mening dat de interne markt in tijden van crisis een belangrijk instrument is indien de lidstaten op gecoördineerde wijze kunnen optreden; is van mening dat de recentelijk vastgestelde verordening inzake noodsituaties en veerkracht voor de interne markt</w:t>
      </w:r>
      <w:r w:rsidR="00F57758" w:rsidRPr="00457403">
        <w:rPr>
          <w:rStyle w:val="FootnoteReference"/>
        </w:rPr>
        <w:footnoteReference w:id="2"/>
      </w:r>
      <w:r w:rsidR="00F57758" w:rsidRPr="00457403">
        <w:t xml:space="preserve"> van cruciaal belang zal zijn om coördinatie te garanderen, teneinde tekorten te voorkomen en de soepele werking van de interne markt te waarborgen, met inbegrip van het vrije verkeer van essentiële goederen en diensten in de hele EU;</w:t>
      </w:r>
    </w:p>
    <w:p w:rsidR="00F57758" w:rsidRPr="00457403" w:rsidRDefault="008048C0" w:rsidP="00F57758">
      <w:pPr>
        <w:pStyle w:val="NormalHanging12a"/>
      </w:pPr>
      <w:r w:rsidRPr="00457403">
        <w:t>19</w:t>
      </w:r>
      <w:r w:rsidR="00F57758" w:rsidRPr="00457403">
        <w:t>.</w:t>
      </w:r>
      <w:r w:rsidR="00F57758" w:rsidRPr="00457403">
        <w:tab/>
        <w:t>verzoekt de Commissie om consumenten in staat te stellen hun passagiersrechten gemakkelijk uit te oefenen door de oprichting van nationale handhavingsinstanties, die geharmoniseerde onderzoeks- en handhavingsbevoegdheden moeten krijgen en individuele klachten en daarmee samenhangende geldboeten efficiënt moeten kunnen afhandelen;</w:t>
      </w:r>
    </w:p>
    <w:p w:rsidR="00F57758" w:rsidRPr="00457403" w:rsidRDefault="008048C0" w:rsidP="00F57758">
      <w:pPr>
        <w:pStyle w:val="NormalHanging12a"/>
      </w:pPr>
      <w:r w:rsidRPr="00457403">
        <w:t>20</w:t>
      </w:r>
      <w:r w:rsidR="00F57758" w:rsidRPr="00457403">
        <w:t>.</w:t>
      </w:r>
      <w:r w:rsidR="00F57758" w:rsidRPr="00457403">
        <w:tab/>
        <w:t>benadrukt dat maatregelen inzake e-commerce die gericht zijn op geoblocking, met name de geoblockingverordening</w:t>
      </w:r>
      <w:r w:rsidR="00F57758" w:rsidRPr="00457403">
        <w:rPr>
          <w:rStyle w:val="FootnoteReference"/>
        </w:rPr>
        <w:footnoteReference w:id="3"/>
      </w:r>
      <w:r w:rsidR="00F57758" w:rsidRPr="00457403">
        <w:t>, met succes hebben bijgedragen aan de totstandbrenging van een kader voor een minder versnipperde interne markt en aan een grotere keuze voor de consument op het gebied van onlinewinkelen; stelt met bezorgdheid vast dat de uitvoering van de verordening tekort is geschoten;</w:t>
      </w:r>
    </w:p>
    <w:p w:rsidR="00F57758" w:rsidRPr="00457403" w:rsidRDefault="008048C0" w:rsidP="00F57758">
      <w:pPr>
        <w:pStyle w:val="NormalHanging12a"/>
      </w:pPr>
      <w:r w:rsidRPr="00457403">
        <w:lastRenderedPageBreak/>
        <w:t>21</w:t>
      </w:r>
      <w:r w:rsidR="00F57758" w:rsidRPr="00457403">
        <w:t>.</w:t>
      </w:r>
      <w:r w:rsidR="00F57758" w:rsidRPr="00457403">
        <w:tab/>
        <w:t>merkt op dat de Europese toegankelijkheidswet</w:t>
      </w:r>
      <w:r w:rsidR="00F57758" w:rsidRPr="00457403">
        <w:rPr>
          <w:rStyle w:val="FootnoteReference"/>
        </w:rPr>
        <w:footnoteReference w:id="4"/>
      </w:r>
      <w:r w:rsidR="00F57758" w:rsidRPr="00457403">
        <w:t xml:space="preserve"> met ingang van 28 juni 2025 in alle EU-lidstaten van toepassing zal zijn; benadrukt het belang van de volledige en doeltreffende uitvoering ervan door de lidstaten om te zorgen voor harmonisatie van de toegankelijkheidsvoorschriften voor producten en diensten, waardoor de toegankelijkheid ervan voor personen met een handicap overal in de interne markt van de EU wordt gewaarborgd;</w:t>
      </w:r>
    </w:p>
    <w:p w:rsidR="00F57758" w:rsidRPr="00457403" w:rsidRDefault="00F57758" w:rsidP="00F57758">
      <w:pPr>
        <w:pStyle w:val="NormalHanging12a"/>
        <w:rPr>
          <w:b/>
          <w:i/>
          <w:iCs/>
        </w:rPr>
      </w:pPr>
      <w:r w:rsidRPr="00457403">
        <w:rPr>
          <w:b/>
          <w:i/>
        </w:rPr>
        <w:t>Nieuwe handelspraktijken</w:t>
      </w:r>
    </w:p>
    <w:p w:rsidR="00F57758" w:rsidRPr="00457403" w:rsidRDefault="008048C0" w:rsidP="00F57758">
      <w:pPr>
        <w:pStyle w:val="NormalHanging12a"/>
      </w:pPr>
      <w:r w:rsidRPr="00457403">
        <w:t>22</w:t>
      </w:r>
      <w:r w:rsidR="00F57758" w:rsidRPr="00457403">
        <w:t>.</w:t>
      </w:r>
      <w:r w:rsidR="00F57758" w:rsidRPr="00457403">
        <w:tab/>
        <w:t>benadrukt dat de snelle uitbreiding van digitale platformen en e-commerce heeft gezorgd voor een nieuwe marktdynamiek en geavanceerde kansen en uitdagingen en risico’s voor gebruikers met zich mee heeft gebracht; erkent dat de digitalemarktenverordening</w:t>
      </w:r>
      <w:r w:rsidR="00F57758" w:rsidRPr="00457403">
        <w:rPr>
          <w:rStyle w:val="FootnoteReference"/>
        </w:rPr>
        <w:footnoteReference w:id="5"/>
      </w:r>
      <w:r w:rsidR="00F57758" w:rsidRPr="00457403">
        <w:t xml:space="preserve"> en de digitaledienstenverordening</w:t>
      </w:r>
      <w:r w:rsidR="00F57758" w:rsidRPr="00457403">
        <w:rPr>
          <w:rStyle w:val="FootnoteReference"/>
        </w:rPr>
        <w:footnoteReference w:id="6"/>
      </w:r>
      <w:r w:rsidR="00F57758" w:rsidRPr="00457403">
        <w:t xml:space="preserve"> belangrijke wetgevingsinstrumenten vormen die zorgen voor eerlijke concurrentie, betwistbaarheid en billijkheid op digitale platformen en tegelijkertijd de consumentenbescherming en een veiligere, betrouwbaardere en transparantere digitale omgeving bevorderen in de digitale economie; dringt aan op een behoorlijke handhaving van de nieuwe technologiewetgeving van de EU, zodat de consument een echte, autonome en goed geïnformeerde keuze kan maken en wordt beschermd in een omgeving van eerlijke concurrentie;</w:t>
      </w:r>
    </w:p>
    <w:p w:rsidR="00F57758" w:rsidRPr="00457403" w:rsidRDefault="008048C0" w:rsidP="00F57758">
      <w:pPr>
        <w:pStyle w:val="NormalHanging12a"/>
      </w:pPr>
      <w:r w:rsidRPr="00457403">
        <w:t>23</w:t>
      </w:r>
      <w:r w:rsidR="00F57758" w:rsidRPr="00457403">
        <w:t>.</w:t>
      </w:r>
      <w:r w:rsidR="00F57758" w:rsidRPr="00457403">
        <w:tab/>
        <w:t xml:space="preserve">acht het van essentieel belang om te zorgen voor een doeltreffende uitvoering en handhaving van deze twee wetgevingshandelingen en dringt er bij de Commissie op aan haar lopende onderzoeken in het kader van de </w:t>
      </w:r>
      <w:proofErr w:type="spellStart"/>
      <w:r w:rsidR="00F57758" w:rsidRPr="00457403">
        <w:t>digitalemarktenverordening</w:t>
      </w:r>
      <w:proofErr w:type="spellEnd"/>
      <w:r w:rsidR="00F57758" w:rsidRPr="00457403">
        <w:t xml:space="preserve"> en de </w:t>
      </w:r>
      <w:proofErr w:type="spellStart"/>
      <w:r w:rsidR="00F57758" w:rsidRPr="00457403">
        <w:t>digitaledienstenverordening</w:t>
      </w:r>
      <w:proofErr w:type="spellEnd"/>
      <w:r w:rsidR="00F57758" w:rsidRPr="00457403">
        <w:t xml:space="preserve"> af te ronden;</w:t>
      </w:r>
    </w:p>
    <w:p w:rsidR="004B7640" w:rsidRPr="00457403" w:rsidRDefault="008048C0" w:rsidP="00F57758">
      <w:pPr>
        <w:pStyle w:val="NormalHanging12a"/>
      </w:pPr>
      <w:r w:rsidRPr="00457403">
        <w:t>24</w:t>
      </w:r>
      <w:r w:rsidR="004B7640" w:rsidRPr="00457403">
        <w:t>.</w:t>
      </w:r>
      <w:r w:rsidR="004B7640" w:rsidRPr="00457403">
        <w:tab/>
      </w:r>
      <w:r w:rsidR="00133265" w:rsidRPr="00457403">
        <w:t>b</w:t>
      </w:r>
      <w:r w:rsidR="004B7640" w:rsidRPr="00457403">
        <w:t xml:space="preserve">eklemtoont dat bij de toepassing van de </w:t>
      </w:r>
      <w:proofErr w:type="spellStart"/>
      <w:r w:rsidR="004B7640" w:rsidRPr="00457403">
        <w:t>digitaledienstenverordening</w:t>
      </w:r>
      <w:proofErr w:type="spellEnd"/>
      <w:r w:rsidR="004B7640" w:rsidRPr="00457403">
        <w:t xml:space="preserve"> de vrijheid van meningsuiting volledig moet worden gerespecteerd; onderstreept dat indien tegen illegale inhoud wordt opgetreden dit niet tot inperking van legale uitingen mag leiden, en dringt aan op transparante handhaving, ter bescherming van een open en democratische digitale ruimte;</w:t>
      </w:r>
    </w:p>
    <w:p w:rsidR="00F57758" w:rsidRPr="00457403" w:rsidRDefault="008048C0" w:rsidP="00F57758">
      <w:pPr>
        <w:pStyle w:val="NormalHanging12a"/>
      </w:pPr>
      <w:r w:rsidRPr="00457403">
        <w:t>25</w:t>
      </w:r>
      <w:r w:rsidR="00F57758" w:rsidRPr="00457403">
        <w:t>.</w:t>
      </w:r>
      <w:r w:rsidR="00F57758" w:rsidRPr="00457403">
        <w:tab/>
        <w:t>roept de Commissie en de lidstaten op om ervoor te zorgen dat de verordening artificiële intelligentie</w:t>
      </w:r>
      <w:r w:rsidR="00F57758" w:rsidRPr="00457403">
        <w:rPr>
          <w:rStyle w:val="FootnoteReference"/>
        </w:rPr>
        <w:footnoteReference w:id="7"/>
      </w:r>
      <w:r w:rsidR="00F57758" w:rsidRPr="00457403">
        <w:t xml:space="preserve"> een risicogebaseerde, innovatievriendelijke aanpak behoudt, </w:t>
      </w:r>
      <w:r w:rsidR="00F57758" w:rsidRPr="00457403">
        <w:lastRenderedPageBreak/>
        <w:t>waarbij ervoor wordt gezorgd dat de nalevingsvereisten evenredig zijn met de werkelijke risico’s van AI-toepassingen, met inachtneming van de noodzaak om een hoog niveau van bescherming van de gezondheid, de veiligheid en de grondrechten te waarborgen;</w:t>
      </w:r>
    </w:p>
    <w:p w:rsidR="00F57758" w:rsidRPr="00457403" w:rsidRDefault="008048C0" w:rsidP="00F57758">
      <w:pPr>
        <w:pStyle w:val="NormalHanging12a"/>
      </w:pPr>
      <w:r w:rsidRPr="00457403">
        <w:t>26</w:t>
      </w:r>
      <w:r w:rsidR="00F57758" w:rsidRPr="00457403">
        <w:t>.</w:t>
      </w:r>
      <w:r w:rsidR="00F57758" w:rsidRPr="00457403">
        <w:tab/>
        <w:t>is ingenomen met de “geschiktheidscontrole inzake digitale rechtvaardigheid ” door de Commissie in het kader van de consumentenwetgeving, en met de komende openbare raadpleging; onderstreept dat een aantal kwesties met betrekking tot de bescherming van consumenten online nog steeds niet is geregeld, wat leidt tot een disbalans tussen consumenten en handelaren in de digitale economie; dringt er bij de Commissie op aan om deze kwesties aan te pakken in de komende Digital Fairness Act (verordening digitale rechtvaardigheid); is van mening dat digitale verslaving, onlinegokken, bescherming van minderjarigen online en door onlineactoren gebruikte persuasieve technologieën, zoals gerichte reclame, influencers en “donkere patronen”, onder de verordening digitale rechtvaardigheid moeten vallen, die mazen in de wet moet dichten en in overeenstemming moet zijn met de huidige rechtsinstrumenten om consumenten online beter te beschermen, rekening houdend met de noodzaak om onnodige regelgevingslasten te vermijden;</w:t>
      </w:r>
    </w:p>
    <w:p w:rsidR="00F57758" w:rsidRPr="00457403" w:rsidRDefault="008048C0" w:rsidP="00F57758">
      <w:pPr>
        <w:pStyle w:val="NormalHanging12a"/>
      </w:pPr>
      <w:r w:rsidRPr="00457403">
        <w:t>27</w:t>
      </w:r>
      <w:r w:rsidR="00F57758" w:rsidRPr="00457403">
        <w:t>.</w:t>
      </w:r>
      <w:r w:rsidR="00F57758" w:rsidRPr="00457403">
        <w:tab/>
        <w:t>merkt op dat nieuwe trends in de mondiale e-commerce en herstructurering van toeleveringsketen een grotere druk leggen op douanecontroles, markttoezicht en consumentenbeschermingsautoriteiten; benadrukt dat de hoeveelheid onveilige en illegale producten die op e-commerceplatformen worden verkocht, met name vanuit niet-EU-landen, de afgelopen jaren is toegenomen; onderstreept het belang van digitale productpaspoorten in deze processen; dringt daarom aan op de totstandbrenging van een versterkt kader voor markttoezicht en op een herziening van de verordening betreffende samenwerking met betrekking tot consumentenbescherming</w:t>
      </w:r>
      <w:r w:rsidR="00F57758" w:rsidRPr="00457403">
        <w:rPr>
          <w:rStyle w:val="FootnoteReference"/>
        </w:rPr>
        <w:footnoteReference w:id="8"/>
      </w:r>
      <w:r w:rsidR="00F57758" w:rsidRPr="00457403">
        <w:t>, en verzoekt de Raad om snel een standpunt in te nemen teneinde de vaststelling van het herziene douanewetboek van de Unie en de oprichting van een EU-douaneautoriteit in 2026 mogelijk te maken;</w:t>
      </w:r>
    </w:p>
    <w:p w:rsidR="00F57758" w:rsidRPr="00457403" w:rsidRDefault="008048C0" w:rsidP="00F57758">
      <w:pPr>
        <w:pStyle w:val="NormalHanging12a"/>
      </w:pPr>
      <w:r w:rsidRPr="00457403">
        <w:t>28</w:t>
      </w:r>
      <w:r w:rsidR="00F57758" w:rsidRPr="00457403">
        <w:t>.</w:t>
      </w:r>
      <w:r w:rsidR="00F57758" w:rsidRPr="00457403">
        <w:tab/>
        <w:t>roept de lidstaten op om voldoende technische, personele en financiële middelen toe te wijzen aan de nationale autoriteiten; roept de lidstaten en de Commissie op om te voorzien in voldoende middelen en deskundigheid ter versterking van de douaneautoriteiten en het markttoezicht overal in de Unie, en om gezamenlijke activiteiten en EU-tests te intensiveren;</w:t>
      </w:r>
    </w:p>
    <w:p w:rsidR="00F57758" w:rsidRPr="00457403" w:rsidRDefault="008048C0" w:rsidP="00F57758">
      <w:pPr>
        <w:pStyle w:val="NormalHanging12a"/>
      </w:pPr>
      <w:r w:rsidRPr="00457403">
        <w:t>29</w:t>
      </w:r>
      <w:r w:rsidR="00F57758" w:rsidRPr="00457403">
        <w:t>.</w:t>
      </w:r>
      <w:r w:rsidR="00F57758" w:rsidRPr="00457403">
        <w:tab/>
        <w:t>benadrukt de noodzaak om de consumentenbescherming op zowel online- als offlinemarkten te versterken, te zorgen voor transparantie van reclame en prijsstellingen, met name dynamische prijsstellingen, eerlijke handelspraktijken te waarborgen en te voorzien in sterkere waarborgen tegen fraude om het vertrouwen van de consument in grensoverschrijdende handel te vergroten en het hoogste niveau van bescherming te waarborgen;</w:t>
      </w:r>
    </w:p>
    <w:p w:rsidR="00F57758" w:rsidRPr="00457403" w:rsidRDefault="008048C0" w:rsidP="00F57758">
      <w:pPr>
        <w:pStyle w:val="NormalHanging12a"/>
      </w:pPr>
      <w:r w:rsidRPr="00457403">
        <w:t>30</w:t>
      </w:r>
      <w:r w:rsidR="00F57758" w:rsidRPr="00457403">
        <w:t>.</w:t>
      </w:r>
      <w:r w:rsidR="00F57758" w:rsidRPr="00457403">
        <w:tab/>
        <w:t xml:space="preserve">benadrukt dat er steeds meer aandacht is voor gevallen waarin minder of minder goede diensten en goederen worden aangeboden terwijl de prijzen gelijk blijven of zelfs </w:t>
      </w:r>
      <w:r w:rsidR="00F57758" w:rsidRPr="00457403">
        <w:lastRenderedPageBreak/>
        <w:t>stijgen</w:t>
      </w:r>
      <w:r w:rsidR="002B73D2" w:rsidRPr="00457403">
        <w:t>;</w:t>
      </w:r>
      <w:r w:rsidR="00F57758" w:rsidRPr="00457403">
        <w:t xml:space="preserve"> verzoekt de Commissie de omvang en de onderliggende oorzaken van dergelijke praktijken te beoordelen en te zoeken naar passende maatregelen om de transparantie en het consumentenbewustzijn te vergroten;</w:t>
      </w:r>
    </w:p>
    <w:p w:rsidR="00F57758" w:rsidRPr="00457403" w:rsidRDefault="008048C0" w:rsidP="00F57758">
      <w:pPr>
        <w:pStyle w:val="NormalHanging12a"/>
      </w:pPr>
      <w:r w:rsidRPr="00457403">
        <w:t>31</w:t>
      </w:r>
      <w:r w:rsidR="00F57758" w:rsidRPr="00457403">
        <w:t>.</w:t>
      </w:r>
      <w:r w:rsidR="00F57758" w:rsidRPr="00457403">
        <w:tab/>
        <w:t>onderstreept dat overwegingen inzake milieuduurzaamheid en eerlijke handel almaar bepalender worden voor handelspraktijken, door een belangrijke rol te spelen bij de aankoopbeslissingen van consumenten en bedrijven daarmee in de richting van duurzaamheid te duwen; voegt daaraan toe dat transparantie en informatie voor consumenten over milieuaspecten en sociaal verantwoorde en ethische productieprocessen consumenten in staat stellen om voor duurzame consumptiepatronen te kiezen;</w:t>
      </w:r>
    </w:p>
    <w:p w:rsidR="00F57758" w:rsidRPr="00457403" w:rsidRDefault="008048C0" w:rsidP="00F57758">
      <w:pPr>
        <w:pStyle w:val="NormalHanging12a"/>
      </w:pPr>
      <w:r w:rsidRPr="00457403">
        <w:t>32</w:t>
      </w:r>
      <w:r w:rsidR="00F57758" w:rsidRPr="00457403">
        <w:t>.</w:t>
      </w:r>
      <w:r w:rsidR="00F57758" w:rsidRPr="00457403">
        <w:tab/>
        <w:t>roept de Commissie en de lidstaten op hun ambitieniveau in dit opzicht te handhaven en verder te werken aan EU-brede etiketteringsregelingen; herinnert eraan dat het doel van de richtlijn inzake groene claims is om een instrument voor de bescherming van consumenten tegen greenwashing te creëren door vereisten inzake onderbouwing en verificatie vast te stellen;</w:t>
      </w:r>
    </w:p>
    <w:p w:rsidR="00F57758" w:rsidRPr="00457403" w:rsidRDefault="008048C0" w:rsidP="00F57758">
      <w:pPr>
        <w:pStyle w:val="NormalHanging12a"/>
      </w:pPr>
      <w:r w:rsidRPr="00457403">
        <w:t>33</w:t>
      </w:r>
      <w:r w:rsidR="00F57758" w:rsidRPr="00457403">
        <w:t>.</w:t>
      </w:r>
      <w:r w:rsidR="00F57758" w:rsidRPr="00457403">
        <w:tab/>
        <w:t>benadrukt dat misleidende reclame en greenwashing verder moeten worden bestreden en dat de tweedehandsmarkt moet worden versterkt; merkt echter op dat restrictieve duurzaamheidsregels een negatief effect op het Europese concurrentievermogen kunnen hebben;</w:t>
      </w:r>
    </w:p>
    <w:p w:rsidR="00F57758" w:rsidRPr="00457403" w:rsidRDefault="008048C0" w:rsidP="00F57758">
      <w:pPr>
        <w:pStyle w:val="NormalHanging12a"/>
        <w:rPr>
          <w:bCs/>
          <w:iCs/>
        </w:rPr>
      </w:pPr>
      <w:r w:rsidRPr="00457403">
        <w:t>34</w:t>
      </w:r>
      <w:r w:rsidR="00F57758" w:rsidRPr="00457403">
        <w:t>.</w:t>
      </w:r>
      <w:r w:rsidR="00F57758" w:rsidRPr="00457403">
        <w:tab/>
        <w:t>wijst erop dat bepaalde aanzwellende trends in de e-commerce aanleiding geven tot bezorgdheid over goederen uit niet-EU-landen die niet voldoen aan de veiligheids- en duurzaamheidsvereisten van de EU, met negatieve gevolgen voor kmo’s in de EU; is ingenomen met de mededeling van de Commissie over “Een uitgebreid EU-instrumentarium voor veilige en duurzame e-commerce” en verzoekt de Commissie om de daarin vervatte aanbevelingen snel uit te voeren;</w:t>
      </w:r>
    </w:p>
    <w:p w:rsidR="00F57758" w:rsidRPr="00457403" w:rsidRDefault="008048C0" w:rsidP="00F57758">
      <w:pPr>
        <w:pStyle w:val="NormalHanging12a"/>
      </w:pPr>
      <w:r w:rsidRPr="00457403">
        <w:t>35</w:t>
      </w:r>
      <w:r w:rsidR="00F57758" w:rsidRPr="00457403">
        <w:t>.</w:t>
      </w:r>
      <w:r w:rsidR="00F57758" w:rsidRPr="00457403">
        <w:tab/>
        <w:t>benadrukt dat geharmoniseerde technische normen essentieel zijn voor het vrije verkeer van goederen binnen de interne markt en het waarborgen van de veiligheid, de kwaliteit en de prestaties van producten in alle lidstaten; benadrukt dat die normen de belangen, beleidsdoelstellingen en waarden van de Unie moeten weerspiegelen door rekening te houden met de standpunten van alle belanghebbenden; voegt daaraan toe dat in het recente arrest van het Hof van Justitie van de Europese Unie</w:t>
      </w:r>
      <w:r w:rsidR="00F57758" w:rsidRPr="00457403">
        <w:rPr>
          <w:rStyle w:val="FootnoteReference"/>
          <w:color w:val="000000"/>
        </w:rPr>
        <w:footnoteReference w:id="9"/>
      </w:r>
      <w:r w:rsidR="00F57758" w:rsidRPr="00457403">
        <w:t xml:space="preserve"> de toegevoegde waarde wordt erkend van geharmoniseerde normen die wegens de rechtsgevolgen ervan deel uitmaken van de EU-wetgeving, en is verklaard dat die normen vrij toegankelijk moeten zijn; onderstreept de noodzaak om de flexibiliteit van het normalisatiekader te verbeteren, met name voor opkomende groene en digitale waardeketens, en om de industrie te helpen haar concurrentiepositie op essentiële technologiemarkten te behouden;</w:t>
      </w:r>
    </w:p>
    <w:p w:rsidR="00F57758" w:rsidRPr="00457403" w:rsidRDefault="008048C0" w:rsidP="00F57758">
      <w:pPr>
        <w:pStyle w:val="NormalHanging12a"/>
      </w:pPr>
      <w:r w:rsidRPr="00457403">
        <w:t>36</w:t>
      </w:r>
      <w:r w:rsidR="00F57758" w:rsidRPr="00457403">
        <w:t>.</w:t>
      </w:r>
      <w:r w:rsidR="00F57758" w:rsidRPr="00457403">
        <w:tab/>
        <w:t xml:space="preserve">is van opvatting dat de EU zich harder moet inspannen om samen met de lidstaten en de nationale normalisatie-instellingen een nieuw mechanisme voor de uitwisseling van informatie op te zetten om de Europese aanpak van internationale normalisatieactiviteiten te coördineren en te versterken; dringt aan op snelle actie om het normalisatiekader van de EU te actualiseren, met als doel om het normalisatieproces </w:t>
      </w:r>
      <w:r w:rsidR="00F57758" w:rsidRPr="00457403">
        <w:lastRenderedPageBreak/>
        <w:t>te versnellen en te zorgen voor de snelle publicatie van geharmoniseerde normen die een vermoeden van conformiteit vestigen en zijn afgestemd op internationale normen ter ondersteuning van de wereldhandel, waarbij een grotere deelname van het bedrijfsleven, met name kmo’s, wordt aangemoedigd;</w:t>
      </w:r>
    </w:p>
    <w:p w:rsidR="00F57758" w:rsidRPr="00457403" w:rsidRDefault="008048C0" w:rsidP="00F57758">
      <w:pPr>
        <w:pStyle w:val="NormalHanging12a"/>
        <w:rPr>
          <w:szCs w:val="24"/>
        </w:rPr>
      </w:pPr>
      <w:r w:rsidRPr="00457403">
        <w:t>37</w:t>
      </w:r>
      <w:r w:rsidR="00F57758" w:rsidRPr="00457403">
        <w:t>.</w:t>
      </w:r>
      <w:r w:rsidR="00F57758" w:rsidRPr="00457403">
        <w:tab/>
        <w:t>benadrukt dat de externe dimensie van de interne markt moet worden versterkt om de strategische autonomie en de mondiale invloed van de EU te waarborgen, en verwelkomt de geleidelijke integratie van kandidaat-lidstaten in de interne markt met het oog op hun toekomstige EU-lidmaatschap; onderstreept dat de strenge regelgevingsnormen van de EU kunnen dienen als wereldwijde benchmark en doeltreffend moeten worden gehandhaafd om een gelijk speelveld voor Europese bedrijven te waarborgen; verzoekt de Commissie de regelgevingsdialogen en de politieke samenwerking met andere relevante niet-EU-landen te intensiveren om gemeenschappelijke uitdagingen in kaart te brengen en te proberen gezamenlijke acties op te zetten, met name op het gebied van e-commerce, digitale regels en consumentenbescherming;</w:t>
      </w:r>
    </w:p>
    <w:p w:rsidR="00F57758" w:rsidRPr="00457403" w:rsidRDefault="008048C0" w:rsidP="00F57758">
      <w:pPr>
        <w:pStyle w:val="NormalHanging12a"/>
        <w:rPr>
          <w:szCs w:val="24"/>
        </w:rPr>
      </w:pPr>
      <w:r w:rsidRPr="00457403">
        <w:t>38</w:t>
      </w:r>
      <w:r w:rsidR="00F57758" w:rsidRPr="00457403">
        <w:t>.</w:t>
      </w:r>
      <w:r w:rsidR="00F57758" w:rsidRPr="00457403">
        <w:tab/>
        <w:t>pleit nogmaals voor een innovatieve, complementaire en flexibele interactie tussen de lopende werkzaamheden voor de uitvoering van de van kracht zijnde associatieovereenkomst tussen de EU en Oekraïne en de toetredingsonderhandelingen met Oekraïne, opdat Oekraïne geleidelijk wordt geïntegreerd in de interne markt en de sectorale programma’s van de EU en tevens toegang krijgt tot EU-middelen op de respectieve gebieden;</w:t>
      </w:r>
    </w:p>
    <w:p w:rsidR="00F57758" w:rsidRPr="00457403" w:rsidRDefault="00F57758" w:rsidP="00F57758">
      <w:pPr>
        <w:pStyle w:val="NormalHanging12a"/>
        <w:rPr>
          <w:b/>
          <w:i/>
          <w:iCs/>
        </w:rPr>
      </w:pPr>
      <w:r w:rsidRPr="00457403">
        <w:rPr>
          <w:b/>
          <w:i/>
        </w:rPr>
        <w:t>Conclusies</w:t>
      </w:r>
    </w:p>
    <w:p w:rsidR="00F57758" w:rsidRPr="00457403" w:rsidRDefault="008048C0" w:rsidP="00F57758">
      <w:pPr>
        <w:pStyle w:val="NormalHanging12a"/>
      </w:pPr>
      <w:r w:rsidRPr="00457403">
        <w:t>39</w:t>
      </w:r>
      <w:r w:rsidR="00F57758" w:rsidRPr="00457403">
        <w:t>.</w:t>
      </w:r>
      <w:r w:rsidR="00F57758" w:rsidRPr="00457403">
        <w:tab/>
        <w:t>erkent dat geopolitieke spanningen, klimaatverandering, uitdagingen voor het concurrentievermogen van de EU en economische ongelijkheden aanzienlijke risico’s voor de integriteit van de interne markt opleveren; vraagt om een robuuste, gecoördineerde en strategische beleidsreactie om de interne markt te versterken;</w:t>
      </w:r>
    </w:p>
    <w:p w:rsidR="00F57758" w:rsidRPr="00457403" w:rsidRDefault="008048C0" w:rsidP="00F57758">
      <w:pPr>
        <w:pStyle w:val="NormalHanging12a"/>
      </w:pPr>
      <w:r w:rsidRPr="00457403">
        <w:t>40</w:t>
      </w:r>
      <w:r w:rsidR="00F57758" w:rsidRPr="00457403">
        <w:t>.</w:t>
      </w:r>
      <w:r w:rsidR="00F57758" w:rsidRPr="00457403">
        <w:tab/>
        <w:t>dringt aan op verdere ontwikkeling van de interne markt om zowel de resterende ongerechtvaardigde belemmeringen als nieuwe uitdagingen voor de handel aan te pakken; is van mening dat het wegwerken van versnipperde regelgeving, het bevorderen van vereenvoudiging, het aanzienlijk verminderen van administratieve lasten, het verbeteren van de handhaving en het veerkrachtiger maken van toeleveringsketens van cruciaal belang zijn om het concurrentievoordeel van de EU en eerlijke marktvoorwaarden te behouden en de interne markt te versterken; onderstreept dat alle relevante belanghebbenden moeten worden geraadpleegd in deze processen;</w:t>
      </w:r>
    </w:p>
    <w:p w:rsidR="00F57758" w:rsidRPr="00457403" w:rsidRDefault="008048C0" w:rsidP="00F57758">
      <w:pPr>
        <w:pStyle w:val="NormalHanging12a"/>
      </w:pPr>
      <w:r w:rsidRPr="00457403">
        <w:t>41</w:t>
      </w:r>
      <w:r w:rsidR="00F57758" w:rsidRPr="00457403">
        <w:t>.</w:t>
      </w:r>
      <w:r w:rsidR="00F57758" w:rsidRPr="00457403">
        <w:tab/>
        <w:t>benadrukt het belang van digitale transformatie, de circulaire economie en het vermogen tot aanpassing aan mondiale economische verschuivingen om de economische dynamiek van de EU op de lange termijn veilig te stellen;</w:t>
      </w:r>
    </w:p>
    <w:p w:rsidR="00F57758" w:rsidRPr="00457403" w:rsidRDefault="008048C0" w:rsidP="00F57758">
      <w:pPr>
        <w:pStyle w:val="NormalHanging12a"/>
      </w:pPr>
      <w:r w:rsidRPr="00457403">
        <w:t>42</w:t>
      </w:r>
      <w:r w:rsidR="00F57758" w:rsidRPr="00457403">
        <w:t>.</w:t>
      </w:r>
      <w:r w:rsidR="00F57758" w:rsidRPr="00457403">
        <w:tab/>
        <w:t>herhaalt dat versterking van de interne en de externe dimensie van de interne markt van essentieel belang is voor het behoud van de strategische autonomie en het concurrentievermogen van de EU;</w:t>
      </w:r>
    </w:p>
    <w:p w:rsidR="00F57758" w:rsidRPr="00457403" w:rsidRDefault="008048C0" w:rsidP="00F57758">
      <w:pPr>
        <w:pStyle w:val="NormalHanging12a"/>
      </w:pPr>
      <w:r w:rsidRPr="00457403">
        <w:t>43</w:t>
      </w:r>
      <w:r w:rsidR="00F57758" w:rsidRPr="00457403">
        <w:t>.</w:t>
      </w:r>
      <w:r w:rsidR="00F57758" w:rsidRPr="00457403">
        <w:tab/>
        <w:t xml:space="preserve">dringt er daarom bij de Commissie op aan om het voorgaande tot uitdrukking te laten komen in de komende nieuwe strategie voor de interne markt, die gepland staat voor juni 2025, in de consumentenagenda 2030, die gepland staat voor eind 2025, en in de </w:t>
      </w:r>
      <w:r w:rsidR="00F57758" w:rsidRPr="00457403">
        <w:lastRenderedPageBreak/>
        <w:t>Digital Fairness Act, die gepland staat voor 2026;</w:t>
      </w:r>
    </w:p>
    <w:p w:rsidR="00F57758" w:rsidRPr="00457403" w:rsidRDefault="00F57758" w:rsidP="00F57758">
      <w:pPr>
        <w:pStyle w:val="NormalHanging12a"/>
        <w:jc w:val="center"/>
      </w:pPr>
      <w:r w:rsidRPr="00457403">
        <w:t>°</w:t>
      </w:r>
    </w:p>
    <w:p w:rsidR="00F57758" w:rsidRPr="00457403" w:rsidRDefault="00F57758" w:rsidP="00F57758">
      <w:pPr>
        <w:pStyle w:val="NormalHanging12a"/>
        <w:jc w:val="center"/>
      </w:pPr>
      <w:r w:rsidRPr="00457403">
        <w:t>°</w:t>
      </w:r>
      <w:r w:rsidRPr="00457403">
        <w:tab/>
        <w:t>°</w:t>
      </w:r>
    </w:p>
    <w:p w:rsidR="00E365E1" w:rsidRPr="00457403" w:rsidRDefault="008048C0" w:rsidP="002B73D2">
      <w:pPr>
        <w:pStyle w:val="NormalHanging12a"/>
      </w:pPr>
      <w:r w:rsidRPr="00457403">
        <w:t>44</w:t>
      </w:r>
      <w:r w:rsidR="00F57758" w:rsidRPr="00457403">
        <w:t>.</w:t>
      </w:r>
      <w:r w:rsidR="00F57758" w:rsidRPr="00457403">
        <w:tab/>
        <w:t xml:space="preserve">verzoekt zijn Voorzitter deze resolutie te doen toekomen </w:t>
      </w:r>
      <w:r w:rsidR="00D73847" w:rsidRPr="00457403">
        <w:t>aan de Raad en de Commissie.</w:t>
      </w:r>
    </w:p>
    <w:p w:rsidR="002B73D2" w:rsidRPr="00457403" w:rsidRDefault="002B73D2" w:rsidP="002B73D2">
      <w:pPr>
        <w:pStyle w:val="NormalHanging12a"/>
      </w:pPr>
    </w:p>
    <w:sectPr w:rsidR="002B73D2" w:rsidRPr="00457403" w:rsidSect="00D7384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096" w:rsidRPr="00D73847" w:rsidRDefault="00EF6096">
      <w:r w:rsidRPr="00D73847">
        <w:separator/>
      </w:r>
    </w:p>
  </w:endnote>
  <w:endnote w:type="continuationSeparator" w:id="0">
    <w:p w:rsidR="00EF6096" w:rsidRPr="00D73847" w:rsidRDefault="00EF6096">
      <w:r w:rsidRPr="00D738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38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38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38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096" w:rsidRPr="00D73847" w:rsidRDefault="00EF6096">
      <w:r w:rsidRPr="00D73847">
        <w:separator/>
      </w:r>
    </w:p>
  </w:footnote>
  <w:footnote w:type="continuationSeparator" w:id="0">
    <w:p w:rsidR="00EF6096" w:rsidRPr="00D73847" w:rsidRDefault="00EF6096">
      <w:r w:rsidRPr="00D73847">
        <w:continuationSeparator/>
      </w:r>
    </w:p>
  </w:footnote>
  <w:footnote w:id="1">
    <w:p w:rsidR="00F57758" w:rsidRPr="002B73D2" w:rsidRDefault="00F57758" w:rsidP="00D73847">
      <w:pPr>
        <w:pStyle w:val="FootnoteText"/>
        <w:ind w:left="567" w:hanging="567"/>
        <w:rPr>
          <w:sz w:val="24"/>
          <w:lang w:val="nl-NL"/>
        </w:rPr>
      </w:pPr>
      <w:r w:rsidRPr="002B73D2">
        <w:rPr>
          <w:rStyle w:val="FootnoteReference"/>
          <w:sz w:val="24"/>
          <w:lang w:val="nl-NL"/>
        </w:rPr>
        <w:footnoteRef/>
      </w:r>
      <w:r w:rsidR="00D73847" w:rsidRPr="002B73D2">
        <w:rPr>
          <w:rStyle w:val="Emphasis"/>
          <w:i w:val="0"/>
          <w:sz w:val="24"/>
          <w:shd w:val="clear" w:color="auto" w:fill="FFFFFF"/>
          <w:lang w:val="nl-NL"/>
        </w:rPr>
        <w:tab/>
      </w:r>
      <w:r w:rsidRPr="002B73D2">
        <w:rPr>
          <w:rStyle w:val="Emphasis"/>
          <w:i w:val="0"/>
          <w:sz w:val="24"/>
          <w:shd w:val="clear" w:color="auto" w:fill="FFFFFF"/>
          <w:lang w:val="nl-NL"/>
        </w:rPr>
        <w:t>PB C 214 van 16.6.2023, blz. 8.</w:t>
      </w:r>
    </w:p>
  </w:footnote>
  <w:footnote w:id="2">
    <w:p w:rsidR="00F57758" w:rsidRPr="00D73847" w:rsidRDefault="00F57758" w:rsidP="00D73847">
      <w:pPr>
        <w:pStyle w:val="FootnoteText"/>
        <w:ind w:left="567" w:hanging="567"/>
        <w:rPr>
          <w:sz w:val="24"/>
          <w:lang w:val="nl-NL"/>
        </w:rPr>
      </w:pPr>
      <w:r w:rsidRPr="00D73847">
        <w:rPr>
          <w:rStyle w:val="FootnoteReference"/>
          <w:sz w:val="24"/>
          <w:lang w:val="nl-NL"/>
        </w:rPr>
        <w:footnoteRef/>
      </w:r>
      <w:r w:rsidR="00D73847" w:rsidRPr="00D73847">
        <w:rPr>
          <w:sz w:val="24"/>
          <w:shd w:val="clear" w:color="auto" w:fill="FFFFFF"/>
          <w:lang w:val="nl-NL"/>
        </w:rPr>
        <w:tab/>
      </w:r>
      <w:r w:rsidRPr="00D73847">
        <w:rPr>
          <w:sz w:val="24"/>
          <w:shd w:val="clear" w:color="auto" w:fill="FFFFFF"/>
          <w:lang w:val="nl-NL"/>
        </w:rPr>
        <w:t xml:space="preserve">Verordening (EU) 2024/2747 van het Europees Parlement en de Raad van 9 oktober 2024 tot vaststelling van een kader van maatregelen in verband met noodsituaties op de interne markt en met de veerkracht van de interne markt en tot wijziging van Verordening (EG) nr. 2679/98 van de Raad </w:t>
      </w:r>
      <w:r w:rsidR="002B73D2">
        <w:rPr>
          <w:sz w:val="24"/>
          <w:shd w:val="clear" w:color="auto" w:fill="FFFFFF"/>
          <w:lang w:val="nl-NL"/>
        </w:rPr>
        <w:t>(</w:t>
      </w:r>
      <w:r w:rsidRPr="002B73D2">
        <w:rPr>
          <w:rStyle w:val="Emphasis"/>
          <w:i w:val="0"/>
          <w:sz w:val="24"/>
          <w:shd w:val="clear" w:color="auto" w:fill="FFFFFF"/>
          <w:lang w:val="nl-NL"/>
        </w:rPr>
        <w:t>PB L, 2024/2747, 8.11.2024, ELI:</w:t>
      </w:r>
      <w:r w:rsidRPr="00D73847">
        <w:rPr>
          <w:rStyle w:val="Emphasis"/>
          <w:sz w:val="24"/>
          <w:shd w:val="clear" w:color="auto" w:fill="FFFFFF"/>
          <w:lang w:val="nl-NL"/>
        </w:rPr>
        <w:t> </w:t>
      </w:r>
      <w:hyperlink r:id="rId1" w:tgtFrame="_blank" w:tooltip="Geeft toegang tot dit document via de ELI‑URI." w:history="1">
        <w:r w:rsidRPr="00D73847">
          <w:rPr>
            <w:rStyle w:val="Hyperlink"/>
            <w:sz w:val="24"/>
            <w:lang w:val="nl-NL"/>
          </w:rPr>
          <w:t>http://data.europa.eu/eli/reg/2024/2747/oj</w:t>
        </w:r>
      </w:hyperlink>
      <w:r w:rsidR="002B73D2">
        <w:rPr>
          <w:rStyle w:val="Hyperlink"/>
          <w:color w:val="auto"/>
          <w:sz w:val="24"/>
          <w:u w:val="none"/>
          <w:lang w:val="nl-NL"/>
        </w:rPr>
        <w:t>)</w:t>
      </w:r>
      <w:r w:rsidRPr="00D73847">
        <w:rPr>
          <w:rStyle w:val="Emphasis"/>
          <w:sz w:val="24"/>
          <w:shd w:val="clear" w:color="auto" w:fill="FFFFFF"/>
          <w:lang w:val="nl-NL"/>
        </w:rPr>
        <w:t>.</w:t>
      </w:r>
    </w:p>
  </w:footnote>
  <w:footnote w:id="3">
    <w:p w:rsidR="00F57758" w:rsidRPr="00D73847" w:rsidRDefault="00F57758" w:rsidP="00D73847">
      <w:pPr>
        <w:pStyle w:val="FootnoteText"/>
        <w:ind w:left="567" w:hanging="567"/>
        <w:rPr>
          <w:sz w:val="24"/>
          <w:lang w:val="nl-NL"/>
        </w:rPr>
      </w:pPr>
      <w:r w:rsidRPr="00D73847">
        <w:rPr>
          <w:rStyle w:val="FootnoteReference"/>
          <w:sz w:val="24"/>
          <w:lang w:val="nl-NL"/>
        </w:rPr>
        <w:footnoteRef/>
      </w:r>
      <w:r w:rsidR="00D73847" w:rsidRPr="00D73847">
        <w:rPr>
          <w:sz w:val="24"/>
          <w:shd w:val="clear" w:color="auto" w:fill="FFFFFF"/>
          <w:lang w:val="nl-NL"/>
        </w:rPr>
        <w:tab/>
      </w:r>
      <w:r w:rsidRPr="00D73847">
        <w:rPr>
          <w:sz w:val="24"/>
          <w:shd w:val="clear" w:color="auto" w:fill="FFFFFF"/>
          <w:lang w:val="nl-NL"/>
        </w:rPr>
        <w:t xml:space="preserve">Verordening (EU) 2018/302 van het Europees Parlement en de Raad van 28 februari 2018 inzake de aanpak van ongerechtvaardigde geoblocking en andere vormen van discriminatie van klanten op grond van nationaliteit, verblijfplaats of plaats van vestiging in de interne markt, en tot wijziging van Verordeningen (EG) nr. 2006/2004 en (EU) 2017/2394 en Richtlijn 2009/22/EG </w:t>
      </w:r>
      <w:r w:rsidR="002B73D2">
        <w:rPr>
          <w:sz w:val="24"/>
          <w:shd w:val="clear" w:color="auto" w:fill="FFFFFF"/>
          <w:lang w:val="nl-NL"/>
        </w:rPr>
        <w:t>(</w:t>
      </w:r>
      <w:r w:rsidRPr="002B73D2">
        <w:rPr>
          <w:rStyle w:val="Emphasis"/>
          <w:i w:val="0"/>
          <w:sz w:val="24"/>
          <w:shd w:val="clear" w:color="auto" w:fill="FFFFFF"/>
          <w:lang w:val="nl-NL"/>
        </w:rPr>
        <w:t xml:space="preserve">PB L 60I van 2.3.2018, blz. 1, </w:t>
      </w:r>
      <w:r w:rsidRPr="00D73847">
        <w:rPr>
          <w:sz w:val="24"/>
          <w:shd w:val="clear" w:color="auto" w:fill="FFFFFF"/>
          <w:lang w:val="nl-NL"/>
        </w:rPr>
        <w:t>ELI: </w:t>
      </w:r>
      <w:hyperlink r:id="rId2" w:tooltip="Geeft toegang tot dit document via de ELI‑URI." w:history="1">
        <w:r w:rsidRPr="00D73847">
          <w:rPr>
            <w:rStyle w:val="Hyperlink"/>
            <w:sz w:val="24"/>
            <w:shd w:val="clear" w:color="auto" w:fill="FFFFFF"/>
            <w:lang w:val="nl-NL"/>
          </w:rPr>
          <w:t>http://data.europa.eu/eli/reg/2018/302/oj</w:t>
        </w:r>
      </w:hyperlink>
      <w:r w:rsidR="002B73D2">
        <w:rPr>
          <w:rStyle w:val="Hyperlink"/>
          <w:color w:val="auto"/>
          <w:sz w:val="24"/>
          <w:shd w:val="clear" w:color="auto" w:fill="FFFFFF"/>
          <w:lang w:val="nl-NL"/>
        </w:rPr>
        <w:t>)</w:t>
      </w:r>
      <w:r w:rsidRPr="00D73847">
        <w:rPr>
          <w:sz w:val="24"/>
          <w:lang w:val="nl-NL"/>
        </w:rPr>
        <w:t>.</w:t>
      </w:r>
    </w:p>
  </w:footnote>
  <w:footnote w:id="4">
    <w:p w:rsidR="00F57758" w:rsidRPr="00D73847" w:rsidRDefault="00F57758" w:rsidP="00D73847">
      <w:pPr>
        <w:pStyle w:val="FootnoteText"/>
        <w:ind w:left="567" w:hanging="567"/>
        <w:rPr>
          <w:sz w:val="24"/>
          <w:lang w:val="nl-NL"/>
        </w:rPr>
      </w:pPr>
      <w:r w:rsidRPr="00D73847">
        <w:rPr>
          <w:rStyle w:val="FootnoteReference"/>
          <w:sz w:val="24"/>
          <w:lang w:val="nl-NL"/>
        </w:rPr>
        <w:footnoteRef/>
      </w:r>
      <w:r w:rsidR="00D73847" w:rsidRPr="00D73847">
        <w:rPr>
          <w:sz w:val="24"/>
          <w:shd w:val="clear" w:color="auto" w:fill="FFFFFF"/>
          <w:lang w:val="nl-NL"/>
        </w:rPr>
        <w:tab/>
      </w:r>
      <w:r w:rsidRPr="00D73847">
        <w:rPr>
          <w:sz w:val="24"/>
          <w:shd w:val="clear" w:color="auto" w:fill="FFFFFF"/>
          <w:lang w:val="nl-NL"/>
        </w:rPr>
        <w:t>Richtlijn (EU) 2019/882 van het Europees Parlement en de Raad van 17 april 2019 betreffende de toegankelijkheidsvoorschriften voor producten en diensten</w:t>
      </w:r>
      <w:r w:rsidR="002B73D2">
        <w:rPr>
          <w:sz w:val="24"/>
          <w:shd w:val="clear" w:color="auto" w:fill="FFFFFF"/>
          <w:lang w:val="nl-NL"/>
        </w:rPr>
        <w:t xml:space="preserve"> (</w:t>
      </w:r>
      <w:r w:rsidRPr="002B73D2">
        <w:rPr>
          <w:rStyle w:val="Emphasis"/>
          <w:i w:val="0"/>
          <w:sz w:val="24"/>
          <w:shd w:val="clear" w:color="auto" w:fill="FFFFFF"/>
          <w:lang w:val="nl-NL"/>
        </w:rPr>
        <w:t>PB L 151 van 7.6.2019, blz. 70</w:t>
      </w:r>
      <w:r w:rsidR="002B73D2">
        <w:rPr>
          <w:rStyle w:val="Emphasis"/>
          <w:i w:val="0"/>
          <w:sz w:val="24"/>
          <w:shd w:val="clear" w:color="auto" w:fill="FFFFFF"/>
          <w:lang w:val="nl-NL"/>
        </w:rPr>
        <w:t xml:space="preserve">, </w:t>
      </w:r>
      <w:r w:rsidRPr="00D73847">
        <w:rPr>
          <w:sz w:val="24"/>
          <w:shd w:val="clear" w:color="auto" w:fill="FFFFFF"/>
          <w:lang w:val="nl-NL"/>
        </w:rPr>
        <w:t>ELI: </w:t>
      </w:r>
      <w:hyperlink r:id="rId3" w:tooltip="Geeft toegang tot dit document via de ELI‑URI." w:history="1">
        <w:r w:rsidRPr="00D73847">
          <w:rPr>
            <w:rStyle w:val="Hyperlink"/>
            <w:sz w:val="24"/>
            <w:shd w:val="clear" w:color="auto" w:fill="FFFFFF"/>
            <w:lang w:val="nl-NL"/>
          </w:rPr>
          <w:t>http://data.europa.eu/eli/dir/2019/882/oj</w:t>
        </w:r>
      </w:hyperlink>
      <w:r w:rsidR="002B73D2">
        <w:rPr>
          <w:rStyle w:val="Hyperlink"/>
          <w:color w:val="auto"/>
          <w:sz w:val="24"/>
          <w:u w:val="none"/>
          <w:shd w:val="clear" w:color="auto" w:fill="FFFFFF"/>
          <w:lang w:val="nl-NL"/>
        </w:rPr>
        <w:t>)</w:t>
      </w:r>
      <w:r w:rsidRPr="00D73847">
        <w:rPr>
          <w:sz w:val="24"/>
          <w:lang w:val="nl-NL"/>
        </w:rPr>
        <w:t>.</w:t>
      </w:r>
    </w:p>
  </w:footnote>
  <w:footnote w:id="5">
    <w:p w:rsidR="00F57758" w:rsidRPr="00D73847" w:rsidRDefault="00F57758" w:rsidP="00D73847">
      <w:pPr>
        <w:pStyle w:val="FootnoteText"/>
        <w:ind w:left="567" w:hanging="567"/>
        <w:rPr>
          <w:sz w:val="24"/>
          <w:lang w:val="nl-NL"/>
        </w:rPr>
      </w:pPr>
      <w:r w:rsidRPr="00D73847">
        <w:rPr>
          <w:rStyle w:val="FootnoteReference"/>
          <w:sz w:val="24"/>
          <w:lang w:val="nl-NL"/>
        </w:rPr>
        <w:footnoteRef/>
      </w:r>
      <w:r w:rsidR="00D73847" w:rsidRPr="00D73847">
        <w:rPr>
          <w:sz w:val="24"/>
          <w:shd w:val="clear" w:color="auto" w:fill="FFFFFF"/>
          <w:lang w:val="nl-NL"/>
        </w:rPr>
        <w:tab/>
      </w:r>
      <w:r w:rsidRPr="00D73847">
        <w:rPr>
          <w:sz w:val="24"/>
          <w:shd w:val="clear" w:color="auto" w:fill="FFFFFF"/>
          <w:lang w:val="nl-NL"/>
        </w:rPr>
        <w:t xml:space="preserve">Verordening (EU) 2022/1925 van het Europees Parlement en de Raad van 14 september 2022 over betwistbare en eerlijke markten in de digitale sector, en tot wijziging van Richtlijnen (EU) 2019/1937 en (EU) 2020/1828 </w:t>
      </w:r>
      <w:r w:rsidR="002B73D2">
        <w:rPr>
          <w:sz w:val="24"/>
          <w:shd w:val="clear" w:color="auto" w:fill="FFFFFF"/>
          <w:lang w:val="nl-NL"/>
        </w:rPr>
        <w:t>(</w:t>
      </w:r>
      <w:r w:rsidRPr="002B73D2">
        <w:rPr>
          <w:rStyle w:val="Emphasis"/>
          <w:i w:val="0"/>
          <w:sz w:val="24"/>
          <w:shd w:val="clear" w:color="auto" w:fill="FFFFFF"/>
          <w:lang w:val="nl-NL"/>
        </w:rPr>
        <w:t>PB L 265 van 12.10.2022, blz. 1,</w:t>
      </w:r>
      <w:r w:rsidRPr="00D73847">
        <w:rPr>
          <w:rStyle w:val="Emphasis"/>
          <w:sz w:val="24"/>
          <w:shd w:val="clear" w:color="auto" w:fill="FFFFFF"/>
          <w:lang w:val="nl-NL"/>
        </w:rPr>
        <w:t xml:space="preserve"> </w:t>
      </w:r>
      <w:r w:rsidRPr="00D73847">
        <w:rPr>
          <w:sz w:val="24"/>
          <w:shd w:val="clear" w:color="auto" w:fill="FFFFFF"/>
          <w:lang w:val="nl-NL"/>
        </w:rPr>
        <w:t>ELI: </w:t>
      </w:r>
      <w:hyperlink r:id="rId4" w:tooltip="Geeft toegang tot dit document via de ELI‑URI." w:history="1">
        <w:r w:rsidRPr="00D73847">
          <w:rPr>
            <w:rStyle w:val="Hyperlink"/>
            <w:sz w:val="24"/>
            <w:shd w:val="clear" w:color="auto" w:fill="FFFFFF"/>
            <w:lang w:val="nl-NL"/>
          </w:rPr>
          <w:t>http://data.europa.eu/eli/reg/2022/1925/oj</w:t>
        </w:r>
      </w:hyperlink>
      <w:r w:rsidR="002B73D2">
        <w:rPr>
          <w:rStyle w:val="Hyperlink"/>
          <w:color w:val="auto"/>
          <w:sz w:val="24"/>
          <w:u w:val="none"/>
          <w:shd w:val="clear" w:color="auto" w:fill="FFFFFF"/>
          <w:lang w:val="nl-NL"/>
        </w:rPr>
        <w:t>)</w:t>
      </w:r>
      <w:r w:rsidRPr="00D73847">
        <w:rPr>
          <w:sz w:val="24"/>
          <w:lang w:val="nl-NL"/>
        </w:rPr>
        <w:t>.</w:t>
      </w:r>
    </w:p>
  </w:footnote>
  <w:footnote w:id="6">
    <w:p w:rsidR="00F57758" w:rsidRPr="00D73847" w:rsidRDefault="00F57758" w:rsidP="00D73847">
      <w:pPr>
        <w:pStyle w:val="FootnoteText"/>
        <w:ind w:left="567" w:hanging="567"/>
        <w:rPr>
          <w:sz w:val="24"/>
          <w:lang w:val="nl-NL"/>
        </w:rPr>
      </w:pPr>
      <w:r w:rsidRPr="00D73847">
        <w:rPr>
          <w:rStyle w:val="FootnoteReference"/>
          <w:sz w:val="24"/>
          <w:lang w:val="nl-NL"/>
        </w:rPr>
        <w:footnoteRef/>
      </w:r>
      <w:r w:rsidR="00D73847" w:rsidRPr="00D73847">
        <w:rPr>
          <w:sz w:val="24"/>
          <w:shd w:val="clear" w:color="auto" w:fill="FFFFFF"/>
          <w:lang w:val="nl-NL"/>
        </w:rPr>
        <w:tab/>
      </w:r>
      <w:r w:rsidRPr="00D73847">
        <w:rPr>
          <w:sz w:val="24"/>
          <w:shd w:val="clear" w:color="auto" w:fill="FFFFFF"/>
          <w:lang w:val="nl-NL"/>
        </w:rPr>
        <w:t>Verordening (EU) 2022/2065 van het Europees Parlement en de Raad van 19 oktober 2022 betreffende een eengemaakte markt voor digitale diensten en tot wijziging van Richtlijn 2000/31/EG</w:t>
      </w:r>
      <w:r w:rsidR="002B73D2">
        <w:rPr>
          <w:sz w:val="24"/>
          <w:shd w:val="clear" w:color="auto" w:fill="FFFFFF"/>
          <w:lang w:val="nl-NL"/>
        </w:rPr>
        <w:t xml:space="preserve"> (</w:t>
      </w:r>
      <w:r w:rsidRPr="002B73D2">
        <w:rPr>
          <w:rStyle w:val="Emphasis"/>
          <w:i w:val="0"/>
          <w:sz w:val="24"/>
          <w:shd w:val="clear" w:color="auto" w:fill="FFFFFF"/>
          <w:lang w:val="nl-NL"/>
        </w:rPr>
        <w:t>PB L 277 van 27.10.2022, blz. 1,</w:t>
      </w:r>
      <w:r w:rsidRPr="00D73847">
        <w:rPr>
          <w:rStyle w:val="Emphasis"/>
          <w:sz w:val="24"/>
          <w:shd w:val="clear" w:color="auto" w:fill="FFFFFF"/>
          <w:lang w:val="nl-NL"/>
        </w:rPr>
        <w:t xml:space="preserve"> </w:t>
      </w:r>
      <w:r w:rsidRPr="00D73847">
        <w:rPr>
          <w:sz w:val="24"/>
          <w:shd w:val="clear" w:color="auto" w:fill="FFFFFF"/>
          <w:lang w:val="nl-NL"/>
        </w:rPr>
        <w:t>ELI: </w:t>
      </w:r>
      <w:hyperlink r:id="rId5" w:tooltip="Geeft toegang tot dit document via de ELI‑URI." w:history="1">
        <w:r w:rsidRPr="00D73847">
          <w:rPr>
            <w:rStyle w:val="Hyperlink"/>
            <w:sz w:val="24"/>
            <w:shd w:val="clear" w:color="auto" w:fill="FFFFFF"/>
            <w:lang w:val="nl-NL"/>
          </w:rPr>
          <w:t>http://data.europa.eu/eli/reg/2022/2065/oj</w:t>
        </w:r>
      </w:hyperlink>
      <w:r w:rsidR="002B73D2">
        <w:rPr>
          <w:rStyle w:val="Hyperlink"/>
          <w:color w:val="auto"/>
          <w:sz w:val="24"/>
          <w:u w:val="none"/>
          <w:shd w:val="clear" w:color="auto" w:fill="FFFFFF"/>
          <w:lang w:val="nl-NL"/>
        </w:rPr>
        <w:t>)</w:t>
      </w:r>
      <w:r w:rsidRPr="00D73847">
        <w:rPr>
          <w:sz w:val="24"/>
          <w:lang w:val="nl-NL"/>
        </w:rPr>
        <w:t>.</w:t>
      </w:r>
    </w:p>
  </w:footnote>
  <w:footnote w:id="7">
    <w:p w:rsidR="00F57758" w:rsidRPr="00D73847" w:rsidRDefault="00F57758" w:rsidP="00D73847">
      <w:pPr>
        <w:pStyle w:val="FootnoteText"/>
        <w:ind w:left="567" w:hanging="567"/>
        <w:rPr>
          <w:sz w:val="24"/>
          <w:lang w:val="nl-NL"/>
        </w:rPr>
      </w:pPr>
      <w:r w:rsidRPr="00D73847">
        <w:rPr>
          <w:rStyle w:val="FootnoteReference"/>
          <w:sz w:val="24"/>
          <w:lang w:val="nl-NL"/>
        </w:rPr>
        <w:footnoteRef/>
      </w:r>
      <w:r w:rsidR="00D73847" w:rsidRPr="00D73847">
        <w:rPr>
          <w:sz w:val="24"/>
          <w:shd w:val="clear" w:color="auto" w:fill="FFFFFF"/>
          <w:lang w:val="nl-NL"/>
        </w:rPr>
        <w:tab/>
      </w:r>
      <w:r w:rsidRPr="00D73847">
        <w:rPr>
          <w:sz w:val="24"/>
          <w:shd w:val="clear" w:color="auto" w:fill="FFFFFF"/>
          <w:lang w:val="nl-NL"/>
        </w:rPr>
        <w:t>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w:t>
      </w:r>
      <w:r w:rsidR="002B73D2">
        <w:rPr>
          <w:sz w:val="24"/>
          <w:shd w:val="clear" w:color="auto" w:fill="FFFFFF"/>
          <w:lang w:val="nl-NL"/>
        </w:rPr>
        <w:t xml:space="preserve"> (</w:t>
      </w:r>
      <w:r w:rsidRPr="002B73D2">
        <w:rPr>
          <w:rStyle w:val="Emphasis"/>
          <w:i w:val="0"/>
          <w:sz w:val="24"/>
          <w:shd w:val="clear" w:color="auto" w:fill="FFFFFF"/>
          <w:lang w:val="nl-NL"/>
        </w:rPr>
        <w:t>PB L, 2024/1689, 12.7.2024, ELI:</w:t>
      </w:r>
      <w:r w:rsidRPr="00D73847">
        <w:rPr>
          <w:rStyle w:val="Emphasis"/>
          <w:sz w:val="24"/>
          <w:shd w:val="clear" w:color="auto" w:fill="FFFFFF"/>
          <w:lang w:val="nl-NL"/>
        </w:rPr>
        <w:t> </w:t>
      </w:r>
      <w:hyperlink r:id="rId6" w:tgtFrame="_blank" w:tooltip="Geeft toegang tot dit document via de ELI‑URI." w:history="1">
        <w:r w:rsidRPr="00D73847">
          <w:rPr>
            <w:rStyle w:val="Hyperlink"/>
            <w:sz w:val="24"/>
            <w:lang w:val="nl-NL"/>
          </w:rPr>
          <w:t>http://data.europa.eu/eli/reg/2024/1689/oj</w:t>
        </w:r>
      </w:hyperlink>
      <w:r w:rsidR="002B73D2">
        <w:rPr>
          <w:rStyle w:val="Hyperlink"/>
          <w:color w:val="auto"/>
          <w:sz w:val="24"/>
          <w:u w:val="none"/>
          <w:lang w:val="nl-NL"/>
        </w:rPr>
        <w:t>)</w:t>
      </w:r>
      <w:r w:rsidRPr="00D73847">
        <w:rPr>
          <w:rStyle w:val="Emphasis"/>
          <w:sz w:val="24"/>
          <w:shd w:val="clear" w:color="auto" w:fill="FFFFFF"/>
          <w:lang w:val="nl-NL"/>
        </w:rPr>
        <w:t>.</w:t>
      </w:r>
    </w:p>
  </w:footnote>
  <w:footnote w:id="8">
    <w:p w:rsidR="00F57758" w:rsidRPr="00D73847" w:rsidRDefault="00F57758" w:rsidP="00D73847">
      <w:pPr>
        <w:pStyle w:val="FootnoteText"/>
        <w:ind w:left="567" w:hanging="567"/>
        <w:rPr>
          <w:sz w:val="24"/>
          <w:lang w:val="nl-NL"/>
        </w:rPr>
      </w:pPr>
      <w:r w:rsidRPr="00D73847">
        <w:rPr>
          <w:rStyle w:val="FootnoteReference"/>
          <w:sz w:val="24"/>
          <w:lang w:val="nl-NL"/>
        </w:rPr>
        <w:footnoteRef/>
      </w:r>
      <w:r w:rsidR="00D73847" w:rsidRPr="00D73847">
        <w:rPr>
          <w:sz w:val="24"/>
          <w:shd w:val="clear" w:color="auto" w:fill="FFFFFF"/>
          <w:lang w:val="nl-NL"/>
        </w:rPr>
        <w:tab/>
      </w:r>
      <w:r w:rsidRPr="00D73847">
        <w:rPr>
          <w:sz w:val="24"/>
          <w:shd w:val="clear" w:color="auto" w:fill="FFFFFF"/>
          <w:lang w:val="nl-NL"/>
        </w:rPr>
        <w:t>Verordening (EU) 2017/2394 van het Europees Parlement en de Raad van 12 december 2017 betreffende samenwerking tussen de nationale autoriteiten die verantwoordelijk zijn voor handhaving van de wetgeving inzake consumentenbescherming en tot intrekking van Verordening (EG) nr. 2006/2004</w:t>
      </w:r>
      <w:r w:rsidR="002B73D2">
        <w:rPr>
          <w:sz w:val="24"/>
          <w:shd w:val="clear" w:color="auto" w:fill="FFFFFF"/>
          <w:lang w:val="nl-NL"/>
        </w:rPr>
        <w:t xml:space="preserve"> (</w:t>
      </w:r>
      <w:r w:rsidRPr="002B73D2">
        <w:rPr>
          <w:rStyle w:val="Emphasis"/>
          <w:i w:val="0"/>
          <w:sz w:val="24"/>
          <w:shd w:val="clear" w:color="auto" w:fill="FFFFFF"/>
          <w:lang w:val="nl-NL"/>
        </w:rPr>
        <w:t>PB L 345 van 27.12.2017, blz. 1,</w:t>
      </w:r>
      <w:r w:rsidRPr="00D73847">
        <w:rPr>
          <w:rStyle w:val="Emphasis"/>
          <w:sz w:val="24"/>
          <w:shd w:val="clear" w:color="auto" w:fill="FFFFFF"/>
          <w:lang w:val="nl-NL"/>
        </w:rPr>
        <w:t xml:space="preserve"> </w:t>
      </w:r>
      <w:r w:rsidRPr="00D73847">
        <w:rPr>
          <w:sz w:val="24"/>
          <w:shd w:val="clear" w:color="auto" w:fill="FFFFFF"/>
          <w:lang w:val="nl-NL"/>
        </w:rPr>
        <w:t>ELI: </w:t>
      </w:r>
      <w:hyperlink r:id="rId7" w:tooltip="Geeft toegang tot dit document via de ELI‑URI." w:history="1">
        <w:r w:rsidRPr="00D73847">
          <w:rPr>
            <w:rStyle w:val="Hyperlink"/>
            <w:sz w:val="24"/>
            <w:shd w:val="clear" w:color="auto" w:fill="FFFFFF"/>
            <w:lang w:val="nl-NL"/>
          </w:rPr>
          <w:t>http://data.europa.eu/eli/reg/2017/2394/oj</w:t>
        </w:r>
      </w:hyperlink>
      <w:r w:rsidR="002B73D2">
        <w:rPr>
          <w:rStyle w:val="Hyperlink"/>
          <w:color w:val="auto"/>
          <w:sz w:val="24"/>
          <w:u w:val="none"/>
          <w:shd w:val="clear" w:color="auto" w:fill="FFFFFF"/>
          <w:lang w:val="nl-NL"/>
        </w:rPr>
        <w:t>)</w:t>
      </w:r>
      <w:r w:rsidRPr="00D73847">
        <w:rPr>
          <w:sz w:val="24"/>
          <w:lang w:val="nl-NL"/>
        </w:rPr>
        <w:t>.</w:t>
      </w:r>
    </w:p>
  </w:footnote>
  <w:footnote w:id="9">
    <w:p w:rsidR="00F57758" w:rsidRPr="004B7640" w:rsidRDefault="00F57758" w:rsidP="00D73847">
      <w:pPr>
        <w:pStyle w:val="FootnoteText"/>
        <w:ind w:left="567" w:hanging="567"/>
        <w:rPr>
          <w:sz w:val="24"/>
          <w:lang w:val="en-GB"/>
        </w:rPr>
      </w:pPr>
      <w:r w:rsidRPr="00D73847">
        <w:rPr>
          <w:rStyle w:val="FootnoteReference"/>
          <w:sz w:val="24"/>
          <w:lang w:val="nl-NL"/>
        </w:rPr>
        <w:footnoteRef/>
      </w:r>
      <w:r w:rsidR="00D73847" w:rsidRPr="004B7640">
        <w:rPr>
          <w:sz w:val="24"/>
          <w:lang w:val="en-GB"/>
        </w:rPr>
        <w:tab/>
      </w:r>
      <w:r w:rsidRPr="004B7640">
        <w:rPr>
          <w:sz w:val="24"/>
          <w:lang w:val="en-GB"/>
        </w:rPr>
        <w:t>Arrest van 5 maart 2024, Public.Resource.Org, Inc. tegen Right to Know CLG, C-588/21 P, EU:C:2024:201.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38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38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38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6/2025"/>
    <w:docVar w:name="dvlangue" w:val="NL"/>
    <w:docVar w:name="dvnumam" w:val="0"/>
    <w:docVar w:name="dvpe" w:val="772.165"/>
    <w:docVar w:name="dvtitre" w:val="Resolutie van het Europees Parlement van xx mei 2025 over bekende uitdagingen en nieuwe handelspraktijken op de interne markt(2025/2542(RSP))"/>
  </w:docVars>
  <w:rsids>
    <w:rsidRoot w:val="00EF6096"/>
    <w:rsid w:val="00002272"/>
    <w:rsid w:val="00064002"/>
    <w:rsid w:val="000677B9"/>
    <w:rsid w:val="000831BA"/>
    <w:rsid w:val="000A42CC"/>
    <w:rsid w:val="000E7DD9"/>
    <w:rsid w:val="0010095E"/>
    <w:rsid w:val="00125B37"/>
    <w:rsid w:val="00133265"/>
    <w:rsid w:val="00187494"/>
    <w:rsid w:val="001F32AE"/>
    <w:rsid w:val="002767FF"/>
    <w:rsid w:val="002B18FE"/>
    <w:rsid w:val="002B5493"/>
    <w:rsid w:val="002B73D2"/>
    <w:rsid w:val="002F78E7"/>
    <w:rsid w:val="00343214"/>
    <w:rsid w:val="00361C00"/>
    <w:rsid w:val="00395FA1"/>
    <w:rsid w:val="003E15D4"/>
    <w:rsid w:val="00411CCE"/>
    <w:rsid w:val="0041666E"/>
    <w:rsid w:val="00421060"/>
    <w:rsid w:val="00457403"/>
    <w:rsid w:val="00471C19"/>
    <w:rsid w:val="004867E3"/>
    <w:rsid w:val="00494A28"/>
    <w:rsid w:val="004B7640"/>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48C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3847"/>
    <w:rsid w:val="00D834A0"/>
    <w:rsid w:val="00D872DF"/>
    <w:rsid w:val="00D91E21"/>
    <w:rsid w:val="00DA7FCD"/>
    <w:rsid w:val="00E365E1"/>
    <w:rsid w:val="00E820A4"/>
    <w:rsid w:val="00EB006A"/>
    <w:rsid w:val="00EB4772"/>
    <w:rsid w:val="00ED169E"/>
    <w:rsid w:val="00ED4235"/>
    <w:rsid w:val="00EF6096"/>
    <w:rsid w:val="00F04346"/>
    <w:rsid w:val="00F075DC"/>
    <w:rsid w:val="00F149E9"/>
    <w:rsid w:val="00F5134D"/>
    <w:rsid w:val="00F5775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60C873"/>
  <w15:chartTrackingRefBased/>
  <w15:docId w15:val="{CAA8DEC1-3022-4D08-B59A-8CE83B940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57758"/>
    <w:pPr>
      <w:spacing w:before="480" w:after="240"/>
    </w:pPr>
  </w:style>
  <w:style w:type="paragraph" w:customStyle="1" w:styleId="NormalHanging12a">
    <w:name w:val="NormalHanging12a"/>
    <w:basedOn w:val="Normal"/>
    <w:rsid w:val="00F57758"/>
    <w:pPr>
      <w:spacing w:after="240"/>
      <w:ind w:left="567" w:hanging="567"/>
    </w:pPr>
  </w:style>
  <w:style w:type="character" w:styleId="Emphasis">
    <w:name w:val="Emphasis"/>
    <w:basedOn w:val="DefaultParagraphFont"/>
    <w:uiPriority w:val="20"/>
    <w:qFormat/>
    <w:rsid w:val="00F57758"/>
    <w:rPr>
      <w:i/>
      <w:iCs/>
    </w:rPr>
  </w:style>
  <w:style w:type="character" w:styleId="Hyperlink">
    <w:name w:val="Hyperlink"/>
    <w:basedOn w:val="DefaultParagraphFont"/>
    <w:uiPriority w:val="99"/>
    <w:unhideWhenUsed/>
    <w:rsid w:val="00F57758"/>
    <w:rPr>
      <w:color w:val="0000FF"/>
      <w:u w:val="single"/>
    </w:rPr>
  </w:style>
  <w:style w:type="paragraph" w:styleId="BalloonText">
    <w:name w:val="Balloon Text"/>
    <w:basedOn w:val="Normal"/>
    <w:link w:val="BalloonTextChar"/>
    <w:rsid w:val="008048C0"/>
    <w:rPr>
      <w:rFonts w:ascii="Segoe UI" w:hAnsi="Segoe UI" w:cs="Segoe UI"/>
      <w:sz w:val="18"/>
      <w:szCs w:val="18"/>
    </w:rPr>
  </w:style>
  <w:style w:type="character" w:customStyle="1" w:styleId="BalloonTextChar">
    <w:name w:val="Balloon Text Char"/>
    <w:basedOn w:val="DefaultParagraphFont"/>
    <w:link w:val="BalloonText"/>
    <w:rsid w:val="008048C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003164">
      <w:bodyDiv w:val="1"/>
      <w:marLeft w:val="0"/>
      <w:marRight w:val="0"/>
      <w:marTop w:val="0"/>
      <w:marBottom w:val="0"/>
      <w:divBdr>
        <w:top w:val="none" w:sz="0" w:space="0" w:color="auto"/>
        <w:left w:val="none" w:sz="0" w:space="0" w:color="auto"/>
        <w:bottom w:val="none" w:sz="0" w:space="0" w:color="auto"/>
        <w:right w:val="none" w:sz="0" w:space="0" w:color="auto"/>
      </w:divBdr>
    </w:div>
    <w:div w:id="1965774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882/oj" TargetMode="External"/><Relationship Id="rId7" Type="http://schemas.openxmlformats.org/officeDocument/2006/relationships/hyperlink" Target="http://data.europa.eu/eli/reg/2017/2394/oj" TargetMode="External"/><Relationship Id="rId2" Type="http://schemas.openxmlformats.org/officeDocument/2006/relationships/hyperlink" Target="http://data.europa.eu/eli/reg/2018/302/oj" TargetMode="External"/><Relationship Id="rId1" Type="http://schemas.openxmlformats.org/officeDocument/2006/relationships/hyperlink" Target="http://data.europa.eu/eli/reg/2024/2747/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9149B-926E-4804-8AE4-26A81A780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3540</Words>
  <Characters>21972</Characters>
  <Application>Microsoft Office Word</Application>
  <DocSecurity>0</DocSecurity>
  <Lines>183</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2025-05-08T12:47:00Z</dcterms:created>
  <dcterms:modified xsi:type="dcterms:W3CDTF">2025-05-08T12:47:00Z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B10-0246/2025</vt:lpwstr>
  </property>
  <property fmtid="{D5CDD505-2E9C-101B-9397-08002B2CF9AE}" pid="4" name="&lt;Type&gt;">
    <vt:lpwstr>RR</vt:lpwstr>
  </property>
</Properties>
</file>