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4115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41158" w:rsidRDefault="002864A2" w:rsidP="0010095E">
            <w:pPr>
              <w:pStyle w:val="EPName"/>
            </w:pPr>
            <w:r w:rsidRPr="00C41158">
              <w:t>Parlament Europejski</w:t>
            </w:r>
          </w:p>
          <w:p w:rsidR="00751A4A" w:rsidRPr="00C4115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41158">
              <w:t>2024</w:t>
            </w:r>
            <w:r w:rsidR="00817416" w:rsidRPr="00C41158">
              <w:t>-202</w:t>
            </w:r>
            <w:r w:rsidRPr="00C4115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41158" w:rsidRDefault="00187494" w:rsidP="0010095E">
            <w:pPr>
              <w:pStyle w:val="EPLogo"/>
            </w:pPr>
            <w:r w:rsidRPr="00C41158">
              <w:rPr>
                <w:noProof/>
                <w:lang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41158" w:rsidRDefault="00D058B8" w:rsidP="004C5D52">
      <w:pPr>
        <w:pStyle w:val="LineTop"/>
      </w:pPr>
    </w:p>
    <w:p w:rsidR="00680577" w:rsidRPr="00C41158" w:rsidRDefault="002864A2" w:rsidP="00680577">
      <w:pPr>
        <w:pStyle w:val="EPBodyTA1"/>
      </w:pPr>
      <w:r w:rsidRPr="00C41158">
        <w:t>TEKSTY PRZYJĘTE</w:t>
      </w:r>
    </w:p>
    <w:p w:rsidR="00D058B8" w:rsidRPr="00C41158" w:rsidRDefault="00D058B8" w:rsidP="00D058B8">
      <w:pPr>
        <w:pStyle w:val="LineBottom"/>
      </w:pPr>
    </w:p>
    <w:p w:rsidR="002864A2" w:rsidRPr="00C41158" w:rsidRDefault="002864A2" w:rsidP="002864A2">
      <w:pPr>
        <w:pStyle w:val="ATHeading1"/>
      </w:pPr>
      <w:bookmarkStart w:id="0" w:name="TANumber"/>
      <w:r w:rsidRPr="00C41158">
        <w:t>P10_TA(2025)0</w:t>
      </w:r>
      <w:bookmarkEnd w:id="0"/>
      <w:r w:rsidR="009D3E30">
        <w:t>107</w:t>
      </w:r>
    </w:p>
    <w:p w:rsidR="002864A2" w:rsidRPr="00CF3DA0" w:rsidRDefault="00CF3DA0" w:rsidP="002864A2">
      <w:pPr>
        <w:pStyle w:val="ATHeading2"/>
      </w:pPr>
      <w:r w:rsidRPr="00CF3DA0">
        <w:rPr>
          <w:bCs/>
        </w:rPr>
        <w:t>Stare wyzwania i nowe praktyki handlowe na rynku wewnętrznym</w:t>
      </w:r>
    </w:p>
    <w:p w:rsidR="002864A2" w:rsidRPr="00C41158" w:rsidRDefault="002864A2" w:rsidP="002864A2">
      <w:pPr>
        <w:rPr>
          <w:i/>
          <w:vanish/>
        </w:rPr>
      </w:pPr>
      <w:r w:rsidRPr="00C41158">
        <w:rPr>
          <w:i/>
        </w:rPr>
        <w:fldChar w:fldCharType="begin"/>
      </w:r>
      <w:r w:rsidRPr="00C41158">
        <w:rPr>
          <w:i/>
        </w:rPr>
        <w:instrText xml:space="preserve"> TC"(</w:instrText>
      </w:r>
      <w:bookmarkStart w:id="1" w:name="DocNumber"/>
      <w:r w:rsidRPr="00C41158">
        <w:rPr>
          <w:i/>
        </w:rPr>
        <w:instrText>B</w:instrText>
      </w:r>
      <w:proofErr w:type="gramStart"/>
      <w:r w:rsidRPr="00C41158">
        <w:rPr>
          <w:i/>
        </w:rPr>
        <w:instrText>10-0246/2025</w:instrText>
      </w:r>
      <w:bookmarkEnd w:id="1"/>
      <w:r w:rsidRPr="00C41158">
        <w:rPr>
          <w:i/>
        </w:rPr>
        <w:instrText>)"\l</w:instrText>
      </w:r>
      <w:proofErr w:type="gramEnd"/>
      <w:r w:rsidRPr="00C41158">
        <w:rPr>
          <w:i/>
        </w:rPr>
        <w:instrText xml:space="preserve">3 \n&gt; \* MERGEFORMAT </w:instrText>
      </w:r>
      <w:r w:rsidRPr="00C41158">
        <w:rPr>
          <w:i/>
        </w:rPr>
        <w:fldChar w:fldCharType="end"/>
      </w:r>
    </w:p>
    <w:p w:rsidR="002864A2" w:rsidRPr="00C41158" w:rsidRDefault="002864A2" w:rsidP="002864A2">
      <w:pPr>
        <w:rPr>
          <w:vanish/>
        </w:rPr>
      </w:pPr>
      <w:bookmarkStart w:id="2" w:name="PE"/>
      <w:r w:rsidRPr="00C41158">
        <w:rPr>
          <w:vanish/>
        </w:rPr>
        <w:t>PE772.165</w:t>
      </w:r>
      <w:bookmarkEnd w:id="2"/>
    </w:p>
    <w:p w:rsidR="002864A2" w:rsidRPr="00C41158" w:rsidRDefault="002864A2" w:rsidP="002864A2">
      <w:pPr>
        <w:pStyle w:val="ATHeading3"/>
      </w:pPr>
      <w:bookmarkStart w:id="3" w:name="Sujet"/>
      <w:r w:rsidRPr="00C41158">
        <w:t xml:space="preserve">Rezolucja Parlamentu Europejskiego z dnia </w:t>
      </w:r>
      <w:r w:rsidR="00CF3DA0">
        <w:t>8 maja</w:t>
      </w:r>
      <w:r w:rsidRPr="00C41158">
        <w:t xml:space="preserve"> 2025 r. w sprawie starych wyzwań i nowych praktyk handlowych na rynku wewnętrznym</w:t>
      </w:r>
      <w:bookmarkEnd w:id="3"/>
      <w:r w:rsidRPr="00C41158">
        <w:t xml:space="preserve"> </w:t>
      </w:r>
      <w:bookmarkStart w:id="4" w:name="References"/>
      <w:r w:rsidRPr="00C41158">
        <w:t>(2025/2542(RSP))</w:t>
      </w:r>
      <w:bookmarkEnd w:id="4"/>
    </w:p>
    <w:p w:rsidR="002864A2" w:rsidRPr="00C41158" w:rsidRDefault="002864A2" w:rsidP="002864A2"/>
    <w:p w:rsidR="007279E5" w:rsidRPr="00C41158" w:rsidRDefault="007279E5" w:rsidP="007279E5">
      <w:pPr>
        <w:pStyle w:val="EPComma"/>
      </w:pPr>
      <w:bookmarkStart w:id="5" w:name="TextBodyBegin"/>
      <w:bookmarkEnd w:id="5"/>
      <w:r w:rsidRPr="00C41158">
        <w:t>Parlament Europejski,</w:t>
      </w:r>
    </w:p>
    <w:p w:rsidR="007279E5" w:rsidRPr="00C41158" w:rsidRDefault="007279E5" w:rsidP="007279E5">
      <w:pPr>
        <w:pStyle w:val="NormalHanging12a"/>
      </w:pPr>
      <w:r w:rsidRPr="00C41158">
        <w:t>–</w:t>
      </w:r>
      <w:r w:rsidRPr="00C41158">
        <w:tab/>
        <w:t>uwzględniając swoją rezolucję z dnia 18 stycznia 2023 r. w sprawie trzydziestolecia jednolitego rynku – radość z osiągnięć i spojrzenie w przyszłość</w:t>
      </w:r>
      <w:r w:rsidRPr="00C41158">
        <w:rPr>
          <w:rStyle w:val="FootnoteReference"/>
        </w:rPr>
        <w:footnoteReference w:id="1"/>
      </w:r>
      <w:r w:rsidRPr="00C41158">
        <w:t>,</w:t>
      </w:r>
    </w:p>
    <w:p w:rsidR="007279E5" w:rsidRPr="00C41158" w:rsidRDefault="007279E5" w:rsidP="007279E5">
      <w:pPr>
        <w:pStyle w:val="NormalHanging12a"/>
      </w:pPr>
      <w:r w:rsidRPr="00C41158">
        <w:t>–</w:t>
      </w:r>
      <w:r w:rsidRPr="00C41158">
        <w:tab/>
        <w:t>uwzględniając raport Enrica Letty z 17 kwietnia 2024 r. pt. „Much more than a market” [Znacznie więcej niż rynek] („raport Letty”),</w:t>
      </w:r>
    </w:p>
    <w:p w:rsidR="007279E5" w:rsidRPr="00C41158" w:rsidRDefault="007279E5" w:rsidP="007279E5">
      <w:pPr>
        <w:pStyle w:val="NormalHanging12a"/>
      </w:pPr>
      <w:r w:rsidRPr="00C41158">
        <w:t>–</w:t>
      </w:r>
      <w:r w:rsidRPr="00C41158">
        <w:tab/>
        <w:t>uwzględniając raport Maria Draghiego z 9 września 2024 r. na temat przyszłości europejskiej konkurencyjności („raport Draghiego”),</w:t>
      </w:r>
    </w:p>
    <w:p w:rsidR="007279E5" w:rsidRPr="00C41158" w:rsidRDefault="007279E5" w:rsidP="007279E5">
      <w:pPr>
        <w:pStyle w:val="NormalHanging12a"/>
      </w:pPr>
      <w:r w:rsidRPr="00C41158">
        <w:t>–</w:t>
      </w:r>
      <w:r w:rsidRPr="00C41158">
        <w:tab/>
        <w:t>uwzględniając komunikat Komisji z 29 stycznia 2025 r. pt. „Roczne sprawozdanie dotyczące jednolitego rynku i konkurencyjności za 2025 r.” (COM(2025)0026),</w:t>
      </w:r>
    </w:p>
    <w:p w:rsidR="007279E5" w:rsidRPr="00C41158" w:rsidRDefault="007279E5" w:rsidP="007279E5">
      <w:pPr>
        <w:pStyle w:val="NormalHanging12a"/>
      </w:pPr>
      <w:r w:rsidRPr="00C41158">
        <w:t>–</w:t>
      </w:r>
      <w:r w:rsidRPr="00C41158">
        <w:tab/>
        <w:t>uwzględniając komunikat Komisji z 29 stycznia 2025 r. pt. „Kompas konkurencyjności dla UE” (COM(2025)0030),</w:t>
      </w:r>
    </w:p>
    <w:p w:rsidR="007279E5" w:rsidRPr="00C41158" w:rsidRDefault="007279E5" w:rsidP="007279E5">
      <w:pPr>
        <w:pStyle w:val="NormalHanging12a"/>
      </w:pPr>
      <w:r w:rsidRPr="00C41158">
        <w:t>–</w:t>
      </w:r>
      <w:r w:rsidRPr="00C41158">
        <w:tab/>
        <w:t>uwzględniając komunikat Komisji z 11 lutego 2025 r. pt. „Prostsza i szybsza Europa: komunikat dotyczący wdrażania i upraszczania” (COM(2025)0047),</w:t>
      </w:r>
    </w:p>
    <w:p w:rsidR="007279E5" w:rsidRPr="00C41158" w:rsidRDefault="007279E5" w:rsidP="007279E5">
      <w:pPr>
        <w:pStyle w:val="NormalHanging12a"/>
      </w:pPr>
      <w:r w:rsidRPr="00C41158">
        <w:t>–</w:t>
      </w:r>
      <w:r w:rsidRPr="00C41158">
        <w:tab/>
        <w:t>uwzględniając pytanie do Komisji w sprawie starych wyzwań i nowych praktyk handlowych na rynku wewnętrznym (O-000012/2025 – B10</w:t>
      </w:r>
      <w:r w:rsidRPr="00C41158">
        <w:noBreakHyphen/>
        <w:t>0264/2025),</w:t>
      </w:r>
    </w:p>
    <w:p w:rsidR="007279E5" w:rsidRPr="00C41158" w:rsidRDefault="007279E5" w:rsidP="007279E5">
      <w:pPr>
        <w:pStyle w:val="NormalHanging12a"/>
      </w:pPr>
      <w:r w:rsidRPr="00C41158">
        <w:t>–</w:t>
      </w:r>
      <w:r w:rsidRPr="00C41158">
        <w:tab/>
        <w:t>uwzględniając art. 142 ust. 5 i art. 136 ust. 2 Regulaminu,</w:t>
      </w:r>
    </w:p>
    <w:p w:rsidR="007279E5" w:rsidRPr="00C41158" w:rsidRDefault="007279E5" w:rsidP="007279E5">
      <w:pPr>
        <w:pStyle w:val="NormalHanging12a"/>
      </w:pPr>
      <w:r w:rsidRPr="00C41158">
        <w:t>A.</w:t>
      </w:r>
      <w:r w:rsidRPr="00C41158">
        <w:tab/>
      </w:r>
      <w:proofErr w:type="gramStart"/>
      <w:r w:rsidRPr="00C41158">
        <w:t>mając</w:t>
      </w:r>
      <w:proofErr w:type="gramEnd"/>
      <w:r w:rsidRPr="00C41158">
        <w:t xml:space="preserve"> na uwadze, że zdolność Unii Europejskiej do konkurowania i prosperowania w globalnej gospodarce ma zasadnicze znaczenie, zwłaszcza w obliczu obecnych wyzwań geopolitycznych oraz kryzysów klimatycznych i środowiskowych; mając na uwadze, że jej obecna, średnio- i długoterminowa konkurencyjność zależy od w pełni zintegrowanego i wydajnego jednolitego rynku, który umożliwia europejskim </w:t>
      </w:r>
      <w:r w:rsidRPr="00C41158">
        <w:lastRenderedPageBreak/>
        <w:t>przedsiębiorstwom wprowadzanie innowacji i prosperowanie oraz w którym priorytetową kwestią jest zmniejszenie obciążeń administracyjnych;</w:t>
      </w:r>
    </w:p>
    <w:p w:rsidR="007279E5" w:rsidRPr="00C41158" w:rsidRDefault="007279E5" w:rsidP="007279E5">
      <w:pPr>
        <w:pStyle w:val="NormalHanging12a"/>
      </w:pPr>
      <w:r w:rsidRPr="00C41158">
        <w:t>B.</w:t>
      </w:r>
      <w:r w:rsidRPr="00C41158">
        <w:tab/>
        <w:t>mając na uwadze, że jednolity rynek, obejmujący prawie 450 mln obywateli i 23 mln przedsiębiorstw, generuje produkt krajowy brutto (PKB) w wysokości 17 bln EUR, dzięki czemu UE plasuje się wśród trzech największych gospodarek świata i przyczynia się do około jednej szóstej globalnej produkcji gospodarczej;</w:t>
      </w:r>
    </w:p>
    <w:p w:rsidR="007279E5" w:rsidRPr="00C41158" w:rsidRDefault="007279E5" w:rsidP="007279E5">
      <w:pPr>
        <w:pStyle w:val="NormalHanging12a"/>
      </w:pPr>
      <w:r w:rsidRPr="00C41158">
        <w:t>C.</w:t>
      </w:r>
      <w:r w:rsidRPr="00C41158">
        <w:tab/>
      </w:r>
      <w:proofErr w:type="gramStart"/>
      <w:r w:rsidRPr="00C41158">
        <w:t>mając</w:t>
      </w:r>
      <w:proofErr w:type="gramEnd"/>
      <w:r w:rsidRPr="00C41158">
        <w:t xml:space="preserve"> na uwadze, że w raporcie Draghiego wykazano, iż koszty przestrzegania przepisów wynikające z różnych aktów prawnych pozostają bardzo wysokie dla europejskich przedsiębiorstw, co ogranicza europejskie zdolności innowacyjne;</w:t>
      </w:r>
    </w:p>
    <w:p w:rsidR="007279E5" w:rsidRPr="00C41158" w:rsidRDefault="007279E5" w:rsidP="007279E5">
      <w:pPr>
        <w:pStyle w:val="NormalHanging12a"/>
      </w:pPr>
      <w:r w:rsidRPr="00C41158">
        <w:t>D.</w:t>
      </w:r>
      <w:r w:rsidRPr="00C41158">
        <w:tab/>
      </w:r>
      <w:proofErr w:type="gramStart"/>
      <w:r w:rsidRPr="00C41158">
        <w:t>mając</w:t>
      </w:r>
      <w:proofErr w:type="gramEnd"/>
      <w:r w:rsidRPr="00C41158">
        <w:t xml:space="preserve"> na uwadze, że kluczowe znaczenie nadal ma poprawa funkcjonowania jednolitego rynku poprzez rozwiązanie problemu utrzymującej się fragmentacji za sprawą wspólnych, zharmonizowanych strategii politycznych UE, skuteczniejszego wdrażania i egzekwowania oraz uproszczenia przepisów UE; mając na uwadze, że zmniejszenie obciążeń i kosztów administracyjnych, zwłaszcza dla małych i średnich przedsiębiorstw (MŚP), może pomóc w promowaniu innowacji i wspieraniu europejskich przedsiębiorstw; mając na uwadze, że uwolnienie pełnego potencjału jednolitego rynku wymaga pokonania utrzymujących się barier dla swobodnego przepływu towarów i usług;</w:t>
      </w:r>
    </w:p>
    <w:p w:rsidR="007279E5" w:rsidRPr="00C41158" w:rsidRDefault="007279E5" w:rsidP="007279E5">
      <w:pPr>
        <w:pStyle w:val="NormalHanging12a"/>
      </w:pPr>
      <w:r w:rsidRPr="00C41158">
        <w:t>E.</w:t>
      </w:r>
      <w:r w:rsidRPr="00C41158">
        <w:tab/>
      </w:r>
      <w:proofErr w:type="gramStart"/>
      <w:r w:rsidRPr="00C41158">
        <w:t>mając</w:t>
      </w:r>
      <w:proofErr w:type="gramEnd"/>
      <w:r w:rsidRPr="00C41158">
        <w:t xml:space="preserve"> na uwadze, że szybki rozwój platform cyfrowych i handlu elektronicznego wprowadził nową dynamikę rynku oraz że zmieniające się tendencje w światowym handlu elektronicznym wywierają dodatkową presję na kontrole celne, organy nadzoru rynku i organy ochrony konsumentów;</w:t>
      </w:r>
    </w:p>
    <w:p w:rsidR="007279E5" w:rsidRPr="00C41158" w:rsidRDefault="007279E5" w:rsidP="007279E5">
      <w:pPr>
        <w:pStyle w:val="NormalHanging12a"/>
      </w:pPr>
      <w:r w:rsidRPr="00C41158">
        <w:t>F.</w:t>
      </w:r>
      <w:r w:rsidRPr="00C41158">
        <w:tab/>
      </w:r>
      <w:proofErr w:type="gramStart"/>
      <w:r w:rsidRPr="00C41158">
        <w:t>mając</w:t>
      </w:r>
      <w:proofErr w:type="gramEnd"/>
      <w:r w:rsidRPr="00C41158">
        <w:t xml:space="preserve"> na uwadze, że zmiany geopolityczne i globalne transformacje gospodarcze przekształcają łańcuchy dostaw, co wymusza na UE dostosowanie polityki jednolitego rynku; mając na uwadze, że UE ustanowiła najwyższe normy dotyczące bezpieczeństwa produktów i ochrony konsumentów, zarówno w sprzedaży w internecie, jak i poza nim;</w:t>
      </w:r>
    </w:p>
    <w:p w:rsidR="007279E5" w:rsidRPr="00C41158" w:rsidRDefault="007279E5" w:rsidP="007279E5">
      <w:pPr>
        <w:pStyle w:val="NormalHanging12a"/>
      </w:pPr>
      <w:r w:rsidRPr="00C41158">
        <w:t>G.</w:t>
      </w:r>
      <w:r w:rsidRPr="00C41158">
        <w:tab/>
        <w:t>mając na uwadze, że odnotowano rosnącą liczbę przypadków zgłaszanych w całej UE, w których mimo stabilnych lub rosnących cen oferuje się towary i usługi w mniejszej ilości lub o niższej jakości;</w:t>
      </w:r>
    </w:p>
    <w:p w:rsidR="007279E5" w:rsidRPr="00C41158" w:rsidRDefault="007279E5" w:rsidP="007279E5">
      <w:pPr>
        <w:pStyle w:val="NormalHanging12a"/>
        <w:rPr>
          <w:b/>
          <w:i/>
          <w:iCs/>
        </w:rPr>
      </w:pPr>
      <w:r w:rsidRPr="00C41158">
        <w:rPr>
          <w:b/>
          <w:i/>
        </w:rPr>
        <w:t>Stare i utrzymujące się wyzwania</w:t>
      </w:r>
    </w:p>
    <w:p w:rsidR="007279E5" w:rsidRPr="00C41158" w:rsidRDefault="007279E5" w:rsidP="007279E5">
      <w:pPr>
        <w:pStyle w:val="NormalHanging12a"/>
      </w:pPr>
      <w:r w:rsidRPr="00C41158">
        <w:t>1.</w:t>
      </w:r>
      <w:r w:rsidRPr="00C41158">
        <w:tab/>
      </w:r>
      <w:proofErr w:type="gramStart"/>
      <w:r w:rsidRPr="00C41158">
        <w:t>potwierdza</w:t>
      </w:r>
      <w:proofErr w:type="gramEnd"/>
      <w:r w:rsidRPr="00C41158">
        <w:t>, że jednolity rynek stanowi fundament europejskiej integracji gospodarczej, gdyż umożliwia swobodny przepływ towarów, usług, kapitału i osób; podkreśla jednak, że mamy do czynienia z utrzymującymi się od dłuższego czasu oraz zupełnie nowymi wyzwaniami, które wymagają ambitnych reform bez szkody dla europejskiej konkurencyjności ani nakładania niepotrzebnych obciążeń administracyjnych na przedsiębiorstwa; wzywa Komisję i państwa członkowskie do przyspieszenia działań w celu wdrożenia tych reform i wyeliminowania pozostałych nieuzasadnionych przeszkód w swobodnym przepływie towarów i usług, przy jednoczesnym zapewnieniu wysokiego poziomu ochrony konsumentów;</w:t>
      </w:r>
    </w:p>
    <w:p w:rsidR="007279E5" w:rsidRDefault="007279E5" w:rsidP="007279E5">
      <w:pPr>
        <w:pStyle w:val="NormalHanging12a"/>
      </w:pPr>
      <w:r w:rsidRPr="00C41158">
        <w:t>2.</w:t>
      </w:r>
      <w:r w:rsidRPr="00C41158">
        <w:tab/>
      </w:r>
      <w:proofErr w:type="gramStart"/>
      <w:r w:rsidRPr="00C41158">
        <w:t>wzywa</w:t>
      </w:r>
      <w:proofErr w:type="gramEnd"/>
      <w:r w:rsidRPr="00C41158">
        <w:t xml:space="preserve"> Komisję i państwa członkowskie, by utrzymały silną ochronę konsumentów, a przy tym przewidziały sprzyjające innowacjom, nieulegające dezaktualizacji i proporcjonalne reguły konkurencji; podkreśla potrzebę zagwarantowania pewności i spójności prawa oraz ograniczenia do minimum złożoności i fragmentacji przepisów, </w:t>
      </w:r>
      <w:r w:rsidRPr="00C41158">
        <w:lastRenderedPageBreak/>
        <w:t>które mogą mieć nieproporcjonalnie duży wpływ na MŚP, przedsiębiorstwa typu start-up i scale-up;</w:t>
      </w:r>
    </w:p>
    <w:p w:rsidR="009D3E30" w:rsidRPr="009D3E30" w:rsidRDefault="009D3E30" w:rsidP="007279E5">
      <w:pPr>
        <w:pStyle w:val="NormalHanging12a"/>
      </w:pPr>
      <w:r w:rsidRPr="009D3E30">
        <w:t>3</w:t>
      </w:r>
      <w:r w:rsidRPr="0047107F">
        <w:t>.</w:t>
      </w:r>
      <w:r w:rsidRPr="0047107F">
        <w:tab/>
      </w:r>
      <w:proofErr w:type="gramStart"/>
      <w:r w:rsidRPr="0047107F">
        <w:t>podkreśla</w:t>
      </w:r>
      <w:proofErr w:type="gramEnd"/>
      <w:r w:rsidRPr="0047107F">
        <w:t>, że – jak zauważono w sprawozdaniu Draghiego – obecne bariery i regulacj</w:t>
      </w:r>
      <w:r w:rsidR="0047107F" w:rsidRPr="0047107F">
        <w:t>e</w:t>
      </w:r>
      <w:r w:rsidRPr="0047107F">
        <w:t xml:space="preserve"> ograniczyły rozwój jednolitego rynku; wzywa do przejścia na podejście regulacyjne, które pozwoli przedsiębiorstwom rozwijać się, wprowadzać innowacje i odgrywać wiodącą rolę na arenie międzynarodowej, a tym samym sprawi, że jednolity rynek stanie się znowu prawdziwym motorem wzrostu i konkurencyjności;</w:t>
      </w:r>
    </w:p>
    <w:p w:rsidR="007279E5" w:rsidRPr="00C41158" w:rsidRDefault="009D3E30" w:rsidP="007279E5">
      <w:pPr>
        <w:pStyle w:val="NormalHanging12a"/>
      </w:pPr>
      <w:r>
        <w:t>4</w:t>
      </w:r>
      <w:r w:rsidR="007279E5" w:rsidRPr="00C41158">
        <w:t>.</w:t>
      </w:r>
      <w:r w:rsidR="007279E5" w:rsidRPr="00C41158">
        <w:tab/>
      </w:r>
      <w:proofErr w:type="gramStart"/>
      <w:r w:rsidR="007279E5" w:rsidRPr="00C41158">
        <w:t>wzywa</w:t>
      </w:r>
      <w:proofErr w:type="gramEnd"/>
      <w:r w:rsidR="007279E5" w:rsidRPr="00C41158">
        <w:t xml:space="preserve"> Komisję do dopilnowania, aby przyszłe inicjatywy ustawodawcze były konsekwentnie realizowane zgodnie z priorytetami strategicznymi określonymi w jej strategii na rzecz komunikacji i konkurencyjności;</w:t>
      </w:r>
    </w:p>
    <w:p w:rsidR="007279E5" w:rsidRPr="00C41158" w:rsidRDefault="009D3E30" w:rsidP="007279E5">
      <w:pPr>
        <w:pStyle w:val="NormalHanging12a"/>
      </w:pPr>
      <w:r>
        <w:t>5</w:t>
      </w:r>
      <w:r w:rsidR="007279E5" w:rsidRPr="00C41158">
        <w:t>.</w:t>
      </w:r>
      <w:r w:rsidR="007279E5" w:rsidRPr="00C41158">
        <w:tab/>
      </w:r>
      <w:proofErr w:type="gramStart"/>
      <w:r w:rsidR="007279E5" w:rsidRPr="00C41158">
        <w:t>podkreśla</w:t>
      </w:r>
      <w:proofErr w:type="gramEnd"/>
      <w:r w:rsidR="007279E5" w:rsidRPr="00C41158">
        <w:t>, że – jak pokazano w raportach Letty i Draghiego – w sektorze usług wciąż istnieje niewykorzystany potencjał; apeluje o dalsze działania w tym sektorze, aby zaradzić utrzymującym się znaczącym przeszkodom, począwszy od wyznaczenia ambitnych celów w przyszłej strategii jednolitego rynku; zauważa, że usługi generują trzy czwarte PKB UE, odpowiadają za dwie trzecie zatrudnienia i tworzą 9 na 10 nowych miejsc pracy w gospodarce UE; zwraca jednak również uwagę, że usługi są w dalszym ciągu najmniej rozwiniętym segmentem jednolitego rynku UE;</w:t>
      </w:r>
    </w:p>
    <w:p w:rsidR="007279E5" w:rsidRPr="00C41158" w:rsidRDefault="009D3E30" w:rsidP="007279E5">
      <w:pPr>
        <w:pStyle w:val="NormalHanging12a"/>
      </w:pPr>
      <w:r>
        <w:t>6</w:t>
      </w:r>
      <w:r w:rsidR="007279E5" w:rsidRPr="00C41158">
        <w:t>.</w:t>
      </w:r>
      <w:r w:rsidR="007279E5" w:rsidRPr="00C41158">
        <w:tab/>
        <w:t>z zadowoleniem przyjmuje wniosek dotyczący rozporządzenia w sprawie publicznego interfejsu połączonego z systemem wymiany informacji na rynku wewnętrznym do celów zgłaszania delegowania pracowników i zmieniającego rozporządzenie (UE) nr 1024/2012 (COM</w:t>
      </w:r>
      <w:proofErr w:type="gramStart"/>
      <w:r w:rsidR="007279E5" w:rsidRPr="00C41158">
        <w:t>(2024)0531), który</w:t>
      </w:r>
      <w:proofErr w:type="gramEnd"/>
      <w:r w:rsidR="007279E5" w:rsidRPr="00C41158">
        <w:t xml:space="preserve"> powinien doprowadzić do uproszczenia i lepszego egzekwowania przepisów; zauważa również, że cyfryzacja może znacznie zmniejszyć obciążenia administracyjne związane z usługami transgranicznymi i zapewnić przedsiębiorstwom i konsumentom lepszy dostęp; apeluje w związku z tym o utworzenie pojedynczego portalu do składania zgłoszeń i cyfryzacji formularzy A1 dla usług transgranicznych;</w:t>
      </w:r>
    </w:p>
    <w:p w:rsidR="007279E5" w:rsidRPr="00C41158" w:rsidRDefault="009D3E30" w:rsidP="007279E5">
      <w:pPr>
        <w:pStyle w:val="NormalHanging12a"/>
      </w:pPr>
      <w:r>
        <w:t>7</w:t>
      </w:r>
      <w:r w:rsidR="007279E5" w:rsidRPr="00C41158">
        <w:t>.</w:t>
      </w:r>
      <w:r w:rsidR="007279E5" w:rsidRPr="00C41158">
        <w:tab/>
      </w:r>
      <w:proofErr w:type="gramStart"/>
      <w:r w:rsidR="007279E5" w:rsidRPr="00C41158">
        <w:t>podkreśla</w:t>
      </w:r>
      <w:proofErr w:type="gramEnd"/>
      <w:r w:rsidR="007279E5" w:rsidRPr="00C41158">
        <w:t xml:space="preserve"> znaczenie skutecznego uznawania kwalifikacji zawodowych i usunięcia nieuzasadnionych barier dla swobodnego przepływu specjalistów, aby profesjonalne usługi były gotowe na globalną konkurencję w nadchodzących dziesięcioleciach; zachęca Komisję do czujności w postępowaniach w sprawie uchybienia zobowiązaniom, kiedy państwa członkowskie nie przestrzegają przepisów UE dotyczących uznawania kwalifikacji;</w:t>
      </w:r>
    </w:p>
    <w:p w:rsidR="007279E5" w:rsidRPr="00C41158" w:rsidRDefault="009D3E30" w:rsidP="007279E5">
      <w:pPr>
        <w:pStyle w:val="NormalHanging12a"/>
      </w:pPr>
      <w:r>
        <w:t>8</w:t>
      </w:r>
      <w:r w:rsidR="007279E5" w:rsidRPr="00C41158">
        <w:t>.</w:t>
      </w:r>
      <w:r w:rsidR="007279E5" w:rsidRPr="00C41158">
        <w:tab/>
      </w:r>
      <w:proofErr w:type="gramStart"/>
      <w:r w:rsidR="007279E5" w:rsidRPr="00C41158">
        <w:t>podkreśla</w:t>
      </w:r>
      <w:proofErr w:type="gramEnd"/>
      <w:r w:rsidR="007279E5" w:rsidRPr="00C41158">
        <w:t>, że przepisy dotyczące jednolitego rynku powinny gwarantować dostęp do usług publicznych i chronić prawa konsumentów, a także służyć innym nadrzędnym interesom publicznym; dodaje, że każda ocena ograniczeń na jednolitym rynku usług powinna obejmować kryteria jakościowe;</w:t>
      </w:r>
    </w:p>
    <w:p w:rsidR="007279E5" w:rsidRPr="00C41158" w:rsidRDefault="009D3E30" w:rsidP="007279E5">
      <w:pPr>
        <w:pStyle w:val="NormalHanging12a"/>
      </w:pPr>
      <w:r>
        <w:t>9</w:t>
      </w:r>
      <w:r w:rsidR="007279E5" w:rsidRPr="00C41158">
        <w:t>.</w:t>
      </w:r>
      <w:r w:rsidR="007279E5" w:rsidRPr="00C41158">
        <w:tab/>
      </w:r>
      <w:proofErr w:type="gramStart"/>
      <w:r w:rsidR="007279E5" w:rsidRPr="00C41158">
        <w:t>zwraca</w:t>
      </w:r>
      <w:proofErr w:type="gramEnd"/>
      <w:r w:rsidR="007279E5" w:rsidRPr="00C41158">
        <w:t xml:space="preserve"> uwagę na rolę, jaką zamówienia publiczne UE mogą odegrać w pokonywaniu barier wejścia na rynek, we wspieraniu zrównoważonych i odpornych ekosystemów przemysłowych, w dostarczaniu wysokiej jakości miejsc pracy i w tworzeniu wartości w UE;</w:t>
      </w:r>
    </w:p>
    <w:p w:rsidR="007279E5" w:rsidRPr="00C41158" w:rsidRDefault="009D3E30" w:rsidP="007279E5">
      <w:pPr>
        <w:pStyle w:val="NormalHanging12a"/>
      </w:pPr>
      <w:r>
        <w:t>10</w:t>
      </w:r>
      <w:r w:rsidR="007279E5" w:rsidRPr="00C41158">
        <w:t>.</w:t>
      </w:r>
      <w:r w:rsidR="007279E5" w:rsidRPr="00C41158">
        <w:tab/>
      </w:r>
      <w:proofErr w:type="gramStart"/>
      <w:r w:rsidR="007279E5" w:rsidRPr="00C41158">
        <w:t>przyznaje</w:t>
      </w:r>
      <w:proofErr w:type="gramEnd"/>
      <w:r w:rsidR="007279E5" w:rsidRPr="00C41158">
        <w:t xml:space="preserve">, że nowe ramy prawne przyczyniły się do spójności unijnych przepisów dotyczących produktów oraz że od czasu ich przyjęcia sektor przemysłu, łańcuchy dostaw i produkty przeszły istotne przemiany w świetle transformacji cyfrowej i ekologicznej, ale także zmian w dynamice rynku; zauważa, że w ocenie nowych ram </w:t>
      </w:r>
      <w:r w:rsidR="007279E5" w:rsidRPr="00C41158">
        <w:lastRenderedPageBreak/>
        <w:t>prawnych w 2022 r. stwierdzono krytyczne wyzwania, takie jak potencjalne ingerencje zagraniczne, nielegalne praktyki, nieodpowiednie podejście do cyfryzacji i gospodarki o obiegu zamkniętym oraz możliwe aktualizacje obowiązków i definicji w odniesieniu do niektórych podmiotów gospodarczych w celu odzwierciedlenia nowych realiów rynkowych;</w:t>
      </w:r>
    </w:p>
    <w:p w:rsidR="007279E5" w:rsidRPr="00C41158" w:rsidRDefault="007279E5" w:rsidP="007279E5">
      <w:pPr>
        <w:pStyle w:val="NormalHanging12a"/>
      </w:pPr>
      <w:r w:rsidRPr="00C41158">
        <w:t>1</w:t>
      </w:r>
      <w:r w:rsidR="009D3E30">
        <w:t>1</w:t>
      </w:r>
      <w:r w:rsidRPr="00C41158">
        <w:t>.</w:t>
      </w:r>
      <w:r w:rsidRPr="00C41158">
        <w:tab/>
      </w:r>
      <w:proofErr w:type="gramStart"/>
      <w:r w:rsidRPr="00C41158">
        <w:t>podkreśla</w:t>
      </w:r>
      <w:proofErr w:type="gramEnd"/>
      <w:r w:rsidRPr="00C41158">
        <w:t>, że zajęcie się tymi kwestiami i dostosowanie nowych ram prawnych do przyszłych wyzwań ma zasadnicze znaczenie dla spójności, obniżenia kosztów i zagwarantowania swobodnego przepływu towarów; w związku z tym apeluje o aktualizację nowych ram prawnych w celu racjonalizacji przepisów dotyczących produktów, promowania cyfryzacji oraz uproszczenia procedur zgodności i nadzoru rynku; uważa, że nowe ramy prawne powinny zachęcać do korzystania z cyfrowych paszportów produktów jako narzędzia umożliwiającego wykazanie zgodności produktu z przepisami i wymogami informacyjnymi;</w:t>
      </w:r>
    </w:p>
    <w:p w:rsidR="007279E5" w:rsidRDefault="007279E5" w:rsidP="007279E5">
      <w:pPr>
        <w:pStyle w:val="NormalHanging12a"/>
      </w:pPr>
      <w:r w:rsidRPr="00C41158">
        <w:t>1</w:t>
      </w:r>
      <w:r w:rsidR="009D3E30">
        <w:t>2</w:t>
      </w:r>
      <w:r w:rsidRPr="00C41158">
        <w:t>.</w:t>
      </w:r>
      <w:r w:rsidRPr="00C41158">
        <w:tab/>
      </w:r>
      <w:proofErr w:type="gramStart"/>
      <w:r w:rsidRPr="00C41158">
        <w:t>wzywa</w:t>
      </w:r>
      <w:proofErr w:type="gramEnd"/>
      <w:r w:rsidRPr="00C41158">
        <w:t xml:space="preserve"> Komisję i państwa członkowskie do uproszczenia przepisów UE i ułatwienia ich wdrażania oraz do znacznego zmniejszenia obciążeń administracyjnych, w szczególności dla MŚP, które odgrywają kluczową rolę w utrzymaniu lokalnych społeczności i gospodarek; podkreśla znaczenie pewności i spójności prawa dla przedsiębiorstw, a także przewidywalności w kontekście długoterminowych inwestycji, które są niezbędne do zwiększenia konkurencyjności, innowacyjności i odporności oraz do wdrożenia szybkich i znaczących usprawnień dla konsumentów i przedsiębiorstw; wzywa ponadto państwa członkowskie do zapobiegania działaniom, które mogłyby naruszyć równe warunki działania na rynku wewnętrznym;</w:t>
      </w:r>
    </w:p>
    <w:p w:rsidR="009D3E30" w:rsidRPr="009D3E30" w:rsidRDefault="009D3E30" w:rsidP="007279E5">
      <w:pPr>
        <w:pStyle w:val="NormalHanging12a"/>
      </w:pPr>
      <w:r w:rsidRPr="009D3E30">
        <w:t>13</w:t>
      </w:r>
      <w:r w:rsidRPr="0047107F">
        <w:t>.</w:t>
      </w:r>
      <w:r w:rsidRPr="009D3E30">
        <w:tab/>
      </w:r>
      <w:proofErr w:type="gramStart"/>
      <w:r w:rsidRPr="0047107F">
        <w:t>wzywa</w:t>
      </w:r>
      <w:proofErr w:type="gramEnd"/>
      <w:r w:rsidRPr="0047107F">
        <w:t xml:space="preserve"> Komisję, aby za pomocą pakietu zbiorczego w sprawie uproszczenia ułatwiła działalność na jednolitym rynku MŚP i małym spółkom o średniej kapitalizacji;</w:t>
      </w:r>
    </w:p>
    <w:p w:rsidR="007279E5" w:rsidRPr="00C41158" w:rsidRDefault="007279E5" w:rsidP="007279E5">
      <w:pPr>
        <w:pStyle w:val="NormalHanging12a"/>
      </w:pPr>
      <w:r w:rsidRPr="00C41158">
        <w:t>1</w:t>
      </w:r>
      <w:r w:rsidR="009D3E30">
        <w:t>4</w:t>
      </w:r>
      <w:r w:rsidRPr="00C41158">
        <w:t>.</w:t>
      </w:r>
      <w:r w:rsidRPr="00C41158">
        <w:tab/>
      </w:r>
      <w:proofErr w:type="gramStart"/>
      <w:r w:rsidRPr="00C41158">
        <w:t>uznaje</w:t>
      </w:r>
      <w:proofErr w:type="gramEnd"/>
      <w:r w:rsidRPr="00C41158">
        <w:t>, że niespójne i fragmentaryczne egzekwowanie przepisów UE w państwach członkowskich nadal zakłóca konkurencję i podważa integralność jednolitego rynku; dodaje, że główna odpowiedzialność za egzekwowanie przepisów UE spoczywa na państwach członkowskich; zachęca Komisję do pełnego wykorzystania jej uprawnień w zakresie egzekwowania prawa; apeluje o usprawnienie mechanizmów monitorowania i egzekwowania na szczeblu unijnym, na przykład za sprawą zharmonizowanych przepisów dotyczących minimalnych poziomów kontroli, zharmonizowanej metodyki tych kontroli oraz wspólnych inspekcji, w celu zapewnienia jednolitego stosowania prawa UE oraz, w stosownych przypadkach, szybkiego dochodzenia roszczeń przez konsumentów;</w:t>
      </w:r>
    </w:p>
    <w:p w:rsidR="007279E5" w:rsidRPr="00C41158" w:rsidRDefault="007279E5" w:rsidP="007279E5">
      <w:pPr>
        <w:pStyle w:val="NormalHanging12a"/>
      </w:pPr>
      <w:r w:rsidRPr="00C41158">
        <w:t>1</w:t>
      </w:r>
      <w:r w:rsidR="009D3E30">
        <w:t>5</w:t>
      </w:r>
      <w:r w:rsidRPr="00C41158">
        <w:t>.</w:t>
      </w:r>
      <w:r w:rsidRPr="00C41158">
        <w:tab/>
      </w:r>
      <w:proofErr w:type="gramStart"/>
      <w:r w:rsidRPr="00C41158">
        <w:t>podkreśla</w:t>
      </w:r>
      <w:proofErr w:type="gramEnd"/>
      <w:r w:rsidRPr="00C41158">
        <w:t>, jak ważne jest utrzymanie konkurencyjnego i dynamicznego środowiska gospodarczego za pomocą ochrony praw konsumentów i egzekwowania zasad konkurencji cyfrowej w celu przeciwdziałania nieuczciwym praktykom biznesowym, które zakłócają funkcjonowanie rynku; wzywa ponadto państwa członkowskie do zwiększenia zdolności organów nadzoru rynku i organów celnych w celu zapewnienia skutecznego egzekwowania przepisów dotyczących jednolitego rynku, w szczególności w odniesieniu do handlu elektronicznego i przywozu z państw spoza UE;</w:t>
      </w:r>
    </w:p>
    <w:p w:rsidR="007279E5" w:rsidRPr="00C41158" w:rsidRDefault="007279E5" w:rsidP="007279E5">
      <w:pPr>
        <w:pStyle w:val="NormalHanging12a"/>
      </w:pPr>
      <w:r w:rsidRPr="00C41158">
        <w:t>1</w:t>
      </w:r>
      <w:r w:rsidR="009D3E30">
        <w:t>6</w:t>
      </w:r>
      <w:r w:rsidRPr="00C41158">
        <w:t>.</w:t>
      </w:r>
      <w:r w:rsidRPr="00C41158">
        <w:tab/>
      </w:r>
      <w:proofErr w:type="gramStart"/>
      <w:r w:rsidRPr="00C41158">
        <w:t>przypomina</w:t>
      </w:r>
      <w:proofErr w:type="gramEnd"/>
      <w:r w:rsidRPr="00C41158">
        <w:t xml:space="preserve">, że terytorialne ograniczenia podaży w segmencie detalicznym i hurtowym powodują fragmentację jednolitego rynku, ograniczają wybór konsumentów i przyczyniają się do znacznych dysproporcji cenowych w całej Unii, co wpływa w szczególności na ceny podstawowych towarów konsumpcyjnych; podkreśla, że choć prawo konkurencji przewiduje skuteczne kary za niektóre z tych praktyk, wiele z nich </w:t>
      </w:r>
      <w:r w:rsidRPr="00C41158">
        <w:lastRenderedPageBreak/>
        <w:t>pozostaje poza jego zakresem; w związku z tym wzywa Komisję, by zaproponowała środki mające na celu rozwiązanie tego problemu, w tym bardziej rygorystyczne przeciwdziałanie antykonkurencyjnym porozumieniom dystrybucyjnym, w celu ochrony uczciwej konkurencji, a tym samym zapewnienia integralności jednolitego rynku;</w:t>
      </w:r>
    </w:p>
    <w:p w:rsidR="007279E5" w:rsidRPr="00C41158" w:rsidRDefault="007279E5" w:rsidP="007279E5">
      <w:pPr>
        <w:pStyle w:val="NormalHanging12a"/>
      </w:pPr>
      <w:r w:rsidRPr="00C41158">
        <w:t>1</w:t>
      </w:r>
      <w:r w:rsidR="009D3E30">
        <w:t>7</w:t>
      </w:r>
      <w:r w:rsidRPr="00C41158">
        <w:t>.</w:t>
      </w:r>
      <w:r w:rsidRPr="00C41158">
        <w:tab/>
      </w:r>
      <w:proofErr w:type="gramStart"/>
      <w:r w:rsidRPr="00C41158">
        <w:t>wzywa</w:t>
      </w:r>
      <w:proofErr w:type="gramEnd"/>
      <w:r w:rsidRPr="00C41158">
        <w:t xml:space="preserve"> Komisję, by zbadała przyczyny zróżnicowanego poziomu inflacji podstawowych towarów i wzrostu cen konsumpcyjnych w niektórych państwach członkowskich UE;</w:t>
      </w:r>
    </w:p>
    <w:p w:rsidR="007279E5" w:rsidRPr="00C41158" w:rsidRDefault="007279E5" w:rsidP="007279E5">
      <w:pPr>
        <w:pStyle w:val="NormalHanging12a"/>
      </w:pPr>
      <w:r w:rsidRPr="00C41158">
        <w:t>1</w:t>
      </w:r>
      <w:r w:rsidR="009D3E30">
        <w:t>8</w:t>
      </w:r>
      <w:r w:rsidRPr="00C41158">
        <w:t>.</w:t>
      </w:r>
      <w:r w:rsidRPr="00C41158">
        <w:tab/>
      </w:r>
      <w:proofErr w:type="gramStart"/>
      <w:r w:rsidRPr="00C41158">
        <w:t>uważa</w:t>
      </w:r>
      <w:proofErr w:type="gramEnd"/>
      <w:r w:rsidRPr="00C41158">
        <w:t>, że jednolity rynek ma zasadnicze znaczenie w czasach kryzysu, jeżeli państwa członkowskie potrafią koordynować swoje działania; uważa, że niedawno przyjęty akt o sytuacji nadzwyczajnej na rynku wewnętrznym i odporności rynku wewnętrznego</w:t>
      </w:r>
      <w:r w:rsidRPr="00C41158">
        <w:rPr>
          <w:rStyle w:val="FootnoteReference"/>
        </w:rPr>
        <w:footnoteReference w:id="2"/>
      </w:r>
      <w:r w:rsidRPr="00C41158">
        <w:t xml:space="preserve"> będzie miał kluczowe znaczenie dla zapewnienia koordynacji, aby zapobiec niedoborom i zapewnić sprawne funkcjonowanie jednolitego rynku, w tym swobodny przepływ podstawowych towarów i usług w całej UE;</w:t>
      </w:r>
    </w:p>
    <w:p w:rsidR="007279E5" w:rsidRPr="00C41158" w:rsidRDefault="007279E5" w:rsidP="007279E5">
      <w:pPr>
        <w:pStyle w:val="NormalHanging12a"/>
      </w:pPr>
      <w:r w:rsidRPr="00C41158">
        <w:t>1</w:t>
      </w:r>
      <w:r w:rsidR="009D3E30">
        <w:t>9</w:t>
      </w:r>
      <w:r w:rsidRPr="00C41158">
        <w:t>.</w:t>
      </w:r>
      <w:r w:rsidRPr="00C41158">
        <w:tab/>
      </w:r>
      <w:proofErr w:type="gramStart"/>
      <w:r w:rsidRPr="00C41158">
        <w:t>wzywa</w:t>
      </w:r>
      <w:proofErr w:type="gramEnd"/>
      <w:r w:rsidRPr="00C41158">
        <w:t xml:space="preserve"> Komisję do umożliwienia konsumentom łatwego korzystania z praw pasażerów przez ustanowienie krajowych organów odpowiedzialnych za egzekwowanie przepisów, którym należy przyznać zharmonizowane uprawnienia w zakresie prowadzenia dochodzeń i egzekwowania przepisów oraz które powinny być w stanie skutecznie rozpatrywać indywidualne skargi i nakładać grzywny;</w:t>
      </w:r>
    </w:p>
    <w:p w:rsidR="007279E5" w:rsidRPr="00C41158" w:rsidRDefault="009D3E30" w:rsidP="007279E5">
      <w:pPr>
        <w:pStyle w:val="NormalHanging12a"/>
      </w:pPr>
      <w:r>
        <w:t>20</w:t>
      </w:r>
      <w:r w:rsidR="007279E5" w:rsidRPr="00C41158">
        <w:t>.</w:t>
      </w:r>
      <w:r w:rsidR="007279E5" w:rsidRPr="00C41158">
        <w:tab/>
      </w:r>
      <w:proofErr w:type="gramStart"/>
      <w:r w:rsidR="007279E5" w:rsidRPr="00C41158">
        <w:t>podkreśla</w:t>
      </w:r>
      <w:proofErr w:type="gramEnd"/>
      <w:r w:rsidR="007279E5" w:rsidRPr="00C41158">
        <w:t>, że środki w zakresie handlu elektronicznego ukierunkowane na blokowanie geograficzne, w szczególności rozporządzenie w sprawie blokowania geograficznego</w:t>
      </w:r>
      <w:r w:rsidR="007279E5" w:rsidRPr="00C41158">
        <w:rPr>
          <w:rStyle w:val="FootnoteReference"/>
        </w:rPr>
        <w:footnoteReference w:id="3"/>
      </w:r>
      <w:r w:rsidR="007279E5" w:rsidRPr="00C41158">
        <w:t>, to skuteczne rozwiązanie, które zmniejsza fragmentację jednolitego rynku i zwiększa wybór konsumentów podczas zakupów w internecie; z zaniepokojeniem zauważa niewłaściwe wdrożenie tego rozporządzenia;</w:t>
      </w:r>
    </w:p>
    <w:p w:rsidR="007279E5" w:rsidRPr="00C41158" w:rsidRDefault="009D3E30" w:rsidP="007279E5">
      <w:pPr>
        <w:pStyle w:val="NormalHanging12a"/>
      </w:pPr>
      <w:r>
        <w:t>21</w:t>
      </w:r>
      <w:r w:rsidR="007279E5" w:rsidRPr="00C41158">
        <w:t>.</w:t>
      </w:r>
      <w:r w:rsidR="007279E5" w:rsidRPr="00C41158">
        <w:tab/>
      </w:r>
      <w:proofErr w:type="gramStart"/>
      <w:r w:rsidR="007279E5" w:rsidRPr="00C41158">
        <w:t>zwraca</w:t>
      </w:r>
      <w:proofErr w:type="gramEnd"/>
      <w:r w:rsidR="007279E5" w:rsidRPr="00C41158">
        <w:t xml:space="preserve"> uwagę, że europejski akt prawny w sprawie dostępności</w:t>
      </w:r>
      <w:r w:rsidR="007279E5" w:rsidRPr="00C41158">
        <w:rPr>
          <w:rStyle w:val="FootnoteReference"/>
        </w:rPr>
        <w:footnoteReference w:id="4"/>
      </w:r>
      <w:r w:rsidR="007279E5" w:rsidRPr="00C41158">
        <w:t xml:space="preserve"> zacznie obowiązywać we wszystkich państwach członkowskich UE od 28 czerwca 2025 r.; podkreśla znaczenie jego pełnego i skutecznego wdrożenia przez państwa członkowskie w celu harmonizacji wymogów dostępności produktów i usług, a tym samym zagwarantowania ich dostępności dla osób z niepełnosprawnościami na całym rynku wewnętrznym UE;</w:t>
      </w:r>
    </w:p>
    <w:p w:rsidR="007279E5" w:rsidRPr="00C41158" w:rsidRDefault="007279E5" w:rsidP="007279E5">
      <w:pPr>
        <w:pStyle w:val="NormalHanging12a"/>
        <w:rPr>
          <w:b/>
          <w:i/>
          <w:iCs/>
        </w:rPr>
      </w:pPr>
      <w:r w:rsidRPr="00C41158">
        <w:rPr>
          <w:b/>
          <w:i/>
        </w:rPr>
        <w:t>Nowe praktyki handlowe</w:t>
      </w:r>
    </w:p>
    <w:p w:rsidR="007279E5" w:rsidRPr="00C41158" w:rsidRDefault="007279E5" w:rsidP="007279E5">
      <w:pPr>
        <w:pStyle w:val="NormalHanging12a"/>
      </w:pPr>
      <w:r w:rsidRPr="00C41158">
        <w:t>2</w:t>
      </w:r>
      <w:r w:rsidR="009D3E30">
        <w:t>2</w:t>
      </w:r>
      <w:r w:rsidRPr="00C41158">
        <w:t>.</w:t>
      </w:r>
      <w:r w:rsidRPr="00C41158">
        <w:tab/>
      </w:r>
      <w:proofErr w:type="gramStart"/>
      <w:r w:rsidRPr="00C41158">
        <w:t>podkreśla</w:t>
      </w:r>
      <w:proofErr w:type="gramEnd"/>
      <w:r w:rsidRPr="00C41158">
        <w:t xml:space="preserve">, że szybki rozwój platform cyfrowych i handlu elektronicznego wprowadził </w:t>
      </w:r>
      <w:r w:rsidRPr="00C41158">
        <w:lastRenderedPageBreak/>
        <w:t>nową dynamikę rynku i stworzył zaawansowane możliwości oraz wyzwania i zagrożenia dla użytkowników; uznaje, że akt o rynkach cyfrowych</w:t>
      </w:r>
      <w:r w:rsidRPr="00C41158">
        <w:rPr>
          <w:rStyle w:val="FootnoteReference"/>
        </w:rPr>
        <w:footnoteReference w:id="5"/>
      </w:r>
      <w:r w:rsidRPr="00C41158">
        <w:t xml:space="preserve"> i akt o usługach cyfrowych</w:t>
      </w:r>
      <w:r w:rsidRPr="00C41158">
        <w:rPr>
          <w:rStyle w:val="FootnoteReference"/>
        </w:rPr>
        <w:footnoteReference w:id="6"/>
      </w:r>
      <w:r w:rsidRPr="00C41158">
        <w:t xml:space="preserve"> stanowią kluczowe instrumenty legislacyjne zapewniające uczciwą konkurencję, kontestowalność i uczciwość na platformach cyfrowych, a jednocześnie wspierające ochronę konsumentów i bezpieczniejsze, bardziej wiarygodne i przejrzyste otoczenie w gospodarce cyfrowej; apeluje o właściwe egzekwowanie nowych przepisów technologicznych UE w celu zapewnienia konsumentom prawdziwego, autonomicznego i świadomego wyboru, ochrony oraz uczciwej konkurencji;</w:t>
      </w:r>
    </w:p>
    <w:p w:rsidR="007279E5" w:rsidRDefault="007279E5" w:rsidP="007279E5">
      <w:pPr>
        <w:pStyle w:val="NormalHanging12a"/>
      </w:pPr>
      <w:r w:rsidRPr="00C41158">
        <w:t>2</w:t>
      </w:r>
      <w:r w:rsidR="009D3E30">
        <w:t>3</w:t>
      </w:r>
      <w:r w:rsidRPr="00C41158">
        <w:t>.</w:t>
      </w:r>
      <w:r w:rsidRPr="00C41158">
        <w:tab/>
      </w:r>
      <w:proofErr w:type="gramStart"/>
      <w:r w:rsidRPr="00C41158">
        <w:t>uważa</w:t>
      </w:r>
      <w:proofErr w:type="gramEnd"/>
      <w:r w:rsidRPr="00C41158">
        <w:t>, że niezbędne jest skuteczne wdrożenie i egzekwowanie tych dwóch aktów prawnych oraz wzywa Komisję do doprowadzenia do końca trwających dochodzeń w ramach aktu o usługach cyfrowych i aktu o rynkach cyfrowych;</w:t>
      </w:r>
    </w:p>
    <w:p w:rsidR="009D3E30" w:rsidRPr="009D3E30" w:rsidRDefault="009D3E30" w:rsidP="007279E5">
      <w:pPr>
        <w:pStyle w:val="NormalHanging12a"/>
      </w:pPr>
      <w:r w:rsidRPr="009D3E30">
        <w:t>24</w:t>
      </w:r>
      <w:r w:rsidRPr="0047107F">
        <w:t>.</w:t>
      </w:r>
      <w:r w:rsidRPr="0047107F">
        <w:tab/>
      </w:r>
      <w:proofErr w:type="gramStart"/>
      <w:r w:rsidRPr="0047107F">
        <w:t>podkreśla</w:t>
      </w:r>
      <w:proofErr w:type="gramEnd"/>
      <w:r w:rsidRPr="0047107F">
        <w:t>, że wdrożenie aktu o usługach cyfrowych musi odbywać się z pełnym poszanowaniem wolności wypowiedzi; podkreśla, że działania przeciwko nielegalnym treściom nie mogą ograniczać legalnych wypowiedzi, i wzywa do przejrzystego egzekwowania przepisów w celu ochrony otwartej i demokratycznej przestrzeni cyfrowej;</w:t>
      </w:r>
    </w:p>
    <w:p w:rsidR="007279E5" w:rsidRPr="00C41158" w:rsidRDefault="0047107F" w:rsidP="007279E5">
      <w:pPr>
        <w:pStyle w:val="NormalHanging12a"/>
      </w:pPr>
      <w:r>
        <w:t>25</w:t>
      </w:r>
      <w:r w:rsidR="007279E5" w:rsidRPr="00C41158">
        <w:t>.</w:t>
      </w:r>
      <w:r w:rsidR="007279E5" w:rsidRPr="00C41158">
        <w:tab/>
        <w:t>wzywa Komisję i państwa członkowskie do dopilnowania, by w akcie w sprawie sztucznej inteligencji (AI</w:t>
      </w:r>
      <w:proofErr w:type="gramStart"/>
      <w:r w:rsidR="007279E5" w:rsidRPr="00C41158">
        <w:t>)</w:t>
      </w:r>
      <w:r w:rsidR="007279E5" w:rsidRPr="00C41158">
        <w:rPr>
          <w:rStyle w:val="FootnoteReference"/>
        </w:rPr>
        <w:footnoteReference w:id="7"/>
      </w:r>
      <w:r w:rsidR="007279E5" w:rsidRPr="00C41158">
        <w:t xml:space="preserve"> podtrzymano</w:t>
      </w:r>
      <w:proofErr w:type="gramEnd"/>
      <w:r w:rsidR="007279E5" w:rsidRPr="00C41158">
        <w:t xml:space="preserve"> podejście oparte na analizie ryzyka, sprzyjające innowacjom i gwarantujące, że wymogi zgodności będą proporcjonalne do rzeczywistych zagrożeń stwarzanych przez zastosowania AI, przy jednoczesnym poszanowaniu potrzeby zapewnienia wysokiego poziomu ochrony zdrowia, bezpieczeństwa i praw podstawowych;</w:t>
      </w:r>
    </w:p>
    <w:p w:rsidR="007279E5" w:rsidRPr="00C41158" w:rsidRDefault="0047107F" w:rsidP="007279E5">
      <w:pPr>
        <w:pStyle w:val="NormalHanging12a"/>
      </w:pPr>
      <w:r>
        <w:t>26</w:t>
      </w:r>
      <w:r w:rsidR="007279E5" w:rsidRPr="00C41158">
        <w:t>.</w:t>
      </w:r>
      <w:r w:rsidR="007279E5" w:rsidRPr="00C41158">
        <w:tab/>
      </w:r>
      <w:proofErr w:type="gramStart"/>
      <w:r w:rsidR="007279E5" w:rsidRPr="00C41158">
        <w:t>z</w:t>
      </w:r>
      <w:proofErr w:type="gramEnd"/>
      <w:r w:rsidR="007279E5" w:rsidRPr="00C41158">
        <w:t xml:space="preserve"> zadowoleniem przyjmuje przeprowadzoną przez Komisję ocenę adekwatności prawa ochrony konsumentów pod kątem sprawiedliwości cyfrowej oraz zbliżające się konsultacje publiczne; podkreśla, że niektóre kwestie dotyczące ochrony konsumentów w internecie pozostają nierozwiązane, co prowadzi do braku równowagi między konsumentami a przedsiębiorcami w gospodarce cyfrowej; wzywa Komisję do uwzględnienia tych kwestii w przyszłym akcie w sprawie sprawiedliwości cyfrowej; uważa, że akt w sprawie sprawiedliwości cyfrowej powinien obejmować uzależnienie cyfrowe, gry hazardowe online, ochronę małoletnich w internecie i technologie perswazyjne wykorzystywane przez podmioty internetowe, takie jak targetowanie reklam, reklamy z udziałem influencerów i zwodnicze interfejsy, oraz że należy za jego pomocą zlikwidować luki </w:t>
      </w:r>
      <w:proofErr w:type="gramStart"/>
      <w:r w:rsidR="007279E5" w:rsidRPr="00C41158">
        <w:t>prawne</w:t>
      </w:r>
      <w:proofErr w:type="gramEnd"/>
      <w:r w:rsidR="007279E5" w:rsidRPr="00C41158">
        <w:t xml:space="preserve"> i zapewnić jego spójność z obecnymi instrumentami prawnymi w celu lepszej ochrony konsumentów w internecie, biorąc pod uwagę </w:t>
      </w:r>
      <w:r w:rsidR="007279E5" w:rsidRPr="00C41158">
        <w:lastRenderedPageBreak/>
        <w:t>potrzebę unikania niepotrzebnych obciążeń regulacyjnych;</w:t>
      </w:r>
    </w:p>
    <w:p w:rsidR="007279E5" w:rsidRPr="00C41158" w:rsidRDefault="0047107F" w:rsidP="007279E5">
      <w:pPr>
        <w:pStyle w:val="NormalHanging12a"/>
      </w:pPr>
      <w:r>
        <w:t>27</w:t>
      </w:r>
      <w:r w:rsidR="007279E5" w:rsidRPr="00C41158">
        <w:t>.</w:t>
      </w:r>
      <w:r w:rsidR="007279E5" w:rsidRPr="00C41158">
        <w:tab/>
      </w:r>
      <w:proofErr w:type="gramStart"/>
      <w:r w:rsidR="007279E5" w:rsidRPr="00C41158">
        <w:t>odnotowuje</w:t>
      </w:r>
      <w:proofErr w:type="gramEnd"/>
      <w:r w:rsidR="007279E5" w:rsidRPr="00C41158">
        <w:t>, że zmieniające się tendencje w światowym handlu elektronicznym i restrukturyzacja łańcuchów dostaw wywierają większą presję na kontrole celne, organy nadzoru rynku i organy ochrony konsumentów; podkreśla, że w ostatnich latach na platformach handlu elektronicznego sprzedawanych jest coraz więcej niebezpiecznych i nielegalnych produktów, w szczególności z państw spoza UE; akcentuje znaczenie cyfrowego paszportu produktu w tych procesach; apeluje zatem o wzmocnienie ram nadzoru rynku i przegląd rozporządzenia w sprawie współpracy w dziedzinie ochrony konsumentów</w:t>
      </w:r>
      <w:r w:rsidR="007279E5" w:rsidRPr="00C41158">
        <w:rPr>
          <w:rStyle w:val="FootnoteReference"/>
        </w:rPr>
        <w:footnoteReference w:id="8"/>
      </w:r>
      <w:r w:rsidR="007279E5" w:rsidRPr="00C41158">
        <w:t xml:space="preserve"> oraz wzywa Radę do szybkiego zajęcia stanowiska, aby umożliwić przyjęcie zmienionego unijnego kodeksu celnego i ustanowić urząd UE ds. celnych w 2026 r.;</w:t>
      </w:r>
    </w:p>
    <w:p w:rsidR="007279E5" w:rsidRPr="00C41158" w:rsidRDefault="0047107F" w:rsidP="007279E5">
      <w:pPr>
        <w:pStyle w:val="NormalHanging12a"/>
      </w:pPr>
      <w:r>
        <w:t>28</w:t>
      </w:r>
      <w:r w:rsidR="007279E5" w:rsidRPr="00C41158">
        <w:t>.</w:t>
      </w:r>
      <w:r w:rsidR="007279E5" w:rsidRPr="00C41158">
        <w:tab/>
      </w:r>
      <w:proofErr w:type="gramStart"/>
      <w:r w:rsidR="007279E5" w:rsidRPr="00C41158">
        <w:t>wzywa</w:t>
      </w:r>
      <w:proofErr w:type="gramEnd"/>
      <w:r w:rsidR="007279E5" w:rsidRPr="00C41158">
        <w:t xml:space="preserve"> państwa członkowskie do zapewnienia organom krajowym wystarczających zasobów technicznych, kadrowych i finansowych; wzywa państwa członkowskie i Komisję, by zapewniły wystarczające środki finansowe i wiedzę fachową w celu wzmocnienia organów celnych i organów nadzoru rynku w całej Unii oraz do zintensyfikowania wspólnych unijnych działań i badań;</w:t>
      </w:r>
    </w:p>
    <w:p w:rsidR="007279E5" w:rsidRPr="00C41158" w:rsidRDefault="0047107F" w:rsidP="007279E5">
      <w:pPr>
        <w:pStyle w:val="NormalHanging12a"/>
      </w:pPr>
      <w:r>
        <w:t>29</w:t>
      </w:r>
      <w:r w:rsidR="007279E5" w:rsidRPr="00C41158">
        <w:t>.</w:t>
      </w:r>
      <w:r w:rsidR="007279E5" w:rsidRPr="00C41158">
        <w:tab/>
      </w:r>
      <w:proofErr w:type="gramStart"/>
      <w:r w:rsidR="007279E5" w:rsidRPr="00C41158">
        <w:t>podkreśla</w:t>
      </w:r>
      <w:proofErr w:type="gramEnd"/>
      <w:r w:rsidR="007279E5" w:rsidRPr="00C41158">
        <w:t xml:space="preserve"> potrzebę wzmocnienia ochrony konsumentów zarówno na rynku internetowym, jak i nieinternetowym, przy jednoczesnym zapewnieniu przejrzystości reklam i cen, zwłaszcza w odniesieniu do cen dynamicznych, zagwarantowaniu uczciwych praktyk biznesowych i silniejszych zabezpieczeń przed oszustwami w celu zwiększenia zaufania konsumentów do handlu transgranicznego i zapewnienia najwyższego poziomu ochrony;</w:t>
      </w:r>
    </w:p>
    <w:p w:rsidR="007279E5" w:rsidRPr="00C41158" w:rsidRDefault="0047107F" w:rsidP="007279E5">
      <w:pPr>
        <w:pStyle w:val="NormalHanging12a"/>
      </w:pPr>
      <w:r>
        <w:t>30</w:t>
      </w:r>
      <w:r w:rsidR="007279E5" w:rsidRPr="00C41158">
        <w:t>.</w:t>
      </w:r>
      <w:r w:rsidR="007279E5" w:rsidRPr="00C41158">
        <w:tab/>
      </w:r>
      <w:proofErr w:type="gramStart"/>
      <w:r w:rsidR="007279E5" w:rsidRPr="00C41158">
        <w:t>podkreśla</w:t>
      </w:r>
      <w:proofErr w:type="gramEnd"/>
      <w:r w:rsidR="007279E5" w:rsidRPr="00C41158">
        <w:t>, że coraz częściej zwraca się uwagę na przypadki, w których ilość lub jakość towarów i usług spada, podczas gdy ceny pozostają takie same lub rosną; wzywa Komisję do oceny skali i pierwotnych przyczyn takich praktyk oraz wypracowania środków mających na celu zwiększenie przejrzystości i edukację konsumentów;</w:t>
      </w:r>
    </w:p>
    <w:p w:rsidR="007279E5" w:rsidRPr="00C41158" w:rsidRDefault="0047107F" w:rsidP="007279E5">
      <w:pPr>
        <w:pStyle w:val="NormalHanging12a"/>
      </w:pPr>
      <w:r>
        <w:t>31</w:t>
      </w:r>
      <w:r w:rsidR="007279E5" w:rsidRPr="00C41158">
        <w:t>.</w:t>
      </w:r>
      <w:r w:rsidR="007279E5" w:rsidRPr="00C41158">
        <w:tab/>
      </w:r>
      <w:proofErr w:type="gramStart"/>
      <w:r w:rsidR="007279E5" w:rsidRPr="00C41158">
        <w:t>podkreśla</w:t>
      </w:r>
      <w:proofErr w:type="gramEnd"/>
      <w:r w:rsidR="007279E5" w:rsidRPr="00C41158">
        <w:t>, że względy zrównoważenia środowiskowego i sprawiedliwego handlu w coraz większym stopniu kształtują praktyki handlowe, które odgrywają ważną rolę w decyzjach zakupowych konsumentów, a tym samym popychają firmy w kierunku zrównoważonego rozwoju; dodaje, że przejrzystość i informowanie konsumentów o aspektach środowiskowych, a także o społecznie odpowiedzialnych i etycznych procesach produkcyjnych pozwala konsumentom przyjąć zrównoważone wzorce konsumpcji;</w:t>
      </w:r>
    </w:p>
    <w:p w:rsidR="007279E5" w:rsidRPr="00C41158" w:rsidRDefault="0047107F" w:rsidP="007279E5">
      <w:pPr>
        <w:pStyle w:val="NormalHanging12a"/>
      </w:pPr>
      <w:r>
        <w:t>32</w:t>
      </w:r>
      <w:r w:rsidR="007279E5" w:rsidRPr="00C41158">
        <w:t>.</w:t>
      </w:r>
      <w:r w:rsidR="007279E5" w:rsidRPr="00C41158">
        <w:tab/>
      </w:r>
      <w:proofErr w:type="gramStart"/>
      <w:r w:rsidR="007279E5" w:rsidRPr="00C41158">
        <w:t>wzywa</w:t>
      </w:r>
      <w:proofErr w:type="gramEnd"/>
      <w:r w:rsidR="007279E5" w:rsidRPr="00C41158">
        <w:t xml:space="preserve"> Komisję i państwa członkowskie, by utrzymały poziom ambicji w tym względzie i kontynuowały działania na rzecz rozwoju ogólnounijnych systemów etykietowania; przypomina, że celem dyrektywy w sprawie oświadczeń środowiskowych jest ustanowienie narzędzia ochrony konsumentów przed pseudoekologicznym marketingiem dzięki ustanowieniu wymogów dotyczących uzasadniania i weryfikacji takich oświadczeń;</w:t>
      </w:r>
    </w:p>
    <w:p w:rsidR="007279E5" w:rsidRPr="00C41158" w:rsidRDefault="0047107F" w:rsidP="007279E5">
      <w:pPr>
        <w:pStyle w:val="NormalHanging12a"/>
      </w:pPr>
      <w:r>
        <w:lastRenderedPageBreak/>
        <w:t>33</w:t>
      </w:r>
      <w:r w:rsidR="007279E5" w:rsidRPr="00C41158">
        <w:t>.</w:t>
      </w:r>
      <w:r w:rsidR="007279E5" w:rsidRPr="00C41158">
        <w:tab/>
      </w:r>
      <w:proofErr w:type="gramStart"/>
      <w:r w:rsidR="007279E5" w:rsidRPr="00C41158">
        <w:t>podkreśla</w:t>
      </w:r>
      <w:proofErr w:type="gramEnd"/>
      <w:r w:rsidR="007279E5" w:rsidRPr="00C41158">
        <w:t xml:space="preserve"> potrzebę dalszego zwalczania reklamy wprowadzającej w błąd i pseudoekologicznego marketingu oraz wzmocnienia rynku produktów używanych; zauważa jednak, że restrykcyjne zasady zrównoważonego rozwoju mogą mieć negatywny wpływ na konkurencyjność Europy;</w:t>
      </w:r>
    </w:p>
    <w:p w:rsidR="007279E5" w:rsidRPr="00C41158" w:rsidRDefault="0047107F" w:rsidP="007279E5">
      <w:pPr>
        <w:pStyle w:val="NormalHanging12a"/>
        <w:rPr>
          <w:bCs/>
          <w:iCs/>
        </w:rPr>
      </w:pPr>
      <w:r>
        <w:t>34</w:t>
      </w:r>
      <w:r w:rsidR="007279E5" w:rsidRPr="00C41158">
        <w:t>.</w:t>
      </w:r>
      <w:r w:rsidR="007279E5" w:rsidRPr="00C41158">
        <w:tab/>
      </w:r>
      <w:proofErr w:type="gramStart"/>
      <w:r w:rsidR="007279E5" w:rsidRPr="00C41158">
        <w:t>zwraca</w:t>
      </w:r>
      <w:proofErr w:type="gramEnd"/>
      <w:r w:rsidR="007279E5" w:rsidRPr="00C41158">
        <w:t xml:space="preserve"> uwagę, że niektóre narastające tendencje w handlu elektronicznym budzą obawy w odniesieniu do towarów, które pochodzą z państw spoza UE i nie spełniają unijnych wymogów bezpieczeństwa i zrównoważonego rozwoju, co ma negatywny wpływ na MŚP w UE; z zadowoleniem przyjmuje komunikat Komisji dotyczący kompleksowego unijnego zestawu narzędzi na rzecz bezpiecznego i zrównoważonego handlu elektronicznego oraz zwraca się do Komisji o szybkie wdrożenie zawartych w nim zaleceń;</w:t>
      </w:r>
    </w:p>
    <w:p w:rsidR="007279E5" w:rsidRPr="00C41158" w:rsidRDefault="0047107F" w:rsidP="007279E5">
      <w:pPr>
        <w:pStyle w:val="NormalHanging12a"/>
      </w:pPr>
      <w:r>
        <w:t>35</w:t>
      </w:r>
      <w:r w:rsidR="007279E5" w:rsidRPr="00C41158">
        <w:t>.</w:t>
      </w:r>
      <w:r w:rsidR="007279E5" w:rsidRPr="00C41158">
        <w:tab/>
      </w:r>
      <w:proofErr w:type="gramStart"/>
      <w:r w:rsidR="007279E5" w:rsidRPr="00C41158">
        <w:t>podkreśla</w:t>
      </w:r>
      <w:proofErr w:type="gramEnd"/>
      <w:r w:rsidR="007279E5" w:rsidRPr="00C41158">
        <w:t>, że zharmonizowane normy techniczne mają zasadnicze znaczenie dla swobodnego przepływu towarów na jednolitym rynku, ponieważ zapewniają bezpieczeństwo, jakość i wydajność produktów we wszystkich państwach członkowskich; zaznacza, że normy muszą odzwierciedlać interesy Unii, jej cele polityczne i wartości poprzez uwzględnienie opinii wszystkich zainteresowanych stron; dodaje, że w niedawnym orzeczeniu Trybunał Sprawiedliwości Unii Europejskiej</w:t>
      </w:r>
      <w:r w:rsidR="007279E5" w:rsidRPr="00C41158">
        <w:rPr>
          <w:rStyle w:val="FootnoteReference"/>
          <w:color w:val="000000"/>
        </w:rPr>
        <w:footnoteReference w:id="9"/>
      </w:r>
      <w:r w:rsidR="007279E5" w:rsidRPr="00C41158">
        <w:t xml:space="preserve"> uznał wartość dodaną zharmonizowanych norm, które stanowią część prawa UE ze względu na ich skutki prawne, oraz stwierdził, że należy zapewnić do nich swobodny dostęp; podkreśla, że należy poprawić elastyczność ram normalizacyjnych, szczególnie w przypadku powstających ekologicznych i cyfrowych łańcuchów wartości, oraz wspomóc przemysł w utrzymaniu konkurencyjnej </w:t>
      </w:r>
      <w:proofErr w:type="gramStart"/>
      <w:r w:rsidR="007279E5" w:rsidRPr="00C41158">
        <w:t>pozycji</w:t>
      </w:r>
      <w:proofErr w:type="gramEnd"/>
      <w:r w:rsidR="007279E5" w:rsidRPr="00C41158">
        <w:t xml:space="preserve"> na kluczowych rynkach technologicznych;</w:t>
      </w:r>
    </w:p>
    <w:p w:rsidR="007279E5" w:rsidRPr="00C41158" w:rsidRDefault="0047107F" w:rsidP="007279E5">
      <w:pPr>
        <w:pStyle w:val="NormalHanging12a"/>
      </w:pPr>
      <w:r>
        <w:t>36</w:t>
      </w:r>
      <w:r w:rsidR="007279E5" w:rsidRPr="00C41158">
        <w:t>.</w:t>
      </w:r>
      <w:r w:rsidR="007279E5" w:rsidRPr="00C41158">
        <w:tab/>
      </w:r>
      <w:proofErr w:type="gramStart"/>
      <w:r w:rsidR="007279E5" w:rsidRPr="00C41158">
        <w:t>uważa</w:t>
      </w:r>
      <w:proofErr w:type="gramEnd"/>
      <w:r w:rsidR="007279E5" w:rsidRPr="00C41158">
        <w:t>, że UE musi dołożyć starań na rzecz ustanowienia nowego mechanizmu z udziałem państw członkowskich i krajowych jednostek normalizacyjnych w celu wymiany informacji, koordynacji i zwiększenia europejskiego wpływu na międzynarodowe działania normalizacyjne; apeluje o podjęcie szybkich działań w celu aktualizacji ram normalizacyjnych UE, tak aby przyspieszyć proces normalizacji i zapewnić sprawną publikację zharmonizowanych norm, zapewniających domniemanie zgodności i dostosowanych do norm międzynarodowych, aby wspierać globalny handel, a jednocześnie zachęcać do większego zaangażowania przedstawicieli przemysłu, zwłaszcza MŚP;</w:t>
      </w:r>
    </w:p>
    <w:p w:rsidR="007279E5" w:rsidRPr="00C41158" w:rsidRDefault="0047107F" w:rsidP="007279E5">
      <w:pPr>
        <w:pStyle w:val="NormalHanging12a"/>
        <w:rPr>
          <w:szCs w:val="24"/>
        </w:rPr>
      </w:pPr>
      <w:r>
        <w:t>37</w:t>
      </w:r>
      <w:r w:rsidR="007279E5" w:rsidRPr="00C41158">
        <w:t>.</w:t>
      </w:r>
      <w:r w:rsidR="007279E5" w:rsidRPr="00C41158">
        <w:tab/>
      </w:r>
      <w:proofErr w:type="gramStart"/>
      <w:r w:rsidR="007279E5" w:rsidRPr="00C41158">
        <w:t>podkreśla</w:t>
      </w:r>
      <w:proofErr w:type="gramEnd"/>
      <w:r w:rsidR="007279E5" w:rsidRPr="00C41158">
        <w:t xml:space="preserve"> potrzebę wzmocnienia zewnętrznego wymiaru jednolitego rynku w celu ochrony autonomii strategicznej UE i jej globalnych wpływów oraz z zadowoleniem przyjmuje stopniową integrację krajów kandydujących do UE z jednolitym rynkiem z myślą o ich przyszłym członkostwie w UE; zwraca uwagę, że wysokie standardy regulacyjne UE mogą służyć jako globalny punkt odniesienia i muszą być skutecznie egzekwowane w celu zapewnienia europejskim przedsiębiorstwom równych szans; wzywa Komisję do zintensyfikowania dialogów regulacyjnych i zacieśnienia współpracy politycznej z innymi odpowiednimi państwami spoza UE w celu zidentyfikowania wspólnych wyzwań i podjęcia próby wypracowania wspólnych działań, szczególnie w zakresie handlu elektronicznego, przepisów cyfrowych i konsumentów;</w:t>
      </w:r>
    </w:p>
    <w:p w:rsidR="007279E5" w:rsidRPr="00C41158" w:rsidRDefault="0047107F" w:rsidP="007279E5">
      <w:pPr>
        <w:pStyle w:val="NormalHanging12a"/>
        <w:rPr>
          <w:szCs w:val="24"/>
        </w:rPr>
      </w:pPr>
      <w:r>
        <w:t>38</w:t>
      </w:r>
      <w:r w:rsidR="007279E5" w:rsidRPr="00C41158">
        <w:t>.</w:t>
      </w:r>
      <w:r w:rsidR="007279E5" w:rsidRPr="00C41158">
        <w:tab/>
      </w:r>
      <w:proofErr w:type="gramStart"/>
      <w:r w:rsidR="007279E5" w:rsidRPr="00C41158">
        <w:t>ponownie</w:t>
      </w:r>
      <w:proofErr w:type="gramEnd"/>
      <w:r w:rsidR="007279E5" w:rsidRPr="00C41158">
        <w:t xml:space="preserve"> wzywa do innowacyjnego, komplementarnego i elastycznego powiązania </w:t>
      </w:r>
      <w:r w:rsidR="007279E5" w:rsidRPr="00C41158">
        <w:lastRenderedPageBreak/>
        <w:t>trwających prac nad wdrożeniem obowiązującego układu o stowarzyszeniu UE–Ukraina i trwających negocjacji akcesyjnych, co pozwoli Ukrainie na stopniową integrację z jednolitym rynkiem UE i udział w programach sektorowych;</w:t>
      </w:r>
    </w:p>
    <w:p w:rsidR="007279E5" w:rsidRPr="00C41158" w:rsidRDefault="007279E5" w:rsidP="007279E5">
      <w:pPr>
        <w:pStyle w:val="NormalHanging12a"/>
        <w:rPr>
          <w:b/>
          <w:i/>
          <w:iCs/>
        </w:rPr>
      </w:pPr>
      <w:r w:rsidRPr="00C41158">
        <w:rPr>
          <w:b/>
          <w:i/>
        </w:rPr>
        <w:t>Wnioski</w:t>
      </w:r>
    </w:p>
    <w:p w:rsidR="007279E5" w:rsidRPr="00C41158" w:rsidRDefault="0047107F" w:rsidP="007279E5">
      <w:pPr>
        <w:pStyle w:val="NormalHanging12a"/>
      </w:pPr>
      <w:r>
        <w:t>39</w:t>
      </w:r>
      <w:r w:rsidR="007279E5" w:rsidRPr="00C41158">
        <w:t>.</w:t>
      </w:r>
      <w:r w:rsidR="007279E5" w:rsidRPr="00C41158">
        <w:tab/>
      </w:r>
      <w:proofErr w:type="gramStart"/>
      <w:r w:rsidR="007279E5" w:rsidRPr="00C41158">
        <w:t>uznaje</w:t>
      </w:r>
      <w:proofErr w:type="gramEnd"/>
      <w:r w:rsidR="007279E5" w:rsidRPr="00C41158">
        <w:t>, że napięcia geopolityczne, zmiana klimatu, wyzwania dla konkurencyjności UE i dysproporcje gospodarcze stanowią poważne zagrożenie dla integralności jednolitego rynku; apeluje o zdecydowaną, skoordynowaną i strategiczną reakcję polityczną w celu wzmocnienia jednolitego rynku;</w:t>
      </w:r>
    </w:p>
    <w:p w:rsidR="007279E5" w:rsidRPr="00C41158" w:rsidRDefault="0047107F" w:rsidP="007279E5">
      <w:pPr>
        <w:pStyle w:val="NormalHanging12a"/>
      </w:pPr>
      <w:r>
        <w:t>40</w:t>
      </w:r>
      <w:r w:rsidR="007279E5" w:rsidRPr="00C41158">
        <w:t>.</w:t>
      </w:r>
      <w:r w:rsidR="007279E5" w:rsidRPr="00C41158">
        <w:tab/>
      </w:r>
      <w:proofErr w:type="gramStart"/>
      <w:r w:rsidR="007279E5" w:rsidRPr="00C41158">
        <w:t>apeluje</w:t>
      </w:r>
      <w:proofErr w:type="gramEnd"/>
      <w:r w:rsidR="007279E5" w:rsidRPr="00C41158">
        <w:t xml:space="preserve"> o dalszy rozwój jednolitego rynku w celu usunięcia pozostałych nieuzasadnionych barier oraz sprostania pojawiającym się wyzwaniom gospodarczym; uważa, że wyeliminowanie fragmentacji regulacyjnej, promowanie uproszczenia, znaczne zmniejszenie obciążeń administracyjnych, poprawa egzekwowania przepisów i zapewnienie odpornych łańcuchów dostaw mają kluczowe znaczenie dla utrzymania przewagi konkurencyjnej UE i uczciwych warunków rynkowych oraz wzmocnienia jednolitego rynku; podkreśla znaczenie konsultacji ze wszystkimi zainteresowanymi stronami w tych procesach;</w:t>
      </w:r>
    </w:p>
    <w:p w:rsidR="007279E5" w:rsidRPr="00C41158" w:rsidRDefault="0047107F" w:rsidP="007279E5">
      <w:pPr>
        <w:pStyle w:val="NormalHanging12a"/>
      </w:pPr>
      <w:r>
        <w:t>41</w:t>
      </w:r>
      <w:r w:rsidR="007279E5" w:rsidRPr="00C41158">
        <w:t>.</w:t>
      </w:r>
      <w:r w:rsidR="007279E5" w:rsidRPr="00C41158">
        <w:tab/>
      </w:r>
      <w:proofErr w:type="gramStart"/>
      <w:r w:rsidR="007279E5" w:rsidRPr="00C41158">
        <w:t>akcentuje</w:t>
      </w:r>
      <w:proofErr w:type="gramEnd"/>
      <w:r w:rsidR="007279E5" w:rsidRPr="00C41158">
        <w:t xml:space="preserve"> znaczenie transformacji cyfrowej, gospodarki o obiegu zamkniętym i zdolności adaptacji do globalnych zmian gospodarczych w kontekście zapewnienia długoterminowej dynamiki gospodarczej UE;</w:t>
      </w:r>
    </w:p>
    <w:p w:rsidR="007279E5" w:rsidRPr="00C41158" w:rsidRDefault="0047107F" w:rsidP="007279E5">
      <w:pPr>
        <w:pStyle w:val="NormalHanging12a"/>
      </w:pPr>
      <w:r>
        <w:t>42</w:t>
      </w:r>
      <w:r w:rsidR="007279E5" w:rsidRPr="00C41158">
        <w:t>.</w:t>
      </w:r>
      <w:r w:rsidR="007279E5" w:rsidRPr="00C41158">
        <w:tab/>
      </w:r>
      <w:proofErr w:type="gramStart"/>
      <w:r w:rsidR="007279E5" w:rsidRPr="00C41158">
        <w:t>powtarza</w:t>
      </w:r>
      <w:proofErr w:type="gramEnd"/>
      <w:r w:rsidR="007279E5" w:rsidRPr="00C41158">
        <w:t>, że wzmocnienie wewnętrznego i zewnętrznego wymiaru jednolitego rynku jest niezwykle ważne dla zachowania autonomii strategicznej i konkurencyjności UE;</w:t>
      </w:r>
    </w:p>
    <w:p w:rsidR="007279E5" w:rsidRPr="00C41158" w:rsidRDefault="0047107F" w:rsidP="007279E5">
      <w:pPr>
        <w:pStyle w:val="NormalHanging12a"/>
      </w:pPr>
      <w:r>
        <w:t>43</w:t>
      </w:r>
      <w:r w:rsidR="007279E5" w:rsidRPr="00C41158">
        <w:t>.</w:t>
      </w:r>
      <w:r w:rsidR="007279E5" w:rsidRPr="00C41158">
        <w:tab/>
      </w:r>
      <w:proofErr w:type="gramStart"/>
      <w:r w:rsidR="007279E5" w:rsidRPr="00C41158">
        <w:t>w</w:t>
      </w:r>
      <w:proofErr w:type="gramEnd"/>
      <w:r w:rsidR="007279E5" w:rsidRPr="00C41158">
        <w:t xml:space="preserve"> związku z tym wzywa Komisję do uwzględnienia powyższego w nadchodzącej nowej strategii jednolitego rynku, której przyjęcie zaplanowano na czerwiec 2025 r., w programie na rzecz konsumentów 2030, którego przyjęcie zaplanowano na koniec 2025 r., oraz w akcie w sprawie sprawiedliwości cyfrowej, którego przyjęcie zaplanowano na 2026 r.;</w:t>
      </w:r>
    </w:p>
    <w:p w:rsidR="007279E5" w:rsidRPr="00C41158" w:rsidRDefault="007279E5" w:rsidP="007279E5">
      <w:pPr>
        <w:pStyle w:val="NormalHanging12a"/>
        <w:jc w:val="center"/>
      </w:pPr>
      <w:r w:rsidRPr="00C41158">
        <w:t>°</w:t>
      </w:r>
    </w:p>
    <w:p w:rsidR="007279E5" w:rsidRPr="00C41158" w:rsidRDefault="007279E5" w:rsidP="007279E5">
      <w:pPr>
        <w:pStyle w:val="NormalHanging12a"/>
        <w:jc w:val="center"/>
      </w:pPr>
      <w:r w:rsidRPr="00C41158">
        <w:t>°</w:t>
      </w:r>
      <w:r w:rsidRPr="00C41158">
        <w:tab/>
        <w:t>°</w:t>
      </w:r>
    </w:p>
    <w:p w:rsidR="00C41158" w:rsidRPr="00C41158" w:rsidRDefault="0047107F" w:rsidP="00C41158">
      <w:pPr>
        <w:pStyle w:val="NormalHanging12a"/>
      </w:pPr>
      <w:r>
        <w:t>44</w:t>
      </w:r>
      <w:r w:rsidR="007279E5" w:rsidRPr="00C41158">
        <w:t>.</w:t>
      </w:r>
      <w:r w:rsidR="007279E5" w:rsidRPr="00C41158">
        <w:tab/>
      </w:r>
      <w:proofErr w:type="gramStart"/>
      <w:r w:rsidR="007279E5" w:rsidRPr="00C41158">
        <w:t>zobowiązuje</w:t>
      </w:r>
      <w:proofErr w:type="gramEnd"/>
      <w:r w:rsidR="007279E5" w:rsidRPr="00C41158">
        <w:t xml:space="preserve"> swoją przewodniczącą do przekazania niniejszej rezolucji Radzie i Komisji.</w:t>
      </w:r>
    </w:p>
    <w:p w:rsidR="00E365E1" w:rsidRPr="00C41158" w:rsidRDefault="00E365E1" w:rsidP="002864A2"/>
    <w:sectPr w:rsidR="00E365E1" w:rsidRPr="00C41158" w:rsidSect="00C41158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64A2" w:rsidRPr="00C41158" w:rsidRDefault="002864A2">
      <w:r w:rsidRPr="00C41158">
        <w:separator/>
      </w:r>
    </w:p>
  </w:endnote>
  <w:endnote w:type="continuationSeparator" w:id="0">
    <w:p w:rsidR="002864A2" w:rsidRPr="00C41158" w:rsidRDefault="002864A2">
      <w:r w:rsidRPr="00C4115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64A2" w:rsidRPr="00C41158" w:rsidRDefault="002864A2">
      <w:r w:rsidRPr="00C41158">
        <w:separator/>
      </w:r>
    </w:p>
  </w:footnote>
  <w:footnote w:type="continuationSeparator" w:id="0">
    <w:p w:rsidR="002864A2" w:rsidRPr="00C41158" w:rsidRDefault="002864A2">
      <w:r w:rsidRPr="00C41158">
        <w:continuationSeparator/>
      </w:r>
    </w:p>
  </w:footnote>
  <w:footnote w:id="1">
    <w:p w:rsidR="007279E5" w:rsidRPr="00C41158" w:rsidRDefault="007279E5" w:rsidP="00C41158">
      <w:pPr>
        <w:pStyle w:val="FootnoteText"/>
        <w:ind w:left="567" w:hanging="567"/>
        <w:rPr>
          <w:sz w:val="24"/>
          <w:lang w:val="pl-PL"/>
        </w:rPr>
      </w:pPr>
      <w:r w:rsidRPr="00C41158">
        <w:rPr>
          <w:rStyle w:val="FootnoteReference"/>
          <w:sz w:val="24"/>
          <w:lang w:val="pl-PL"/>
        </w:rPr>
        <w:footnoteRef/>
      </w:r>
      <w:r w:rsidR="00C41158" w:rsidRPr="00C41158">
        <w:rPr>
          <w:rStyle w:val="Emphasis"/>
          <w:sz w:val="24"/>
          <w:shd w:val="clear" w:color="auto" w:fill="FFFFFF"/>
          <w:lang w:val="pl-PL"/>
        </w:rPr>
        <w:t xml:space="preserve"> </w:t>
      </w:r>
      <w:r w:rsidR="00C41158" w:rsidRPr="00C41158">
        <w:rPr>
          <w:rStyle w:val="Emphasis"/>
          <w:sz w:val="24"/>
          <w:shd w:val="clear" w:color="auto" w:fill="FFFFFF"/>
          <w:lang w:val="pl-PL"/>
        </w:rPr>
        <w:tab/>
      </w:r>
      <w:r w:rsidRPr="00CF3DA0">
        <w:rPr>
          <w:rStyle w:val="Emphasis"/>
          <w:i w:val="0"/>
          <w:sz w:val="24"/>
          <w:shd w:val="clear" w:color="auto" w:fill="FFFFFF"/>
          <w:lang w:val="pl-PL"/>
        </w:rPr>
        <w:t xml:space="preserve">Dz.U. C 214 z 16.6.2023, </w:t>
      </w:r>
      <w:proofErr w:type="gramStart"/>
      <w:r w:rsidRPr="00CF3DA0">
        <w:rPr>
          <w:rStyle w:val="Emphasis"/>
          <w:i w:val="0"/>
          <w:sz w:val="24"/>
          <w:shd w:val="clear" w:color="auto" w:fill="FFFFFF"/>
          <w:lang w:val="pl-PL"/>
        </w:rPr>
        <w:t>s</w:t>
      </w:r>
      <w:proofErr w:type="gramEnd"/>
      <w:r w:rsidRPr="00CF3DA0">
        <w:rPr>
          <w:rStyle w:val="Emphasis"/>
          <w:i w:val="0"/>
          <w:sz w:val="24"/>
          <w:shd w:val="clear" w:color="auto" w:fill="FFFFFF"/>
          <w:lang w:val="pl-PL"/>
        </w:rPr>
        <w:t>. 8.</w:t>
      </w:r>
    </w:p>
  </w:footnote>
  <w:footnote w:id="2">
    <w:p w:rsidR="007279E5" w:rsidRPr="00C41158" w:rsidRDefault="007279E5" w:rsidP="00C41158">
      <w:pPr>
        <w:pStyle w:val="FootnoteText"/>
        <w:ind w:left="567" w:hanging="567"/>
        <w:rPr>
          <w:sz w:val="24"/>
          <w:lang w:val="pl-PL"/>
        </w:rPr>
      </w:pPr>
      <w:r w:rsidRPr="00C41158">
        <w:rPr>
          <w:rStyle w:val="FootnoteReference"/>
          <w:sz w:val="24"/>
          <w:lang w:val="pl-PL"/>
        </w:rPr>
        <w:footnoteRef/>
      </w:r>
      <w:r w:rsidR="00C41158" w:rsidRPr="00C41158">
        <w:rPr>
          <w:sz w:val="24"/>
          <w:lang w:val="pl-PL"/>
        </w:rPr>
        <w:t xml:space="preserve"> </w:t>
      </w:r>
      <w:r w:rsidR="00C41158" w:rsidRPr="00C41158">
        <w:rPr>
          <w:sz w:val="24"/>
          <w:lang w:val="pl-PL"/>
        </w:rPr>
        <w:tab/>
      </w:r>
      <w:r w:rsidRPr="00C41158">
        <w:rPr>
          <w:sz w:val="24"/>
          <w:lang w:val="pl-PL"/>
        </w:rPr>
        <w:t>Rozporządzenie Parlamentu Europejskiego i Rady (UE) 2024/2747 z dnia 9 października 2024 r. w sprawie ustanowienia ram środków dotyczących sytuacji nadzwyczajnej na rynku wewnętrznym i odporności rynku wewnętrznego oraz w sprawie zmiany rozp</w:t>
      </w:r>
      <w:r w:rsidR="00CF3DA0">
        <w:rPr>
          <w:sz w:val="24"/>
          <w:lang w:val="pl-PL"/>
        </w:rPr>
        <w:t>orządzenia Rady (WE) nr 2679/98</w:t>
      </w:r>
      <w:r w:rsidRPr="00C41158">
        <w:rPr>
          <w:sz w:val="24"/>
          <w:lang w:val="pl-PL"/>
        </w:rPr>
        <w:t xml:space="preserve"> </w:t>
      </w:r>
      <w:r w:rsidR="00CF3DA0">
        <w:rPr>
          <w:sz w:val="24"/>
          <w:lang w:val="pl-PL"/>
        </w:rPr>
        <w:t>(</w:t>
      </w:r>
      <w:r w:rsidRPr="00CF3DA0">
        <w:rPr>
          <w:rStyle w:val="Emphasis"/>
          <w:i w:val="0"/>
          <w:sz w:val="24"/>
          <w:lang w:val="pl-PL"/>
        </w:rPr>
        <w:t>Dz.U. L, 2024/2747, 8.11.2024, ELI</w:t>
      </w:r>
      <w:proofErr w:type="gramStart"/>
      <w:r w:rsidRPr="00CF3DA0">
        <w:rPr>
          <w:rStyle w:val="Emphasis"/>
          <w:i w:val="0"/>
          <w:sz w:val="24"/>
          <w:lang w:val="pl-PL"/>
        </w:rPr>
        <w:t>:</w:t>
      </w:r>
      <w:r w:rsidRPr="00C41158">
        <w:rPr>
          <w:rStyle w:val="Emphasis"/>
          <w:sz w:val="24"/>
          <w:lang w:val="pl-PL"/>
        </w:rPr>
        <w:t> </w:t>
      </w:r>
      <w:hyperlink r:id="rId1" w:tgtFrame="_blank" w:tooltip="Dostęp do tego dokumentu przez ELI URI." w:history="1">
        <w:proofErr w:type="gramEnd"/>
        <w:r w:rsidRPr="00C41158">
          <w:rPr>
            <w:rStyle w:val="Hyperlink"/>
            <w:sz w:val="24"/>
            <w:lang w:val="pl-PL"/>
          </w:rPr>
          <w:t>http://data.europa.eu/eli/reg/2024/2747/oj</w:t>
        </w:r>
      </w:hyperlink>
      <w:r w:rsidR="00CF3DA0">
        <w:rPr>
          <w:rStyle w:val="Hyperlink"/>
          <w:color w:val="auto"/>
          <w:sz w:val="24"/>
          <w:u w:val="none"/>
          <w:lang w:val="pl-PL"/>
        </w:rPr>
        <w:t>)</w:t>
      </w:r>
      <w:r w:rsidRPr="00C41158">
        <w:rPr>
          <w:rStyle w:val="Emphasis"/>
          <w:sz w:val="24"/>
          <w:shd w:val="clear" w:color="auto" w:fill="FFFFFF"/>
          <w:lang w:val="pl-PL"/>
        </w:rPr>
        <w:t>.</w:t>
      </w:r>
    </w:p>
  </w:footnote>
  <w:footnote w:id="3">
    <w:p w:rsidR="007279E5" w:rsidRPr="00C41158" w:rsidRDefault="007279E5" w:rsidP="00C41158">
      <w:pPr>
        <w:pStyle w:val="FootnoteText"/>
        <w:ind w:left="567" w:hanging="567"/>
        <w:rPr>
          <w:sz w:val="24"/>
          <w:lang w:val="pl-PL"/>
        </w:rPr>
      </w:pPr>
      <w:r w:rsidRPr="00C41158">
        <w:rPr>
          <w:rStyle w:val="FootnoteReference"/>
          <w:sz w:val="24"/>
          <w:lang w:val="pl-PL"/>
        </w:rPr>
        <w:footnoteRef/>
      </w:r>
      <w:r w:rsidR="00C41158" w:rsidRPr="00C41158">
        <w:rPr>
          <w:sz w:val="24"/>
          <w:lang w:val="pl-PL"/>
        </w:rPr>
        <w:t xml:space="preserve"> </w:t>
      </w:r>
      <w:r w:rsidR="00C41158" w:rsidRPr="00C41158">
        <w:rPr>
          <w:sz w:val="24"/>
          <w:lang w:val="pl-PL"/>
        </w:rPr>
        <w:tab/>
      </w:r>
      <w:r w:rsidRPr="00C41158">
        <w:rPr>
          <w:sz w:val="24"/>
          <w:lang w:val="pl-PL"/>
        </w:rPr>
        <w:t>Rozporządzenie Parlamentu Europejskiego i Rady (UE) 2018/302 z dnia 28 lutego 2018 r. w sprawie nieuzasadnionego blokowania geograficznego oraz innych form dyskryminacji klientów ze względu na przynależność państwową, miejsce zamieszkania lub miejsce prowadzenia działalności na rynku wewnętrznym oraz w sprawie zmiany rozporządzeń (WE) nr 2006/2004 oraz (UE) 2</w:t>
      </w:r>
      <w:r w:rsidR="00CF3DA0">
        <w:rPr>
          <w:sz w:val="24"/>
          <w:lang w:val="pl-PL"/>
        </w:rPr>
        <w:t>017/2394 i dyrektywy 2009/22/WE</w:t>
      </w:r>
      <w:r w:rsidRPr="00C41158">
        <w:rPr>
          <w:sz w:val="24"/>
          <w:lang w:val="pl-PL"/>
        </w:rPr>
        <w:t xml:space="preserve"> </w:t>
      </w:r>
      <w:r w:rsidR="00CF3DA0">
        <w:rPr>
          <w:sz w:val="24"/>
          <w:lang w:val="pl-PL"/>
        </w:rPr>
        <w:t>(</w:t>
      </w:r>
      <w:r w:rsidRPr="00CF3DA0">
        <w:rPr>
          <w:rStyle w:val="Emphasis"/>
          <w:i w:val="0"/>
          <w:sz w:val="24"/>
          <w:lang w:val="pl-PL"/>
        </w:rPr>
        <w:t xml:space="preserve">Dz.U. </w:t>
      </w:r>
      <w:r w:rsidRPr="00CF3DA0">
        <w:rPr>
          <w:rStyle w:val="Emphasis"/>
          <w:i w:val="0"/>
          <w:sz w:val="24"/>
          <w:lang w:val="pl-PL"/>
        </w:rPr>
        <w:t>L 60</w:t>
      </w:r>
      <w:r w:rsidR="00304F0E">
        <w:rPr>
          <w:rStyle w:val="Emphasis"/>
          <w:i w:val="0"/>
          <w:sz w:val="24"/>
          <w:lang w:val="pl-PL"/>
        </w:rPr>
        <w:t xml:space="preserve"> </w:t>
      </w:r>
      <w:bookmarkStart w:id="6" w:name="_GoBack"/>
      <w:bookmarkEnd w:id="6"/>
      <w:r w:rsidRPr="00CF3DA0">
        <w:rPr>
          <w:rStyle w:val="Emphasis"/>
          <w:i w:val="0"/>
          <w:sz w:val="24"/>
          <w:lang w:val="pl-PL"/>
        </w:rPr>
        <w:t>I z 2.3.2018, s. 1,</w:t>
      </w:r>
      <w:r w:rsidRPr="00C41158">
        <w:rPr>
          <w:rStyle w:val="Emphasis"/>
          <w:sz w:val="24"/>
          <w:lang w:val="pl-PL"/>
        </w:rPr>
        <w:t xml:space="preserve"> </w:t>
      </w:r>
      <w:r w:rsidRPr="00C41158">
        <w:rPr>
          <w:sz w:val="24"/>
          <w:lang w:val="pl-PL"/>
        </w:rPr>
        <w:t>ELI</w:t>
      </w:r>
      <w:proofErr w:type="gramStart"/>
      <w:r w:rsidRPr="00C41158">
        <w:rPr>
          <w:sz w:val="24"/>
          <w:lang w:val="pl-PL"/>
        </w:rPr>
        <w:t>: </w:t>
      </w:r>
      <w:hyperlink r:id="rId2" w:tooltip="Dostęp do dokumentu przez ELI URI." w:history="1">
        <w:proofErr w:type="gramEnd"/>
        <w:r w:rsidRPr="00C41158">
          <w:rPr>
            <w:rStyle w:val="Hyperlink"/>
            <w:sz w:val="24"/>
            <w:shd w:val="clear" w:color="auto" w:fill="FFFFFF"/>
            <w:lang w:val="pl-PL"/>
          </w:rPr>
          <w:t>http://data.europa.eu/eli/reg/2018/302/oj</w:t>
        </w:r>
      </w:hyperlink>
      <w:r w:rsidR="00CF3DA0">
        <w:rPr>
          <w:rStyle w:val="Hyperlink"/>
          <w:color w:val="auto"/>
          <w:sz w:val="24"/>
          <w:shd w:val="clear" w:color="auto" w:fill="FFFFFF"/>
          <w:lang w:val="pl-PL"/>
        </w:rPr>
        <w:t>)</w:t>
      </w:r>
      <w:r w:rsidRPr="00C41158">
        <w:rPr>
          <w:sz w:val="24"/>
          <w:lang w:val="pl-PL"/>
        </w:rPr>
        <w:t>.</w:t>
      </w:r>
    </w:p>
  </w:footnote>
  <w:footnote w:id="4">
    <w:p w:rsidR="007279E5" w:rsidRPr="00C41158" w:rsidRDefault="007279E5" w:rsidP="00C41158">
      <w:pPr>
        <w:pStyle w:val="FootnoteText"/>
        <w:ind w:left="567" w:hanging="567"/>
        <w:rPr>
          <w:sz w:val="24"/>
          <w:lang w:val="pl-PL"/>
        </w:rPr>
      </w:pPr>
      <w:r w:rsidRPr="00C41158">
        <w:rPr>
          <w:rStyle w:val="FootnoteReference"/>
          <w:sz w:val="24"/>
          <w:lang w:val="pl-PL"/>
        </w:rPr>
        <w:footnoteRef/>
      </w:r>
      <w:r w:rsidR="00C41158" w:rsidRPr="00C41158">
        <w:rPr>
          <w:sz w:val="24"/>
          <w:lang w:val="pl-PL"/>
        </w:rPr>
        <w:t xml:space="preserve"> </w:t>
      </w:r>
      <w:r w:rsidR="00C41158" w:rsidRPr="00C41158">
        <w:rPr>
          <w:sz w:val="24"/>
          <w:lang w:val="pl-PL"/>
        </w:rPr>
        <w:tab/>
      </w:r>
      <w:r w:rsidRPr="00C41158">
        <w:rPr>
          <w:sz w:val="24"/>
          <w:lang w:val="pl-PL"/>
        </w:rPr>
        <w:t>Dyrektywa Parlamentu Europejskiego i Rady (UE</w:t>
      </w:r>
      <w:proofErr w:type="gramStart"/>
      <w:r w:rsidRPr="00C41158">
        <w:rPr>
          <w:sz w:val="24"/>
          <w:lang w:val="pl-PL"/>
        </w:rPr>
        <w:t>) 2019/882 z</w:t>
      </w:r>
      <w:proofErr w:type="gramEnd"/>
      <w:r w:rsidRPr="00C41158">
        <w:rPr>
          <w:sz w:val="24"/>
          <w:lang w:val="pl-PL"/>
        </w:rPr>
        <w:t> dnia 17 kwietnia 2019 r. w sprawie wymogów dostępności p</w:t>
      </w:r>
      <w:r w:rsidR="00CF3DA0">
        <w:rPr>
          <w:sz w:val="24"/>
          <w:lang w:val="pl-PL"/>
        </w:rPr>
        <w:t>roduktów i usług</w:t>
      </w:r>
      <w:r w:rsidRPr="00C41158">
        <w:rPr>
          <w:sz w:val="24"/>
          <w:lang w:val="pl-PL"/>
        </w:rPr>
        <w:t xml:space="preserve"> </w:t>
      </w:r>
      <w:r w:rsidR="00CF3DA0">
        <w:rPr>
          <w:sz w:val="24"/>
          <w:lang w:val="pl-PL"/>
        </w:rPr>
        <w:t>(</w:t>
      </w:r>
      <w:r w:rsidRPr="00CF3DA0">
        <w:rPr>
          <w:rStyle w:val="Emphasis"/>
          <w:i w:val="0"/>
          <w:sz w:val="24"/>
          <w:lang w:val="pl-PL"/>
        </w:rPr>
        <w:t xml:space="preserve">Dz.U. L 151 z 7.6.2019, s. 70, </w:t>
      </w:r>
      <w:r w:rsidRPr="00C41158">
        <w:rPr>
          <w:sz w:val="24"/>
          <w:lang w:val="pl-PL"/>
        </w:rPr>
        <w:t>ELI</w:t>
      </w:r>
      <w:proofErr w:type="gramStart"/>
      <w:r w:rsidRPr="00C41158">
        <w:rPr>
          <w:sz w:val="24"/>
          <w:lang w:val="pl-PL"/>
        </w:rPr>
        <w:t>: </w:t>
      </w:r>
      <w:hyperlink r:id="rId3" w:tooltip="Dostęp do dokumentu przez ELI URI." w:history="1">
        <w:proofErr w:type="gramEnd"/>
        <w:r w:rsidRPr="00C41158">
          <w:rPr>
            <w:rStyle w:val="Hyperlink"/>
            <w:sz w:val="24"/>
            <w:shd w:val="clear" w:color="auto" w:fill="FFFFFF"/>
            <w:lang w:val="pl-PL"/>
          </w:rPr>
          <w:t>http://data.europa.eu/eli/dir/2019/882/oj</w:t>
        </w:r>
      </w:hyperlink>
      <w:r w:rsidR="00CF3DA0">
        <w:rPr>
          <w:rStyle w:val="Hyperlink"/>
          <w:color w:val="auto"/>
          <w:sz w:val="24"/>
          <w:u w:val="none"/>
          <w:shd w:val="clear" w:color="auto" w:fill="FFFFFF"/>
          <w:lang w:val="pl-PL"/>
        </w:rPr>
        <w:t>)</w:t>
      </w:r>
      <w:r w:rsidRPr="00C41158">
        <w:rPr>
          <w:sz w:val="24"/>
          <w:lang w:val="pl-PL"/>
        </w:rPr>
        <w:t>.</w:t>
      </w:r>
    </w:p>
  </w:footnote>
  <w:footnote w:id="5">
    <w:p w:rsidR="007279E5" w:rsidRPr="00C41158" w:rsidRDefault="007279E5" w:rsidP="00C41158">
      <w:pPr>
        <w:pStyle w:val="FootnoteText"/>
        <w:ind w:left="567" w:hanging="567"/>
        <w:rPr>
          <w:sz w:val="24"/>
          <w:lang w:val="pl-PL"/>
        </w:rPr>
      </w:pPr>
      <w:r w:rsidRPr="00C41158">
        <w:rPr>
          <w:rStyle w:val="FootnoteReference"/>
          <w:sz w:val="24"/>
          <w:lang w:val="pl-PL"/>
        </w:rPr>
        <w:footnoteRef/>
      </w:r>
      <w:r w:rsidR="00C41158" w:rsidRPr="00C41158">
        <w:rPr>
          <w:sz w:val="24"/>
          <w:lang w:val="pl-PL"/>
        </w:rPr>
        <w:t xml:space="preserve"> </w:t>
      </w:r>
      <w:r w:rsidR="00C41158" w:rsidRPr="00C41158">
        <w:rPr>
          <w:sz w:val="24"/>
          <w:lang w:val="pl-PL"/>
        </w:rPr>
        <w:tab/>
      </w:r>
      <w:r w:rsidRPr="00C41158">
        <w:rPr>
          <w:sz w:val="24"/>
          <w:lang w:val="pl-PL"/>
        </w:rPr>
        <w:t xml:space="preserve">Rozporządzenie Parlamentu Europejskiego i Rady (UE) 2022/1925 z dnia 14 września 2022 r. w sprawie kontestowalnych i uczciwych rynków w sektorze cyfrowym oraz zmiany dyrektyw </w:t>
      </w:r>
      <w:r w:rsidR="00CF3DA0">
        <w:rPr>
          <w:sz w:val="24"/>
          <w:lang w:val="pl-PL"/>
        </w:rPr>
        <w:t>(UE) 2019/1937 i (UE) 2020/1828</w:t>
      </w:r>
      <w:r w:rsidRPr="00C41158">
        <w:rPr>
          <w:sz w:val="24"/>
          <w:lang w:val="pl-PL"/>
        </w:rPr>
        <w:t xml:space="preserve"> </w:t>
      </w:r>
      <w:r w:rsidR="00CF3DA0">
        <w:rPr>
          <w:sz w:val="24"/>
          <w:lang w:val="pl-PL"/>
        </w:rPr>
        <w:t>(</w:t>
      </w:r>
      <w:r w:rsidRPr="00CF3DA0">
        <w:rPr>
          <w:rStyle w:val="Emphasis"/>
          <w:i w:val="0"/>
          <w:sz w:val="24"/>
          <w:lang w:val="pl-PL"/>
        </w:rPr>
        <w:t>Dz.U. L 265 z 12.10.2022, s. 1,</w:t>
      </w:r>
      <w:r w:rsidRPr="00C41158">
        <w:rPr>
          <w:rStyle w:val="Emphasis"/>
          <w:sz w:val="24"/>
          <w:lang w:val="pl-PL"/>
        </w:rPr>
        <w:t xml:space="preserve"> </w:t>
      </w:r>
      <w:r w:rsidRPr="00C41158">
        <w:rPr>
          <w:sz w:val="24"/>
          <w:lang w:val="pl-PL"/>
        </w:rPr>
        <w:t>ELI</w:t>
      </w:r>
      <w:proofErr w:type="gramStart"/>
      <w:r w:rsidRPr="00C41158">
        <w:rPr>
          <w:sz w:val="24"/>
          <w:lang w:val="pl-PL"/>
        </w:rPr>
        <w:t>: </w:t>
      </w:r>
      <w:hyperlink r:id="rId4" w:tooltip="Dostęp do dokumentu przez ELI URI." w:history="1">
        <w:proofErr w:type="gramEnd"/>
        <w:r w:rsidRPr="00C41158">
          <w:rPr>
            <w:rStyle w:val="Hyperlink"/>
            <w:sz w:val="24"/>
            <w:shd w:val="clear" w:color="auto" w:fill="FFFFFF"/>
            <w:lang w:val="pl-PL"/>
          </w:rPr>
          <w:t>http://data.europa.eu/eli/reg/2022/1925/oj</w:t>
        </w:r>
      </w:hyperlink>
      <w:r w:rsidR="00CF3DA0">
        <w:rPr>
          <w:rStyle w:val="Hyperlink"/>
          <w:color w:val="auto"/>
          <w:sz w:val="24"/>
          <w:u w:val="none"/>
          <w:shd w:val="clear" w:color="auto" w:fill="FFFFFF"/>
          <w:lang w:val="pl-PL"/>
        </w:rPr>
        <w:t>)</w:t>
      </w:r>
      <w:r w:rsidRPr="00C41158">
        <w:rPr>
          <w:sz w:val="24"/>
          <w:lang w:val="pl-PL"/>
        </w:rPr>
        <w:t>.</w:t>
      </w:r>
    </w:p>
  </w:footnote>
  <w:footnote w:id="6">
    <w:p w:rsidR="007279E5" w:rsidRPr="00C41158" w:rsidRDefault="007279E5" w:rsidP="00C41158">
      <w:pPr>
        <w:pStyle w:val="FootnoteText"/>
        <w:ind w:left="567" w:hanging="567"/>
        <w:rPr>
          <w:sz w:val="24"/>
          <w:lang w:val="pl-PL"/>
        </w:rPr>
      </w:pPr>
      <w:r w:rsidRPr="00C41158">
        <w:rPr>
          <w:rStyle w:val="FootnoteReference"/>
          <w:sz w:val="24"/>
          <w:lang w:val="pl-PL"/>
        </w:rPr>
        <w:footnoteRef/>
      </w:r>
      <w:r w:rsidR="00C41158" w:rsidRPr="00C41158">
        <w:rPr>
          <w:sz w:val="24"/>
          <w:lang w:val="pl-PL"/>
        </w:rPr>
        <w:t xml:space="preserve"> </w:t>
      </w:r>
      <w:r w:rsidR="00C41158" w:rsidRPr="00C41158">
        <w:rPr>
          <w:sz w:val="24"/>
          <w:lang w:val="pl-PL"/>
        </w:rPr>
        <w:tab/>
      </w:r>
      <w:r w:rsidRPr="00C41158">
        <w:rPr>
          <w:sz w:val="24"/>
          <w:lang w:val="pl-PL"/>
        </w:rPr>
        <w:t>Rozporządzenie Parlamentu Europejskiego i Rady (UE) 2022/2065 z dnia 19 października 2022 r. w sprawie jednolitego rynku usług cyfrowych o</w:t>
      </w:r>
      <w:r w:rsidR="00CF3DA0">
        <w:rPr>
          <w:sz w:val="24"/>
          <w:lang w:val="pl-PL"/>
        </w:rPr>
        <w:t>raz zmiany dyrektywy 2000/31/WE</w:t>
      </w:r>
      <w:r w:rsidRPr="00C41158">
        <w:rPr>
          <w:sz w:val="24"/>
          <w:lang w:val="pl-PL"/>
        </w:rPr>
        <w:t xml:space="preserve"> </w:t>
      </w:r>
      <w:r w:rsidR="00CF3DA0">
        <w:rPr>
          <w:sz w:val="24"/>
          <w:lang w:val="pl-PL"/>
        </w:rPr>
        <w:t>(</w:t>
      </w:r>
      <w:r w:rsidRPr="00CF3DA0">
        <w:rPr>
          <w:rStyle w:val="Emphasis"/>
          <w:i w:val="0"/>
          <w:sz w:val="24"/>
          <w:lang w:val="pl-PL"/>
        </w:rPr>
        <w:t>Dz.U. L 277 z 27.10.2022, s. 1</w:t>
      </w:r>
      <w:r w:rsidRPr="00C41158">
        <w:rPr>
          <w:rStyle w:val="Emphasis"/>
          <w:sz w:val="24"/>
          <w:lang w:val="pl-PL"/>
        </w:rPr>
        <w:t xml:space="preserve">, </w:t>
      </w:r>
      <w:r w:rsidRPr="00C41158">
        <w:rPr>
          <w:sz w:val="24"/>
          <w:lang w:val="pl-PL"/>
        </w:rPr>
        <w:t>ELI</w:t>
      </w:r>
      <w:proofErr w:type="gramStart"/>
      <w:r w:rsidRPr="00C41158">
        <w:rPr>
          <w:sz w:val="24"/>
          <w:lang w:val="pl-PL"/>
        </w:rPr>
        <w:t>: </w:t>
      </w:r>
      <w:hyperlink r:id="rId5" w:tooltip="Dostęp do dokumentu przez ELI URI." w:history="1">
        <w:proofErr w:type="gramEnd"/>
        <w:r w:rsidRPr="00C41158">
          <w:rPr>
            <w:rStyle w:val="Hyperlink"/>
            <w:sz w:val="24"/>
            <w:shd w:val="clear" w:color="auto" w:fill="FFFFFF"/>
            <w:lang w:val="pl-PL"/>
          </w:rPr>
          <w:t>http://data.europa.eu/eli/reg/2022/2065/oj</w:t>
        </w:r>
      </w:hyperlink>
      <w:r w:rsidR="00CF3DA0">
        <w:rPr>
          <w:rStyle w:val="Hyperlink"/>
          <w:color w:val="auto"/>
          <w:sz w:val="24"/>
          <w:u w:val="none"/>
          <w:shd w:val="clear" w:color="auto" w:fill="FFFFFF"/>
          <w:lang w:val="pl-PL"/>
        </w:rPr>
        <w:t>)</w:t>
      </w:r>
      <w:r w:rsidRPr="00C41158">
        <w:rPr>
          <w:sz w:val="24"/>
          <w:lang w:val="pl-PL"/>
        </w:rPr>
        <w:t>.</w:t>
      </w:r>
    </w:p>
  </w:footnote>
  <w:footnote w:id="7">
    <w:p w:rsidR="007279E5" w:rsidRPr="00C41158" w:rsidRDefault="007279E5" w:rsidP="00C41158">
      <w:pPr>
        <w:pStyle w:val="FootnoteText"/>
        <w:ind w:left="567" w:hanging="567"/>
        <w:rPr>
          <w:sz w:val="24"/>
          <w:lang w:val="pl-PL"/>
        </w:rPr>
      </w:pPr>
      <w:r w:rsidRPr="00C41158">
        <w:rPr>
          <w:rStyle w:val="FootnoteReference"/>
          <w:sz w:val="24"/>
          <w:lang w:val="pl-PL"/>
        </w:rPr>
        <w:footnoteRef/>
      </w:r>
      <w:r w:rsidR="00C41158" w:rsidRPr="00C41158">
        <w:rPr>
          <w:sz w:val="24"/>
          <w:lang w:val="pl-PL"/>
        </w:rPr>
        <w:t xml:space="preserve"> </w:t>
      </w:r>
      <w:r w:rsidR="00C41158" w:rsidRPr="00C41158">
        <w:rPr>
          <w:sz w:val="24"/>
          <w:lang w:val="pl-PL"/>
        </w:rPr>
        <w:tab/>
      </w:r>
      <w:r w:rsidRPr="00C41158">
        <w:rPr>
          <w:sz w:val="24"/>
          <w:lang w:val="pl-PL"/>
        </w:rPr>
        <w:t>Rozporządzenie Parlamentu Europejskiego i Rady (UE) 2024/1689 z dnia 13 czerwca 2024 r. w sprawie ustanowienia zharmonizowanych przepisów dotyczących sztucznej inteligencji oraz zmiany rozporządzeń (WE) nr 300/2008, (UE) nr 167/2013, (UE) nr 168/2013, (UE</w:t>
      </w:r>
      <w:proofErr w:type="gramStart"/>
      <w:r w:rsidRPr="00C41158">
        <w:rPr>
          <w:sz w:val="24"/>
          <w:lang w:val="pl-PL"/>
        </w:rPr>
        <w:t>) 2018/858, (UE</w:t>
      </w:r>
      <w:proofErr w:type="gramEnd"/>
      <w:r w:rsidRPr="00C41158">
        <w:rPr>
          <w:sz w:val="24"/>
          <w:lang w:val="pl-PL"/>
        </w:rPr>
        <w:t>) 2018/1139 i (UE) 2019/2144 oraz dyrektyw 2014/90/UE,</w:t>
      </w:r>
      <w:r w:rsidR="00CF3DA0">
        <w:rPr>
          <w:sz w:val="24"/>
          <w:lang w:val="pl-PL"/>
        </w:rPr>
        <w:t xml:space="preserve"> (UE) 2016/797 i (UE) 2020/1828</w:t>
      </w:r>
      <w:r w:rsidRPr="00C41158">
        <w:rPr>
          <w:sz w:val="24"/>
          <w:lang w:val="pl-PL"/>
        </w:rPr>
        <w:t xml:space="preserve"> </w:t>
      </w:r>
      <w:r w:rsidR="00CF3DA0">
        <w:rPr>
          <w:sz w:val="24"/>
          <w:lang w:val="pl-PL"/>
        </w:rPr>
        <w:t>(</w:t>
      </w:r>
      <w:r w:rsidRPr="00CF3DA0">
        <w:rPr>
          <w:rStyle w:val="Emphasis"/>
          <w:i w:val="0"/>
          <w:sz w:val="24"/>
          <w:lang w:val="pl-PL"/>
        </w:rPr>
        <w:t>Dz.U. L, 2024/1689, 12.7.2024, ELI</w:t>
      </w:r>
      <w:proofErr w:type="gramStart"/>
      <w:r w:rsidRPr="00CF3DA0">
        <w:rPr>
          <w:rStyle w:val="Emphasis"/>
          <w:i w:val="0"/>
          <w:sz w:val="24"/>
          <w:lang w:val="pl-PL"/>
        </w:rPr>
        <w:t>:</w:t>
      </w:r>
      <w:r w:rsidRPr="00C41158">
        <w:rPr>
          <w:rStyle w:val="Emphasis"/>
          <w:sz w:val="24"/>
          <w:lang w:val="pl-PL"/>
        </w:rPr>
        <w:t> </w:t>
      </w:r>
      <w:hyperlink r:id="rId6" w:tgtFrame="_blank" w:tooltip="Dostęp do dokumentu przez ELI URI." w:history="1">
        <w:proofErr w:type="gramEnd"/>
        <w:r w:rsidRPr="00C41158">
          <w:rPr>
            <w:rStyle w:val="Hyperlink"/>
            <w:sz w:val="24"/>
            <w:lang w:val="pl-PL"/>
          </w:rPr>
          <w:t>http://data.europa.eu/eli/reg/2024/1689/oj</w:t>
        </w:r>
      </w:hyperlink>
      <w:r w:rsidR="00CF3DA0">
        <w:rPr>
          <w:rStyle w:val="Hyperlink"/>
          <w:color w:val="auto"/>
          <w:sz w:val="24"/>
          <w:u w:val="none"/>
          <w:lang w:val="pl-PL"/>
        </w:rPr>
        <w:t>)</w:t>
      </w:r>
      <w:r w:rsidRPr="00C41158">
        <w:rPr>
          <w:rStyle w:val="Emphasis"/>
          <w:sz w:val="24"/>
          <w:shd w:val="clear" w:color="auto" w:fill="FFFFFF"/>
          <w:lang w:val="pl-PL"/>
        </w:rPr>
        <w:t>.</w:t>
      </w:r>
    </w:p>
  </w:footnote>
  <w:footnote w:id="8">
    <w:p w:rsidR="007279E5" w:rsidRPr="00C41158" w:rsidRDefault="007279E5" w:rsidP="00C41158">
      <w:pPr>
        <w:pStyle w:val="FootnoteText"/>
        <w:ind w:left="567" w:hanging="567"/>
        <w:rPr>
          <w:sz w:val="24"/>
          <w:lang w:val="pl-PL"/>
        </w:rPr>
      </w:pPr>
      <w:r w:rsidRPr="00C41158">
        <w:rPr>
          <w:rStyle w:val="FootnoteReference"/>
          <w:sz w:val="24"/>
          <w:lang w:val="pl-PL"/>
        </w:rPr>
        <w:footnoteRef/>
      </w:r>
      <w:r w:rsidR="00C41158" w:rsidRPr="00C41158">
        <w:rPr>
          <w:sz w:val="24"/>
          <w:lang w:val="pl-PL"/>
        </w:rPr>
        <w:t xml:space="preserve"> </w:t>
      </w:r>
      <w:r w:rsidR="00C41158" w:rsidRPr="00C41158">
        <w:rPr>
          <w:sz w:val="24"/>
          <w:lang w:val="pl-PL"/>
        </w:rPr>
        <w:tab/>
      </w:r>
      <w:r w:rsidRPr="00C41158">
        <w:rPr>
          <w:sz w:val="24"/>
          <w:lang w:val="pl-PL"/>
        </w:rPr>
        <w:t>Rozporządzenie Parlamentu Europejskiego i Rady (UE) 2017/2394 z dnia 12 grudnia 2017 r. w sprawie współpracy między organami krajowymi odpowiedzialnymi za egzekwowanie przepisów prawa w zakresie ochrony konsumentów i uchylające rozporządzenie</w:t>
      </w:r>
      <w:r w:rsidR="00CF3DA0">
        <w:rPr>
          <w:sz w:val="24"/>
          <w:lang w:val="pl-PL"/>
        </w:rPr>
        <w:t xml:space="preserve"> (WE) nr 2006/2004</w:t>
      </w:r>
      <w:r w:rsidRPr="00C41158">
        <w:rPr>
          <w:sz w:val="24"/>
          <w:lang w:val="pl-PL"/>
        </w:rPr>
        <w:t xml:space="preserve"> </w:t>
      </w:r>
      <w:r w:rsidR="00CF3DA0">
        <w:rPr>
          <w:sz w:val="24"/>
          <w:lang w:val="pl-PL"/>
        </w:rPr>
        <w:t>(</w:t>
      </w:r>
      <w:r w:rsidRPr="00CF3DA0">
        <w:rPr>
          <w:rStyle w:val="Emphasis"/>
          <w:i w:val="0"/>
          <w:sz w:val="24"/>
          <w:lang w:val="pl-PL"/>
        </w:rPr>
        <w:t>Dz.U. L 345 z 27.12.2017, s. 1,</w:t>
      </w:r>
      <w:r w:rsidRPr="00C41158">
        <w:rPr>
          <w:rStyle w:val="Emphasis"/>
          <w:sz w:val="24"/>
          <w:lang w:val="pl-PL"/>
        </w:rPr>
        <w:t xml:space="preserve"> </w:t>
      </w:r>
      <w:r w:rsidRPr="00C41158">
        <w:rPr>
          <w:sz w:val="24"/>
          <w:lang w:val="pl-PL"/>
        </w:rPr>
        <w:t>ELI</w:t>
      </w:r>
      <w:proofErr w:type="gramStart"/>
      <w:r w:rsidRPr="00C41158">
        <w:rPr>
          <w:sz w:val="24"/>
          <w:lang w:val="pl-PL"/>
        </w:rPr>
        <w:t>: </w:t>
      </w:r>
      <w:hyperlink r:id="rId7" w:tooltip="Dostęp do dokumentu przez ELI URI." w:history="1">
        <w:proofErr w:type="gramEnd"/>
        <w:r w:rsidRPr="00C41158">
          <w:rPr>
            <w:rStyle w:val="Hyperlink"/>
            <w:sz w:val="24"/>
            <w:shd w:val="clear" w:color="auto" w:fill="FFFFFF"/>
            <w:lang w:val="pl-PL"/>
          </w:rPr>
          <w:t>http://data.europa.eu/eli/reg/2017/2394/oj</w:t>
        </w:r>
      </w:hyperlink>
      <w:r w:rsidR="00CF3DA0">
        <w:rPr>
          <w:rStyle w:val="Hyperlink"/>
          <w:color w:val="auto"/>
          <w:sz w:val="24"/>
          <w:u w:val="none"/>
          <w:shd w:val="clear" w:color="auto" w:fill="FFFFFF"/>
          <w:lang w:val="pl-PL"/>
        </w:rPr>
        <w:t>)</w:t>
      </w:r>
      <w:r w:rsidRPr="00C41158">
        <w:rPr>
          <w:sz w:val="24"/>
          <w:lang w:val="pl-PL"/>
        </w:rPr>
        <w:t>.</w:t>
      </w:r>
    </w:p>
  </w:footnote>
  <w:footnote w:id="9">
    <w:p w:rsidR="007279E5" w:rsidRPr="00C41158" w:rsidRDefault="007279E5" w:rsidP="00C41158">
      <w:pPr>
        <w:pStyle w:val="FootnoteText"/>
        <w:ind w:left="567" w:hanging="567"/>
        <w:rPr>
          <w:sz w:val="24"/>
          <w:lang w:val="pl-PL"/>
        </w:rPr>
      </w:pPr>
      <w:r w:rsidRPr="00C41158">
        <w:rPr>
          <w:rStyle w:val="FootnoteReference"/>
          <w:sz w:val="24"/>
          <w:lang w:val="pl-PL"/>
        </w:rPr>
        <w:footnoteRef/>
      </w:r>
      <w:r w:rsidR="00C41158" w:rsidRPr="00C41158">
        <w:rPr>
          <w:sz w:val="24"/>
          <w:lang w:val="pl-PL"/>
        </w:rPr>
        <w:t xml:space="preserve"> </w:t>
      </w:r>
      <w:r w:rsidR="00C41158" w:rsidRPr="00C41158">
        <w:rPr>
          <w:sz w:val="24"/>
          <w:lang w:val="pl-PL"/>
        </w:rPr>
        <w:tab/>
      </w:r>
      <w:r w:rsidRPr="00C41158">
        <w:rPr>
          <w:sz w:val="24"/>
          <w:lang w:val="pl-PL"/>
        </w:rPr>
        <w:t>Wyrok z 5 marca 2024 r., Public.Resource.Org Inc./Right to Know CLG, C-588/21 P, EU</w:t>
      </w:r>
      <w:proofErr w:type="gramStart"/>
      <w:r w:rsidRPr="00C41158">
        <w:rPr>
          <w:sz w:val="24"/>
          <w:lang w:val="pl-PL"/>
        </w:rPr>
        <w:t>:C</w:t>
      </w:r>
      <w:proofErr w:type="gramEnd"/>
      <w:r w:rsidRPr="00C41158">
        <w:rPr>
          <w:sz w:val="24"/>
          <w:lang w:val="pl-PL"/>
        </w:rPr>
        <w:t>:2024:201.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46/2025"/>
    <w:docVar w:name="dvlangue" w:val="PL"/>
    <w:docVar w:name="dvnumam" w:val="0"/>
    <w:docVar w:name="dvpe" w:val="772.165"/>
    <w:docVar w:name="dvtitre" w:val="Rezolucja Parlamentu Europejskiego z dnia  2025 r. w sprawie starych wyzwań i nowych praktyk handlowych na rynku wewnętrznym(2025/2542(RSP))"/>
  </w:docVars>
  <w:rsids>
    <w:rsidRoot w:val="002864A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64A2"/>
    <w:rsid w:val="002B18FE"/>
    <w:rsid w:val="002B5493"/>
    <w:rsid w:val="00304F0E"/>
    <w:rsid w:val="00343214"/>
    <w:rsid w:val="00361C00"/>
    <w:rsid w:val="00395FA1"/>
    <w:rsid w:val="003E15D4"/>
    <w:rsid w:val="00411CCE"/>
    <w:rsid w:val="0041666E"/>
    <w:rsid w:val="00421060"/>
    <w:rsid w:val="0047107F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279E5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3E3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1158"/>
    <w:rsid w:val="00C61C0C"/>
    <w:rsid w:val="00C941CB"/>
    <w:rsid w:val="00CC2357"/>
    <w:rsid w:val="00CF071A"/>
    <w:rsid w:val="00CF3DA0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CF982B"/>
  <w15:chartTrackingRefBased/>
  <w15:docId w15:val="{F9AC523B-F018-44B9-BB21-5525DFACF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279E5"/>
    <w:pPr>
      <w:spacing w:before="480" w:after="240"/>
    </w:pPr>
  </w:style>
  <w:style w:type="paragraph" w:customStyle="1" w:styleId="NormalHanging12a">
    <w:name w:val="NormalHanging12a"/>
    <w:basedOn w:val="Normal"/>
    <w:rsid w:val="007279E5"/>
    <w:pPr>
      <w:spacing w:after="240"/>
      <w:ind w:left="567" w:hanging="567"/>
    </w:pPr>
  </w:style>
  <w:style w:type="character" w:styleId="Emphasis">
    <w:name w:val="Emphasis"/>
    <w:basedOn w:val="DefaultParagraphFont"/>
    <w:uiPriority w:val="20"/>
    <w:qFormat/>
    <w:rsid w:val="007279E5"/>
    <w:rPr>
      <w:i/>
      <w:iCs/>
    </w:rPr>
  </w:style>
  <w:style w:type="character" w:styleId="Hyperlink">
    <w:name w:val="Hyperlink"/>
    <w:basedOn w:val="DefaultParagraphFont"/>
    <w:uiPriority w:val="99"/>
    <w:unhideWhenUsed/>
    <w:rsid w:val="007279E5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9D3E3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D3E30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19/882/oj" TargetMode="External"/><Relationship Id="rId7" Type="http://schemas.openxmlformats.org/officeDocument/2006/relationships/hyperlink" Target="http://data.europa.eu/eli/reg/2017/2394/oj" TargetMode="External"/><Relationship Id="rId2" Type="http://schemas.openxmlformats.org/officeDocument/2006/relationships/hyperlink" Target="http://data.europa.eu/eli/reg/2018/302/oj" TargetMode="External"/><Relationship Id="rId1" Type="http://schemas.openxmlformats.org/officeDocument/2006/relationships/hyperlink" Target="http://data.europa.eu/eli/reg/2024/2747/oj" TargetMode="External"/><Relationship Id="rId6" Type="http://schemas.openxmlformats.org/officeDocument/2006/relationships/hyperlink" Target="http://data.europa.eu/eli/reg/2024/1689/oj" TargetMode="External"/><Relationship Id="rId5" Type="http://schemas.openxmlformats.org/officeDocument/2006/relationships/hyperlink" Target="http://data.europa.eu/eli/reg/2022/2065/oj" TargetMode="External"/><Relationship Id="rId4" Type="http://schemas.openxmlformats.org/officeDocument/2006/relationships/hyperlink" Target="http://data.europa.eu/eli/reg/2022/192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72BDEC-5CE1-4462-A3CF-7FEBDC7CD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3200</Words>
  <Characters>20901</Characters>
  <Application>Microsoft Office Word</Application>
  <DocSecurity>0</DocSecurity>
  <Lines>908</Lines>
  <Paragraphs>259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WOJCIECHOWSKA Joanna</cp:lastModifiedBy>
  <cp:revision>2</cp:revision>
  <cp:lastPrinted>2004-11-19T15:42:00Z</cp:lastPrinted>
  <dcterms:created xsi:type="dcterms:W3CDTF">2025-06-04T09:35:00Z</dcterms:created>
  <dcterms:modified xsi:type="dcterms:W3CDTF">2025-06-04T09:35:00Z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B10-0246/2025</vt:lpwstr>
  </property>
  <property fmtid="{D5CDD505-2E9C-101B-9397-08002B2CF9AE}" pid="4" name="&lt;Type&gt;">
    <vt:lpwstr>RR</vt:lpwstr>
  </property>
</Properties>
</file>