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5841" w14:paraId="26AF02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7BCBA7" w14:textId="77777777" w:rsidR="00751A4A" w:rsidRPr="00265841" w:rsidRDefault="00BA6726" w:rsidP="0010095E">
            <w:pPr>
              <w:pStyle w:val="EPName"/>
            </w:pPr>
            <w:r w:rsidRPr="00265841">
              <w:t>Parlamento Europeu</w:t>
            </w:r>
          </w:p>
          <w:p w14:paraId="7340AE0A" w14:textId="77777777" w:rsidR="00751A4A" w:rsidRPr="002658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5841">
              <w:t>2024</w:t>
            </w:r>
            <w:r w:rsidR="00817416" w:rsidRPr="00265841">
              <w:t>-202</w:t>
            </w:r>
            <w:r w:rsidRPr="00265841">
              <w:t>9</w:t>
            </w:r>
          </w:p>
        </w:tc>
        <w:tc>
          <w:tcPr>
            <w:tcW w:w="2268" w:type="dxa"/>
            <w:shd w:val="clear" w:color="auto" w:fill="auto"/>
          </w:tcPr>
          <w:p w14:paraId="1361B6D0" w14:textId="77777777" w:rsidR="00751A4A" w:rsidRPr="00265841" w:rsidRDefault="00187494" w:rsidP="0010095E">
            <w:pPr>
              <w:pStyle w:val="EPLogo"/>
            </w:pPr>
            <w:r w:rsidRPr="00265841">
              <w:rPr>
                <w:noProof/>
                <w:lang w:val="en-GB"/>
              </w:rPr>
              <w:drawing>
                <wp:inline distT="0" distB="0" distL="0" distR="0" wp14:anchorId="3C9924F4" wp14:editId="5A2B7B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08B07A" w14:textId="77777777" w:rsidR="00D058B8" w:rsidRPr="00265841" w:rsidRDefault="00D058B8" w:rsidP="004C5D52">
      <w:pPr>
        <w:pStyle w:val="LineTop"/>
      </w:pPr>
    </w:p>
    <w:p w14:paraId="1F670B6B" w14:textId="77777777" w:rsidR="00680577" w:rsidRPr="00265841" w:rsidRDefault="00BA6726" w:rsidP="00680577">
      <w:pPr>
        <w:pStyle w:val="EPBodyTA1"/>
      </w:pPr>
      <w:r w:rsidRPr="00265841">
        <w:t>TEXTOS APROVADOS</w:t>
      </w:r>
    </w:p>
    <w:p w14:paraId="4F2DCC35" w14:textId="77777777" w:rsidR="00D058B8" w:rsidRPr="00265841" w:rsidRDefault="00D058B8" w:rsidP="00D058B8">
      <w:pPr>
        <w:pStyle w:val="LineBottom"/>
      </w:pPr>
    </w:p>
    <w:p w14:paraId="2AFFD9E8" w14:textId="77777777" w:rsidR="00BA6726" w:rsidRPr="00265841" w:rsidRDefault="00BA6726" w:rsidP="00BA6726">
      <w:pPr>
        <w:pStyle w:val="ATHeading1"/>
      </w:pPr>
      <w:bookmarkStart w:id="0" w:name="TANumber"/>
      <w:r w:rsidRPr="00265841">
        <w:t>P10_TA(2025)</w:t>
      </w:r>
      <w:bookmarkEnd w:id="0"/>
      <w:r w:rsidR="00A41A97" w:rsidRPr="00265841">
        <w:t>0</w:t>
      </w:r>
      <w:r w:rsidR="005C74A0" w:rsidRPr="00265841">
        <w:t>107</w:t>
      </w:r>
    </w:p>
    <w:p w14:paraId="34576C27" w14:textId="77777777" w:rsidR="00BA6726" w:rsidRPr="00265841" w:rsidRDefault="00AF2930" w:rsidP="00BA6726">
      <w:pPr>
        <w:pStyle w:val="ATHeading2"/>
      </w:pPr>
      <w:r w:rsidRPr="00265841">
        <w:t>Desafios antigos e novas práticas comerciais no mercado interno</w:t>
      </w:r>
    </w:p>
    <w:p w14:paraId="18DCE9F7" w14:textId="77777777" w:rsidR="00BA6726" w:rsidRPr="00265841" w:rsidRDefault="00BA6726" w:rsidP="00BA6726">
      <w:pPr>
        <w:rPr>
          <w:i/>
          <w:vanish/>
        </w:rPr>
      </w:pPr>
      <w:r w:rsidRPr="00265841">
        <w:rPr>
          <w:i/>
        </w:rPr>
        <w:fldChar w:fldCharType="begin"/>
      </w:r>
      <w:r w:rsidRPr="00265841">
        <w:rPr>
          <w:i/>
        </w:rPr>
        <w:instrText xml:space="preserve"> TC"(</w:instrText>
      </w:r>
      <w:bookmarkStart w:id="1" w:name="DocNumber"/>
      <w:r w:rsidRPr="00265841">
        <w:rPr>
          <w:i/>
        </w:rPr>
        <w:instrText>B10-0246/2025</w:instrText>
      </w:r>
      <w:bookmarkEnd w:id="1"/>
      <w:r w:rsidRPr="00265841">
        <w:rPr>
          <w:i/>
        </w:rPr>
        <w:instrText xml:space="preserve">)"\l3 \n&gt; \* MERGEFORMAT </w:instrText>
      </w:r>
      <w:r w:rsidRPr="00265841">
        <w:rPr>
          <w:i/>
        </w:rPr>
        <w:fldChar w:fldCharType="end"/>
      </w:r>
    </w:p>
    <w:p w14:paraId="6E085B61" w14:textId="77777777" w:rsidR="00BA6726" w:rsidRPr="00265841" w:rsidRDefault="00BA6726" w:rsidP="00BA6726">
      <w:pPr>
        <w:rPr>
          <w:vanish/>
        </w:rPr>
      </w:pPr>
      <w:bookmarkStart w:id="2" w:name="PE"/>
      <w:r w:rsidRPr="00265841">
        <w:rPr>
          <w:vanish/>
        </w:rPr>
        <w:t>PE772.165</w:t>
      </w:r>
      <w:bookmarkEnd w:id="2"/>
    </w:p>
    <w:p w14:paraId="51A69059" w14:textId="77777777" w:rsidR="00BA6726" w:rsidRPr="00265841" w:rsidRDefault="00BA6726" w:rsidP="00BA6726">
      <w:pPr>
        <w:pStyle w:val="ATHeading3"/>
      </w:pPr>
      <w:bookmarkStart w:id="3" w:name="Sujet"/>
      <w:r w:rsidRPr="00265841">
        <w:t xml:space="preserve">Resolução do Parlamento Europeu, de </w:t>
      </w:r>
      <w:r w:rsidR="005E22B8" w:rsidRPr="00265841">
        <w:t xml:space="preserve">8 </w:t>
      </w:r>
      <w:r w:rsidRPr="00265841">
        <w:t xml:space="preserve">de </w:t>
      </w:r>
      <w:r w:rsidR="005E22B8" w:rsidRPr="00265841">
        <w:t xml:space="preserve">maio </w:t>
      </w:r>
      <w:r w:rsidRPr="00265841">
        <w:t>de 2025, sobre desafios antigos e novas práticas comerciais no mercado interno</w:t>
      </w:r>
      <w:bookmarkEnd w:id="3"/>
      <w:r w:rsidRPr="00265841">
        <w:t xml:space="preserve"> </w:t>
      </w:r>
      <w:bookmarkStart w:id="4" w:name="References"/>
      <w:r w:rsidRPr="00265841">
        <w:t>(2025/2542(RSP))</w:t>
      </w:r>
      <w:bookmarkEnd w:id="4"/>
    </w:p>
    <w:p w14:paraId="7DFC86C3" w14:textId="77777777" w:rsidR="009A13D0" w:rsidRPr="00265841" w:rsidRDefault="009A13D0" w:rsidP="009A13D0">
      <w:pPr>
        <w:pStyle w:val="EPComma"/>
      </w:pPr>
      <w:bookmarkStart w:id="5" w:name="TextBodyBegin"/>
      <w:bookmarkEnd w:id="5"/>
      <w:r w:rsidRPr="00265841">
        <w:rPr>
          <w:i/>
          <w:iCs/>
        </w:rPr>
        <w:t>O Parlamento Europeu</w:t>
      </w:r>
      <w:r w:rsidRPr="00265841">
        <w:t>,</w:t>
      </w:r>
    </w:p>
    <w:p w14:paraId="5BCADE46" w14:textId="77777777" w:rsidR="009A13D0" w:rsidRPr="00265841" w:rsidRDefault="009A13D0" w:rsidP="009A13D0">
      <w:pPr>
        <w:pStyle w:val="NormalHanging12a"/>
      </w:pPr>
      <w:r w:rsidRPr="00265841">
        <w:t>–</w:t>
      </w:r>
      <w:r w:rsidRPr="00265841">
        <w:tab/>
        <w:t>Tendo em conta a sua Resolução, de 18 de janeiro de 2023, sobre o 30.º aniversário do mercado único: celebrar as conquistas e planear o futuro</w:t>
      </w:r>
      <w:r w:rsidRPr="00265841">
        <w:rPr>
          <w:rStyle w:val="FootnoteReference"/>
        </w:rPr>
        <w:footnoteReference w:id="1"/>
      </w:r>
      <w:r w:rsidRPr="00265841">
        <w:t>,</w:t>
      </w:r>
    </w:p>
    <w:p w14:paraId="10BE11F4" w14:textId="77777777" w:rsidR="009A13D0" w:rsidRPr="00265841" w:rsidRDefault="009A13D0" w:rsidP="009A13D0">
      <w:pPr>
        <w:pStyle w:val="NormalHanging12a"/>
      </w:pPr>
      <w:r w:rsidRPr="00265841">
        <w:t>–</w:t>
      </w:r>
      <w:r w:rsidRPr="00265841">
        <w:tab/>
        <w:t xml:space="preserve">Tendo em conta o relatório de Enrico </w:t>
      </w:r>
      <w:proofErr w:type="spellStart"/>
      <w:r w:rsidRPr="00265841">
        <w:t>Letta</w:t>
      </w:r>
      <w:proofErr w:type="spellEnd"/>
      <w:r w:rsidRPr="00265841">
        <w:t>, de 17 de abril de 2024, intitulado «</w:t>
      </w:r>
      <w:proofErr w:type="spellStart"/>
      <w:r w:rsidRPr="00265841">
        <w:t>Much</w:t>
      </w:r>
      <w:proofErr w:type="spellEnd"/>
      <w:r w:rsidRPr="00265841">
        <w:t xml:space="preserve"> more </w:t>
      </w:r>
      <w:proofErr w:type="spellStart"/>
      <w:r w:rsidRPr="00265841">
        <w:t>than</w:t>
      </w:r>
      <w:proofErr w:type="spellEnd"/>
      <w:r w:rsidRPr="00265841">
        <w:t xml:space="preserve"> a </w:t>
      </w:r>
      <w:proofErr w:type="spellStart"/>
      <w:r w:rsidRPr="00265841">
        <w:t>market</w:t>
      </w:r>
      <w:proofErr w:type="spellEnd"/>
      <w:r w:rsidRPr="00265841">
        <w:t xml:space="preserve">» [Muito mais do que um mercado] (Relatório </w:t>
      </w:r>
      <w:proofErr w:type="spellStart"/>
      <w:r w:rsidRPr="00265841">
        <w:t>Letta</w:t>
      </w:r>
      <w:proofErr w:type="spellEnd"/>
      <w:r w:rsidRPr="00265841">
        <w:t>),</w:t>
      </w:r>
    </w:p>
    <w:p w14:paraId="66C36E0B" w14:textId="77777777" w:rsidR="009A13D0" w:rsidRPr="00265841" w:rsidRDefault="009A13D0" w:rsidP="009A13D0">
      <w:pPr>
        <w:pStyle w:val="NormalHanging12a"/>
      </w:pPr>
      <w:r w:rsidRPr="00265841">
        <w:t>–</w:t>
      </w:r>
      <w:r w:rsidRPr="00265841">
        <w:tab/>
        <w:t xml:space="preserve">Tendo em conta o relatório de Mario </w:t>
      </w:r>
      <w:proofErr w:type="spellStart"/>
      <w:r w:rsidRPr="00265841">
        <w:t>Draghi</w:t>
      </w:r>
      <w:proofErr w:type="spellEnd"/>
      <w:r w:rsidRPr="00265841">
        <w:t xml:space="preserve">, de 9 de setembro de 2024, intitulado «The future </w:t>
      </w:r>
      <w:proofErr w:type="spellStart"/>
      <w:r w:rsidRPr="00265841">
        <w:t>of</w:t>
      </w:r>
      <w:proofErr w:type="spellEnd"/>
      <w:r w:rsidRPr="00265841">
        <w:t xml:space="preserve"> </w:t>
      </w:r>
      <w:proofErr w:type="spellStart"/>
      <w:r w:rsidRPr="00265841">
        <w:t>European</w:t>
      </w:r>
      <w:proofErr w:type="spellEnd"/>
      <w:r w:rsidRPr="00265841">
        <w:t xml:space="preserve"> </w:t>
      </w:r>
      <w:proofErr w:type="spellStart"/>
      <w:r w:rsidRPr="00265841">
        <w:t>competitiveness</w:t>
      </w:r>
      <w:proofErr w:type="spellEnd"/>
      <w:r w:rsidRPr="00265841">
        <w:t xml:space="preserve">» [O futuro da competitividade europeia] (Relatório </w:t>
      </w:r>
      <w:proofErr w:type="spellStart"/>
      <w:r w:rsidRPr="00265841">
        <w:t>Draghi</w:t>
      </w:r>
      <w:proofErr w:type="spellEnd"/>
      <w:r w:rsidRPr="00265841">
        <w:t>),</w:t>
      </w:r>
    </w:p>
    <w:p w14:paraId="726182DF" w14:textId="77777777" w:rsidR="009A13D0" w:rsidRPr="00265841" w:rsidRDefault="009A13D0" w:rsidP="009A13D0">
      <w:pPr>
        <w:pStyle w:val="NormalHanging12a"/>
      </w:pPr>
      <w:r w:rsidRPr="00265841">
        <w:t>–</w:t>
      </w:r>
      <w:r w:rsidRPr="00265841">
        <w:tab/>
        <w:t>Tendo em conta a Comunicação da Comissão, de 29 de janeiro de 2025, intitulada «Relatório anual de 2025 sobre o mercado único e a competitividade» (COM(2025)0026),</w:t>
      </w:r>
    </w:p>
    <w:p w14:paraId="21E68DEA" w14:textId="77777777" w:rsidR="009A13D0" w:rsidRPr="00265841" w:rsidRDefault="009A13D0" w:rsidP="009A13D0">
      <w:pPr>
        <w:pStyle w:val="NormalHanging12a"/>
      </w:pPr>
      <w:r w:rsidRPr="00265841">
        <w:t>–</w:t>
      </w:r>
      <w:r w:rsidRPr="00265841">
        <w:tab/>
        <w:t>Tendo em conta a Comunicação da Comissão, de 29 de janeiro de 2025, intitulada «Uma Bússola para a Competitividade da UE» (COM(2025)0030),</w:t>
      </w:r>
    </w:p>
    <w:p w14:paraId="24DF08E0" w14:textId="77777777" w:rsidR="009A13D0" w:rsidRPr="00265841" w:rsidRDefault="009A13D0" w:rsidP="009A13D0">
      <w:pPr>
        <w:pStyle w:val="NormalHanging12a"/>
      </w:pPr>
      <w:r w:rsidRPr="00265841">
        <w:t>–</w:t>
      </w:r>
      <w:r w:rsidRPr="00265841">
        <w:tab/>
        <w:t>Tendo em conta a Comunicação da Comissão de 11 de fevereiro de 2025, intitulada «Uma Europa mais simples e mais rápida: comunicação sobre simplificação e execução» (COM(2025)0047),</w:t>
      </w:r>
    </w:p>
    <w:p w14:paraId="1B643C10" w14:textId="77777777" w:rsidR="009A13D0" w:rsidRPr="00265841" w:rsidRDefault="009A13D0" w:rsidP="009A13D0">
      <w:pPr>
        <w:pStyle w:val="NormalHanging12a"/>
      </w:pPr>
      <w:r w:rsidRPr="00265841">
        <w:t>–</w:t>
      </w:r>
      <w:r w:rsidRPr="00265841">
        <w:tab/>
        <w:t>Tendo em conta a pergunta à Comissão sobre desafios antigos e novas práticas comerciais no mercado interno (O</w:t>
      </w:r>
      <w:r w:rsidRPr="00265841">
        <w:noBreakHyphen/>
        <w:t>000012/2025 – B10</w:t>
      </w:r>
      <w:r w:rsidRPr="00265841">
        <w:noBreakHyphen/>
        <w:t>0264/2025),</w:t>
      </w:r>
    </w:p>
    <w:p w14:paraId="6F60FE9D" w14:textId="77777777" w:rsidR="009A13D0" w:rsidRPr="00265841" w:rsidRDefault="009A13D0" w:rsidP="009A13D0">
      <w:pPr>
        <w:pStyle w:val="NormalHanging12a"/>
      </w:pPr>
      <w:r w:rsidRPr="00265841">
        <w:t>–</w:t>
      </w:r>
      <w:r w:rsidRPr="00265841">
        <w:tab/>
        <w:t>Tendo em conta o artigo 142.º, n.º 5, e o artigo 136.º, n.º 2, do seu Regimento,</w:t>
      </w:r>
    </w:p>
    <w:p w14:paraId="7714ADD7" w14:textId="77777777" w:rsidR="009A13D0" w:rsidRPr="00265841" w:rsidRDefault="009A13D0" w:rsidP="009A13D0">
      <w:pPr>
        <w:pStyle w:val="NormalHanging12a"/>
      </w:pPr>
      <w:r w:rsidRPr="00265841">
        <w:t>A.</w:t>
      </w:r>
      <w:r w:rsidRPr="00265841">
        <w:tab/>
        <w:t>Considerando que a capacidade da União Europeia para competir e prosperar na economia mundial é vital, especialmente no contexto dos atuais desafios geopolíticos e das crises climáticas e outras crises ambientais</w:t>
      </w:r>
      <w:r w:rsidR="005E22B8" w:rsidRPr="00265841">
        <w:t>; considerando que</w:t>
      </w:r>
      <w:r w:rsidRPr="00265841">
        <w:t xml:space="preserve"> a sua competitividade atual, a médio e longo prazo, assenta num mercado único plenamente integrado e eficiente, que permita às empresas europeias inovar e prosperar e dê prioridade à </w:t>
      </w:r>
      <w:r w:rsidRPr="00265841">
        <w:lastRenderedPageBreak/>
        <w:t>redução dos encargos administrativos;</w:t>
      </w:r>
    </w:p>
    <w:p w14:paraId="6F5E0504" w14:textId="77777777" w:rsidR="009A13D0" w:rsidRPr="00265841" w:rsidRDefault="009A13D0" w:rsidP="009A13D0">
      <w:pPr>
        <w:pStyle w:val="NormalHanging12a"/>
      </w:pPr>
      <w:r w:rsidRPr="00265841">
        <w:t>B.</w:t>
      </w:r>
      <w:r w:rsidRPr="00265841">
        <w:tab/>
        <w:t>Considerando que o mercado único, composto por quase 450 milhões de cidadãos e 23 milhões de empresas, gera um produto interno bruto (PIB) de 17 biliões de EUR, posicionando a UE entre as três maiores economias do mundo e contribuindo com cerca de um sexto da produção económica mundial;</w:t>
      </w:r>
    </w:p>
    <w:p w14:paraId="04F36AA9" w14:textId="77777777" w:rsidR="009A13D0" w:rsidRPr="00265841" w:rsidRDefault="009A13D0" w:rsidP="009A13D0">
      <w:pPr>
        <w:pStyle w:val="NormalHanging12a"/>
      </w:pPr>
      <w:r w:rsidRPr="00265841">
        <w:t>C.</w:t>
      </w:r>
      <w:r w:rsidRPr="00265841">
        <w:tab/>
        <w:t xml:space="preserve">Considerando que o Relatório </w:t>
      </w:r>
      <w:proofErr w:type="spellStart"/>
      <w:r w:rsidRPr="00265841">
        <w:t>Draghi</w:t>
      </w:r>
      <w:proofErr w:type="spellEnd"/>
      <w:r w:rsidRPr="00265841">
        <w:t xml:space="preserve"> demonstrou que os custos de conformidade resultantes de vários atos legislativos continuam a ser muito elevados para as empresas europeias, prejudicando, assim, a capacidade de inovação europeia;</w:t>
      </w:r>
    </w:p>
    <w:p w14:paraId="094F80C8" w14:textId="77777777" w:rsidR="009A13D0" w:rsidRPr="00265841" w:rsidRDefault="009A13D0" w:rsidP="009A13D0">
      <w:pPr>
        <w:pStyle w:val="NormalHanging12a"/>
      </w:pPr>
      <w:r w:rsidRPr="00265841">
        <w:t>D.</w:t>
      </w:r>
      <w:r w:rsidRPr="00265841">
        <w:tab/>
        <w:t>Considerando que continua a ser crucial melhorar o funcionamento do mercado único, combatendo a fragmentação existente através de políticas comuns e harmonizadas da UE, de uma aplicação e execução mais eficientes e da simplificação das regras da UE</w:t>
      </w:r>
      <w:r w:rsidR="005E22B8" w:rsidRPr="00265841">
        <w:t>; considerando que</w:t>
      </w:r>
      <w:r w:rsidRPr="00265841">
        <w:t xml:space="preserve"> a redução dos encargos e custos administrativos </w:t>
      </w:r>
      <w:r w:rsidR="005E22B8" w:rsidRPr="00265841">
        <w:t xml:space="preserve">– </w:t>
      </w:r>
      <w:r w:rsidRPr="00265841">
        <w:t xml:space="preserve">especialmente para as pequenas e médias empresas (PME) </w:t>
      </w:r>
      <w:r w:rsidR="005E22B8" w:rsidRPr="00265841">
        <w:t xml:space="preserve">– </w:t>
      </w:r>
      <w:r w:rsidRPr="00265841">
        <w:t>pode ajudar a promover a inovação e apoiar as empresas europeias</w:t>
      </w:r>
      <w:r w:rsidR="005E22B8" w:rsidRPr="00265841">
        <w:t>; considerando que</w:t>
      </w:r>
      <w:r w:rsidRPr="00265841">
        <w:t xml:space="preserve"> a realização de todo o potencial do mercado único exige a superação dos obstáculos que existem à livre circulação de bens e serviços;</w:t>
      </w:r>
    </w:p>
    <w:p w14:paraId="4A0C32A7" w14:textId="77777777" w:rsidR="009A13D0" w:rsidRPr="00265841" w:rsidRDefault="009A13D0" w:rsidP="009A13D0">
      <w:pPr>
        <w:pStyle w:val="NormalHanging12a"/>
      </w:pPr>
      <w:r w:rsidRPr="00265841">
        <w:t>E.</w:t>
      </w:r>
      <w:r w:rsidRPr="00265841">
        <w:tab/>
        <w:t>Considerando que a rápida expansão das plataformas digitais e do comércio eletrónico introduziu novas dinâmicas de mercado e que a evolução das tendências no comércio eletrónico mundial está a exercer uma pressão adicional sobre os controlos aduaneiros, a fiscalização do mercado e as autoridades de proteção dos consumidores;</w:t>
      </w:r>
    </w:p>
    <w:p w14:paraId="50FFFAC5" w14:textId="77777777" w:rsidR="009A13D0" w:rsidRPr="00265841" w:rsidRDefault="009A13D0" w:rsidP="009A13D0">
      <w:pPr>
        <w:pStyle w:val="NormalHanging12a"/>
      </w:pPr>
      <w:r w:rsidRPr="00265841">
        <w:t>F.</w:t>
      </w:r>
      <w:r w:rsidRPr="00265841">
        <w:tab/>
        <w:t>Considerando que as mudanças geopolíticas e as transformações económicas mundiais estão a reconfigurar as cadeias de abastecimento, exigindo que a UE adapte as suas políticas do mercado único</w:t>
      </w:r>
      <w:r w:rsidR="005E22B8" w:rsidRPr="00265841">
        <w:t>; considerando que</w:t>
      </w:r>
      <w:r w:rsidRPr="00265841">
        <w:t xml:space="preserve"> a UE estabeleceu as mais elevadas normas em matéria de segurança dos produtos e de proteção dos consumidores, tanto em linha como fora de linha;</w:t>
      </w:r>
    </w:p>
    <w:p w14:paraId="07444A10" w14:textId="77777777" w:rsidR="009A13D0" w:rsidRPr="00265841" w:rsidRDefault="009A13D0" w:rsidP="009A13D0">
      <w:pPr>
        <w:pStyle w:val="NormalHanging12a"/>
      </w:pPr>
      <w:r w:rsidRPr="00265841">
        <w:t>G.</w:t>
      </w:r>
      <w:r w:rsidRPr="00265841">
        <w:tab/>
        <w:t>Considerando que tem vindo a ser chamada a atenção para um número crescente de casos registados em toda a UE em que os bens e serviços oferecem uma quantidade ou qualidade reduzida, apesar de os preços estarem estáveis ou a aumentar;</w:t>
      </w:r>
    </w:p>
    <w:p w14:paraId="61D9E9E7" w14:textId="77777777" w:rsidR="009A13D0" w:rsidRPr="00265841" w:rsidRDefault="009A13D0" w:rsidP="009A13D0">
      <w:pPr>
        <w:pStyle w:val="NormalHanging12a"/>
        <w:rPr>
          <w:b/>
          <w:i/>
          <w:iCs/>
        </w:rPr>
      </w:pPr>
      <w:r w:rsidRPr="00265841">
        <w:rPr>
          <w:b/>
          <w:i/>
        </w:rPr>
        <w:t>Desafios antigos e persistentes</w:t>
      </w:r>
    </w:p>
    <w:p w14:paraId="7FEF358E" w14:textId="77777777" w:rsidR="009A13D0" w:rsidRPr="00265841" w:rsidRDefault="009A13D0" w:rsidP="009A13D0">
      <w:pPr>
        <w:pStyle w:val="NormalHanging12a"/>
      </w:pPr>
      <w:r w:rsidRPr="00265841">
        <w:t>1.</w:t>
      </w:r>
      <w:r w:rsidRPr="00265841">
        <w:tab/>
        <w:t>Reafirma que o mercado único tem sido uma pedra angular da integração económica europeia, permitindo a livre circulação de bens, serviços, capitais e pessoas; salienta, no entanto, que existem desafios de longa data e emergentes que exigem reformas ambiciosas sem prejudicar a competitividade europeia ou impor encargos administrativos desnecessários às empresas; insta a Comissão e os Estados</w:t>
      </w:r>
      <w:r w:rsidRPr="00265841">
        <w:noBreakHyphen/>
        <w:t>Membros a acelerarem os esforços para executarem essas reformas e a eliminarem os obstáculos injustificados ainda existentes à livre circulação de bens e serviços, assegurando simultaneamente um elevado nível de proteção dos consumidores;</w:t>
      </w:r>
    </w:p>
    <w:p w14:paraId="16E68558" w14:textId="77777777" w:rsidR="009A13D0" w:rsidRPr="00265841" w:rsidRDefault="009A13D0" w:rsidP="009A13D0">
      <w:pPr>
        <w:pStyle w:val="NormalHanging12a"/>
      </w:pPr>
      <w:r w:rsidRPr="00265841">
        <w:t>2.</w:t>
      </w:r>
      <w:r w:rsidRPr="00265841">
        <w:tab/>
        <w:t>Insta a Comissão e os Estados</w:t>
      </w:r>
      <w:r w:rsidRPr="00265841">
        <w:noBreakHyphen/>
        <w:t>Membros a manterem uma forte proteção dos consumidores, prevendo simultaneamente regras de concorrência favoráveis à inovação, preparadas para o futuro e proporcionadas; salienta a necessidade de garantir a segurança jurídica e a coerência e de minimizar a complexidade e fragmentação regulamentares, que podem afetar desproporcionadamente as PME, as empresas em fase de arranque e as empresas em expansão;</w:t>
      </w:r>
    </w:p>
    <w:p w14:paraId="24964515" w14:textId="5F81AA18" w:rsidR="00C916B7" w:rsidRPr="00265841" w:rsidRDefault="00DD5DB3" w:rsidP="009A13D0">
      <w:pPr>
        <w:pStyle w:val="NormalHanging12a"/>
      </w:pPr>
      <w:r w:rsidRPr="00265841">
        <w:lastRenderedPageBreak/>
        <w:t>3.</w:t>
      </w:r>
      <w:r w:rsidR="00C916B7" w:rsidRPr="00265841">
        <w:tab/>
        <w:t xml:space="preserve">Salienta que os obstáculos </w:t>
      </w:r>
      <w:r w:rsidR="00265841" w:rsidRPr="00265841">
        <w:t xml:space="preserve">em curso </w:t>
      </w:r>
      <w:r w:rsidR="00C916B7" w:rsidRPr="00265841">
        <w:t xml:space="preserve">e </w:t>
      </w:r>
      <w:r w:rsidR="00863996" w:rsidRPr="00265841">
        <w:t xml:space="preserve">a regulamentação </w:t>
      </w:r>
      <w:r w:rsidR="00C916B7" w:rsidRPr="00265841">
        <w:t xml:space="preserve">condicionaram o desenvolvimento do mercado único, conforme referido no relatório </w:t>
      </w:r>
      <w:proofErr w:type="spellStart"/>
      <w:r w:rsidR="00C916B7" w:rsidRPr="00265841">
        <w:t>Draghi</w:t>
      </w:r>
      <w:proofErr w:type="spellEnd"/>
      <w:r w:rsidR="00C916B7" w:rsidRPr="00265841">
        <w:t>; apela a uma transição para uma abordagem regulamentar que permita às empresas crescer, inovar e liderar a nível internacional, permitindo assim que o mercado único volte a ser um verdadeiro motor de crescimento e competitividade;</w:t>
      </w:r>
    </w:p>
    <w:p w14:paraId="33E4EE60" w14:textId="06FCC896" w:rsidR="009A13D0" w:rsidRPr="00265841" w:rsidRDefault="00DD5DB3" w:rsidP="009A13D0">
      <w:pPr>
        <w:pStyle w:val="NormalHanging12a"/>
      </w:pPr>
      <w:r w:rsidRPr="00265841">
        <w:t>4</w:t>
      </w:r>
      <w:r w:rsidR="009A13D0" w:rsidRPr="00265841">
        <w:t>.</w:t>
      </w:r>
      <w:r w:rsidR="009A13D0" w:rsidRPr="00265841">
        <w:tab/>
        <w:t>Insta a Comissão a assegurar que as futuras iniciativas legislativas se orientem de forma coerente pelas prioridades estratégicas delineadas na sua estratégia de comunicação e competitividade;</w:t>
      </w:r>
    </w:p>
    <w:p w14:paraId="7099B81B" w14:textId="2AA7CA22" w:rsidR="009A13D0" w:rsidRPr="00265841" w:rsidRDefault="00DD5DB3" w:rsidP="009A13D0">
      <w:pPr>
        <w:pStyle w:val="NormalHanging12a"/>
      </w:pPr>
      <w:r w:rsidRPr="00265841">
        <w:t>5</w:t>
      </w:r>
      <w:r w:rsidR="009A13D0" w:rsidRPr="00265841">
        <w:t>.</w:t>
      </w:r>
      <w:r w:rsidR="009A13D0" w:rsidRPr="00265841">
        <w:tab/>
        <w:t xml:space="preserve">Sublinha que, tal como demonstrado pelo Relatório </w:t>
      </w:r>
      <w:proofErr w:type="spellStart"/>
      <w:r w:rsidR="009A13D0" w:rsidRPr="00265841">
        <w:t>Letta</w:t>
      </w:r>
      <w:proofErr w:type="spellEnd"/>
      <w:r w:rsidR="009A13D0" w:rsidRPr="00265841">
        <w:t xml:space="preserve"> e pelo Relatório </w:t>
      </w:r>
      <w:proofErr w:type="spellStart"/>
      <w:r w:rsidR="009A13D0" w:rsidRPr="00265841">
        <w:t>Draghi</w:t>
      </w:r>
      <w:proofErr w:type="spellEnd"/>
      <w:r w:rsidR="009A13D0" w:rsidRPr="00265841">
        <w:t>, ainda existe potencial por explorar no setor dos serviços; apela a novas medidas neste setor para fazer face aos obstáculos significativos que persistem, começando pela fixação de objetivos ambiciosos na futura estratégia para o mercado único; observa que os serviços constituem três quartos do PIB da UE, representam dois terços do emprego e criam 9 dos 10 novos postos de trabalho na economia da UE; observa, no entanto, que os serviços continuam a ser o segmento menos desenvolvido do mercado único da UE;</w:t>
      </w:r>
    </w:p>
    <w:p w14:paraId="5438DED7" w14:textId="135495FF" w:rsidR="009A13D0" w:rsidRPr="00265841" w:rsidRDefault="00DD5DB3" w:rsidP="009A13D0">
      <w:pPr>
        <w:pStyle w:val="NormalHanging12a"/>
      </w:pPr>
      <w:r w:rsidRPr="00265841">
        <w:t>6</w:t>
      </w:r>
      <w:r w:rsidR="009A13D0" w:rsidRPr="00265841">
        <w:t>.</w:t>
      </w:r>
      <w:r w:rsidR="009A13D0" w:rsidRPr="00265841">
        <w:tab/>
        <w:t>Congratula</w:t>
      </w:r>
      <w:r w:rsidR="009A13D0" w:rsidRPr="00265841">
        <w:noBreakHyphen/>
        <w:t>se com a proposta de regulamento relativo a uma interface pública ligada ao Sistema de Informação do Mercado Interno para a declaração de destacamento de trabalhadores e que altera o Regulamento (UE) n.º 1024/2012 (</w:t>
      </w:r>
      <w:r w:rsidR="009A13D0" w:rsidRPr="00265841">
        <w:rPr>
          <w:shd w:val="clear" w:color="auto" w:fill="FFFFFF"/>
        </w:rPr>
        <w:t>COM</w:t>
      </w:r>
      <w:r w:rsidR="00A41A97" w:rsidRPr="00265841">
        <w:rPr>
          <w:shd w:val="clear" w:color="auto" w:fill="FFFFFF"/>
        </w:rPr>
        <w:t>(</w:t>
      </w:r>
      <w:r w:rsidR="009A13D0" w:rsidRPr="00265841">
        <w:rPr>
          <w:shd w:val="clear" w:color="auto" w:fill="FFFFFF"/>
        </w:rPr>
        <w:t>2024</w:t>
      </w:r>
      <w:r w:rsidR="00A41A97" w:rsidRPr="00265841">
        <w:rPr>
          <w:shd w:val="clear" w:color="auto" w:fill="FFFFFF"/>
        </w:rPr>
        <w:t>)</w:t>
      </w:r>
      <w:r w:rsidR="007D072B">
        <w:rPr>
          <w:shd w:val="clear" w:color="auto" w:fill="FFFFFF"/>
        </w:rPr>
        <w:t>0</w:t>
      </w:r>
      <w:r w:rsidR="009A13D0" w:rsidRPr="00265841">
        <w:rPr>
          <w:shd w:val="clear" w:color="auto" w:fill="FFFFFF"/>
        </w:rPr>
        <w:t>531</w:t>
      </w:r>
      <w:r w:rsidR="009A13D0" w:rsidRPr="00265841">
        <w:t>), que deverá conduzir à simplificação e ao reforço da aplicação; observa também que a digitalização pode reduzir significativamente os encargos administrativos dos serviços transfronteiras e assegurar um melhor acesso das empresas e dos consumidores; solicita, a este respeito, um portal único de declaração e a digitalização dos formulários A1 para os serviços transfronteiriços;</w:t>
      </w:r>
    </w:p>
    <w:p w14:paraId="24C9C1D6" w14:textId="292649DF" w:rsidR="009A13D0" w:rsidRPr="00265841" w:rsidRDefault="00DD5DB3" w:rsidP="009A13D0">
      <w:pPr>
        <w:pStyle w:val="NormalHanging12a"/>
      </w:pPr>
      <w:r w:rsidRPr="00265841">
        <w:t>7</w:t>
      </w:r>
      <w:r w:rsidR="009A13D0" w:rsidRPr="00265841">
        <w:t>.</w:t>
      </w:r>
      <w:r w:rsidR="009A13D0" w:rsidRPr="00265841">
        <w:tab/>
        <w:t>Salienta a importância do reconhecimento efetivo das qualificações profissionais e da eliminação dos obstáculos injustificados à livre circulação de profissionais, a fim de tornar os serviços profissionais da UE globalmente competitivos nas próximas décadas; incentiva a Comissão a manter a sua atitude vigilante, instaurando processos por infração sempre que os Estados</w:t>
      </w:r>
      <w:r w:rsidR="009A13D0" w:rsidRPr="00265841">
        <w:noBreakHyphen/>
        <w:t>Membros não cumpram a legislação da UE relativa ao reconhecimento das qualificações;</w:t>
      </w:r>
    </w:p>
    <w:p w14:paraId="6B1DFF83" w14:textId="3CECA969" w:rsidR="009A13D0" w:rsidRPr="00265841" w:rsidRDefault="00DD5DB3" w:rsidP="009A13D0">
      <w:pPr>
        <w:pStyle w:val="NormalHanging12a"/>
      </w:pPr>
      <w:r w:rsidRPr="00265841">
        <w:t>8</w:t>
      </w:r>
      <w:r w:rsidR="009A13D0" w:rsidRPr="00265841">
        <w:t>.</w:t>
      </w:r>
      <w:r w:rsidR="009A13D0" w:rsidRPr="00265841">
        <w:tab/>
        <w:t>Salienta que as regras do mercado único devem salvaguardar o acesso aos serviços públicos e preservar os direitos dos consumidores, bem como outras razões imperiosas de interesse público; acrescenta que qualquer avaliação das restrições no mercado único dos serviços deve incluir critérios qualitativos;</w:t>
      </w:r>
    </w:p>
    <w:p w14:paraId="78E03D72" w14:textId="5E2BF0DE" w:rsidR="009A13D0" w:rsidRPr="00265841" w:rsidRDefault="00DD5DB3" w:rsidP="009A13D0">
      <w:pPr>
        <w:pStyle w:val="NormalHanging12a"/>
      </w:pPr>
      <w:r w:rsidRPr="00265841">
        <w:t>9</w:t>
      </w:r>
      <w:r w:rsidR="009A13D0" w:rsidRPr="00265841">
        <w:t>.</w:t>
      </w:r>
      <w:r w:rsidR="009A13D0" w:rsidRPr="00265841">
        <w:tab/>
        <w:t>Observa o papel que os contratos públicos da UE podem desempenhar na superação dos obstáculos à entrada no mercado, apoiando ecossistemas industriais sustentáveis e resilientes, empregos de elevada qualidade e a criação de valor na UE;</w:t>
      </w:r>
    </w:p>
    <w:p w14:paraId="4DA23E2B" w14:textId="56C458AD" w:rsidR="009A13D0" w:rsidRPr="00265841" w:rsidRDefault="00DD5DB3" w:rsidP="009A13D0">
      <w:pPr>
        <w:pStyle w:val="NormalHanging12a"/>
      </w:pPr>
      <w:r w:rsidRPr="00265841">
        <w:t>10</w:t>
      </w:r>
      <w:r w:rsidR="009A13D0" w:rsidRPr="00265841">
        <w:t>.</w:t>
      </w:r>
      <w:r w:rsidR="009A13D0" w:rsidRPr="00265841">
        <w:tab/>
        <w:t>Reconhece que o novo quadro legislativo (NQL) contribuiu para a coerência da legislação da UE em matéria de produtos e que, desde a sua adoção, o setor industrial, as cadeias de abastecimento e os produtos sofreram transformações importantes à luz da transição digital e ecológica, mas também mudanças na dinâmica do mercado; observa que a avaliação de 2022 do NQL identificou desafios críticos, tais como potenciais influências estrangeiras, práticas ilegais, insuficiências no combate à digitalização e à economia circular e potenciais obrigações e definições atualizadas para que determinados operadores económicos reflitam as novas realidades do mercado;</w:t>
      </w:r>
    </w:p>
    <w:p w14:paraId="6437C5EB" w14:textId="458AD17E" w:rsidR="009A13D0" w:rsidRPr="00265841" w:rsidRDefault="00DD5DB3" w:rsidP="009A13D0">
      <w:pPr>
        <w:pStyle w:val="NormalHanging12a"/>
      </w:pPr>
      <w:r w:rsidRPr="00265841">
        <w:lastRenderedPageBreak/>
        <w:t>11</w:t>
      </w:r>
      <w:r w:rsidR="009A13D0" w:rsidRPr="00265841">
        <w:t>.</w:t>
      </w:r>
      <w:r w:rsidR="009A13D0" w:rsidRPr="00265841">
        <w:tab/>
        <w:t>Salienta que a resolução destas questões e a preparação do NQL para o futuro são essenciais para assegurar a coerência, reduzir os custos e assegurar a livre circulação de mercadorias; solicita, por conseguinte, uma atualização do NQL, a fim de racionalizar as regras aplicáveis aos produtos, promover a digitalização e simplificar os procedimentos de conformidade e de fiscalização do mercado; considera que o NQL deve promover a utilização de passaportes digitais de produtos como meio de demonstrar a conformidade dos produtos e de cumprir os requisitos de informação;</w:t>
      </w:r>
    </w:p>
    <w:p w14:paraId="4AB0C174" w14:textId="7993B725" w:rsidR="009A13D0" w:rsidRPr="00265841" w:rsidRDefault="00DD5DB3" w:rsidP="009A13D0">
      <w:pPr>
        <w:pStyle w:val="NormalHanging12a"/>
      </w:pPr>
      <w:r w:rsidRPr="00265841">
        <w:t>12</w:t>
      </w:r>
      <w:r w:rsidR="009A13D0" w:rsidRPr="00265841">
        <w:t>.</w:t>
      </w:r>
      <w:r w:rsidR="009A13D0" w:rsidRPr="00265841">
        <w:tab/>
        <w:t>Insta a Comissão e os Estados</w:t>
      </w:r>
      <w:r w:rsidR="009A13D0" w:rsidRPr="00265841">
        <w:noBreakHyphen/>
        <w:t>Membros a simplificarem as regras da UE e a facilitarem a sua aplicação, bem como a reduzirem significativamente os encargos administrativos, em particular para as PME, que desempenham um papel vital na manutenção das comunidades e economias locais; salienta a importância de garantir a segurança jurídica e a coerência para as empresas, bem como a previsibilidade dos investimentos a longo prazo, que são essenciais para impulsionar a competitividade, a inovação e a resiliência, e proporcionar melhorias rápidas e significativas aos consumidores e às empresas; insta, além disso, os Estados</w:t>
      </w:r>
      <w:r w:rsidR="009A13D0" w:rsidRPr="00265841">
        <w:noBreakHyphen/>
        <w:t>Membros a evitarem ações que possam comprometer a igualdade de condições no mercado interno;</w:t>
      </w:r>
    </w:p>
    <w:p w14:paraId="79FA6D5B" w14:textId="25C0FF24" w:rsidR="00C916B7" w:rsidRPr="00265841" w:rsidRDefault="00DD5DB3" w:rsidP="009A13D0">
      <w:pPr>
        <w:pStyle w:val="NormalHanging12a"/>
      </w:pPr>
      <w:r w:rsidRPr="00265841">
        <w:t>13.</w:t>
      </w:r>
      <w:r w:rsidR="00C916B7" w:rsidRPr="00265841">
        <w:tab/>
        <w:t>Insta a Comissão a facilitar as atividades das PME e das pequenas empresas de média capitalização no mercado único, nomeadamente através de uma simplificação global específica;</w:t>
      </w:r>
    </w:p>
    <w:p w14:paraId="174243AE" w14:textId="32E6079E" w:rsidR="009A13D0" w:rsidRPr="00265841" w:rsidRDefault="00DD5DB3" w:rsidP="009A13D0">
      <w:pPr>
        <w:pStyle w:val="NormalHanging12a"/>
      </w:pPr>
      <w:r w:rsidRPr="00265841">
        <w:t>14</w:t>
      </w:r>
      <w:r w:rsidR="009A13D0" w:rsidRPr="00265841">
        <w:t>.</w:t>
      </w:r>
      <w:r w:rsidR="009A13D0" w:rsidRPr="00265841">
        <w:tab/>
        <w:t>Reconhece que a aplicação incoerente e fragmentada da legislação da UE nos Estados</w:t>
      </w:r>
      <w:r w:rsidR="009A13D0" w:rsidRPr="00265841">
        <w:noBreakHyphen/>
        <w:t>Membros continua a distorcer a concorrência e a comprometer a integridade do mercado único; acrescenta que a responsabilidade principal pela aplicação das regras da UE cabe aos Estados</w:t>
      </w:r>
      <w:r w:rsidR="009A13D0" w:rsidRPr="00265841">
        <w:noBreakHyphen/>
        <w:t>Membros; convida a Comissão a fazer pleno uso dos seus poderes de execução; apela à melhoria da monitorização e dos mecanismos de execução a nível da UE, tais como regras harmonizadas sobre os níveis mínimo de controlos, metodologias harmonizadas para realizar estes controlo e inspeções conjuntas, a fim de assegurar a aplicação uniforme do direito da UE e, se for caso disso, vias de recurso rápidas para os consumidores;</w:t>
      </w:r>
    </w:p>
    <w:p w14:paraId="642B3B5B" w14:textId="3DBF17EF" w:rsidR="009A13D0" w:rsidRPr="00265841" w:rsidRDefault="00DD5DB3" w:rsidP="009A13D0">
      <w:pPr>
        <w:pStyle w:val="NormalHanging12a"/>
      </w:pPr>
      <w:r w:rsidRPr="00265841">
        <w:t>15</w:t>
      </w:r>
      <w:r w:rsidR="009A13D0" w:rsidRPr="00265841">
        <w:t>.</w:t>
      </w:r>
      <w:r w:rsidR="009A13D0" w:rsidRPr="00265841">
        <w:tab/>
        <w:t>Salienta a importância de manter um ambiente económico competitivo e dinâmico, salvaguardando os direitos dos consumidores e aplicando as regras de concorrência digital para combater as práticas comerciais desleais que distorcem as condições de mercado; insta, além disso, os Estados</w:t>
      </w:r>
      <w:r w:rsidR="009A13D0" w:rsidRPr="00265841">
        <w:noBreakHyphen/>
        <w:t>Membros a aumentarem a capacidade das autoridades de fiscalização do mercado e das autoridades aduaneiras para assegurar a aplicação efetiva das regras do mercado único, em particular no que diz respeito ao comércio eletrónico e às importações de países terceiros;</w:t>
      </w:r>
    </w:p>
    <w:p w14:paraId="69910765" w14:textId="6705F600" w:rsidR="009A13D0" w:rsidRPr="00265841" w:rsidRDefault="00DD5DB3" w:rsidP="009A13D0">
      <w:pPr>
        <w:pStyle w:val="NormalHanging12a"/>
      </w:pPr>
      <w:r w:rsidRPr="00265841">
        <w:t>16</w:t>
      </w:r>
      <w:r w:rsidR="009A13D0" w:rsidRPr="00265841">
        <w:t>.</w:t>
      </w:r>
      <w:r w:rsidR="009A13D0" w:rsidRPr="00265841">
        <w:tab/>
        <w:t xml:space="preserve">Recorda que as restrições territoriais à oferta nos segmentos do mercado retalhista e grossista fragmentam o mercado único, limitam a escolha dos consumidores e contribuem para disparidades de preços significativas em toda a União, que afetam particularmente os preços dos bens de consumo básicos; salienta que embora o direito da concorrência penalize efetivamente algumas destas práticas, muitas não são abrangidas pelo seu âmbito de aplicação; insta, por conseguinte, a Comissão a propor medidas para resolver a questão, nomeadamente a aplicação mais rigorosa dos acordos de distribuição </w:t>
      </w:r>
      <w:proofErr w:type="spellStart"/>
      <w:r w:rsidR="009A13D0" w:rsidRPr="00265841">
        <w:t>anticoncorrenciais</w:t>
      </w:r>
      <w:proofErr w:type="spellEnd"/>
      <w:r w:rsidR="009A13D0" w:rsidRPr="00265841">
        <w:t>, a fim de assegurar uma concorrência leal, garantindo, assim, a integridade do mercado único;</w:t>
      </w:r>
    </w:p>
    <w:p w14:paraId="7BD598C3" w14:textId="6ABB5775" w:rsidR="009A13D0" w:rsidRPr="00265841" w:rsidRDefault="00DD5DB3" w:rsidP="009A13D0">
      <w:pPr>
        <w:pStyle w:val="NormalHanging12a"/>
      </w:pPr>
      <w:r w:rsidRPr="00265841">
        <w:t>17</w:t>
      </w:r>
      <w:r w:rsidR="009A13D0" w:rsidRPr="00265841">
        <w:t>.</w:t>
      </w:r>
      <w:r w:rsidR="009A13D0" w:rsidRPr="00265841">
        <w:tab/>
        <w:t xml:space="preserve">Insta a Comissão a investigar as causas dos níveis de inflação diferenciados dos bens de base e dos aumentos dos preços no consumidor observados em alguns </w:t>
      </w:r>
      <w:r w:rsidR="009A13D0" w:rsidRPr="00265841">
        <w:lastRenderedPageBreak/>
        <w:t>Estados</w:t>
      </w:r>
      <w:r w:rsidR="009A13D0" w:rsidRPr="00265841">
        <w:noBreakHyphen/>
        <w:t>Membros da UE;</w:t>
      </w:r>
    </w:p>
    <w:p w14:paraId="4C526055" w14:textId="30170E34" w:rsidR="009A13D0" w:rsidRPr="00265841" w:rsidRDefault="00DD5DB3" w:rsidP="009A13D0">
      <w:pPr>
        <w:pStyle w:val="NormalHanging12a"/>
      </w:pPr>
      <w:r w:rsidRPr="00265841">
        <w:t>18</w:t>
      </w:r>
      <w:r w:rsidR="009A13D0" w:rsidRPr="00265841">
        <w:t>.</w:t>
      </w:r>
      <w:r w:rsidR="009A13D0" w:rsidRPr="00265841">
        <w:tab/>
        <w:t>Considera que, em tempos de crise, o mercado único é um instrumento indispensável para a atuação coordenada dos Estados</w:t>
      </w:r>
      <w:r w:rsidR="009A13D0" w:rsidRPr="00265841">
        <w:noBreakHyphen/>
        <w:t>Membros</w:t>
      </w:r>
      <w:r w:rsidR="005E22B8" w:rsidRPr="00265841">
        <w:t>; considerando que</w:t>
      </w:r>
      <w:r w:rsidR="009A13D0" w:rsidRPr="00265841">
        <w:t xml:space="preserve"> o Regulamento de Emergência e Resiliência do Mercado Interno</w:t>
      </w:r>
      <w:r w:rsidR="009A13D0" w:rsidRPr="00265841">
        <w:rPr>
          <w:rStyle w:val="FootnoteReference"/>
        </w:rPr>
        <w:footnoteReference w:id="2"/>
      </w:r>
      <w:r w:rsidR="009A13D0" w:rsidRPr="00265841">
        <w:t xml:space="preserve"> recentemente adotado será crucial para assegurar a coordenação, a fim de prevenir situações de escassez e assegurar o bom funcionamento do mercado único, incluindo a livre circulação de bens e serviços essenciais em toda a UE;</w:t>
      </w:r>
    </w:p>
    <w:p w14:paraId="0F468183" w14:textId="7F88AD8A" w:rsidR="009A13D0" w:rsidRPr="00265841" w:rsidRDefault="00DD5DB3" w:rsidP="009A13D0">
      <w:pPr>
        <w:pStyle w:val="NormalHanging12a"/>
      </w:pPr>
      <w:r w:rsidRPr="00265841">
        <w:t>19</w:t>
      </w:r>
      <w:r w:rsidR="009A13D0" w:rsidRPr="00265841">
        <w:t>.</w:t>
      </w:r>
      <w:r w:rsidR="009A13D0" w:rsidRPr="00265841">
        <w:tab/>
        <w:t>Insta a Comissão a capacitar os consumidores para exercerem facilmente os seus direitos dos passageiros através da criação de organismos nacionais responsáveis pela aplicação da lei, que devem ser dotados de poderes de investigação e execução harmonizados e que devem poder tratar eficazmente as queixas individuais e as coimas conexas;</w:t>
      </w:r>
    </w:p>
    <w:p w14:paraId="1EE32FE5" w14:textId="3976805E" w:rsidR="009A13D0" w:rsidRPr="00265841" w:rsidRDefault="00DD5DB3" w:rsidP="009A13D0">
      <w:pPr>
        <w:pStyle w:val="NormalHanging12a"/>
      </w:pPr>
      <w:r w:rsidRPr="00265841">
        <w:t>20</w:t>
      </w:r>
      <w:r w:rsidR="009A13D0" w:rsidRPr="00265841">
        <w:t>.</w:t>
      </w:r>
      <w:r w:rsidR="009A13D0" w:rsidRPr="00265841">
        <w:tab/>
        <w:t>Sublinha que as medidas relativas ao comércio eletrónico que visam prevenir o bloqueio geográfico, nomeadamente o Regulamento Bloqueio Geográfico</w:t>
      </w:r>
      <w:r w:rsidR="009A13D0" w:rsidRPr="00265841">
        <w:rPr>
          <w:rStyle w:val="FootnoteReference"/>
        </w:rPr>
        <w:footnoteReference w:id="3"/>
      </w:r>
      <w:r w:rsidR="009A13D0" w:rsidRPr="00265841">
        <w:t>, foram bem sucedidas na criação de um enquadramento para um mercado único menos fragmentado e para reforçar a preferência dos consumidores pelas compras em linha; observa com preocupação que a aplicação do regulamento foi inadequada;</w:t>
      </w:r>
    </w:p>
    <w:p w14:paraId="0CB12B9A" w14:textId="12276C18" w:rsidR="009A13D0" w:rsidRPr="00265841" w:rsidRDefault="00DD5DB3" w:rsidP="009A13D0">
      <w:pPr>
        <w:pStyle w:val="NormalHanging12a"/>
      </w:pPr>
      <w:r w:rsidRPr="00265841">
        <w:t>21</w:t>
      </w:r>
      <w:r w:rsidR="009A13D0" w:rsidRPr="00265841">
        <w:t>.</w:t>
      </w:r>
      <w:r w:rsidR="009A13D0" w:rsidRPr="00265841">
        <w:tab/>
        <w:t>Observa que a Diretiva europeia da acessibilidade</w:t>
      </w:r>
      <w:r w:rsidR="009A13D0" w:rsidRPr="00265841">
        <w:rPr>
          <w:rStyle w:val="FootnoteReference"/>
        </w:rPr>
        <w:footnoteReference w:id="4"/>
      </w:r>
      <w:r w:rsidR="009A13D0" w:rsidRPr="00265841">
        <w:t xml:space="preserve"> será aplicável em todos os Estados</w:t>
      </w:r>
      <w:r w:rsidR="009A13D0" w:rsidRPr="00265841">
        <w:noBreakHyphen/>
        <w:t>Membros da UE a partir de 28 de junho de 2025; salienta a importância da sua aplicação plena e efetiva pelos Estados</w:t>
      </w:r>
      <w:r w:rsidR="009A13D0" w:rsidRPr="00265841">
        <w:noBreakHyphen/>
        <w:t>Membros para assegurar a harmonização dos requisitos de acessibilidade dos produtos e serviços, garantindo assim a sua acessibilidade às pessoas com deficiência em todo o mercado interno da UE;</w:t>
      </w:r>
    </w:p>
    <w:p w14:paraId="03E26A65" w14:textId="77777777" w:rsidR="009A13D0" w:rsidRPr="00265841" w:rsidRDefault="009A13D0" w:rsidP="009A13D0">
      <w:pPr>
        <w:pStyle w:val="NormalHanging12a"/>
        <w:rPr>
          <w:b/>
          <w:i/>
          <w:iCs/>
        </w:rPr>
      </w:pPr>
      <w:r w:rsidRPr="00265841">
        <w:rPr>
          <w:b/>
          <w:i/>
        </w:rPr>
        <w:t>Práticas comerciais emergentes</w:t>
      </w:r>
    </w:p>
    <w:p w14:paraId="2018680E" w14:textId="0D6A954F" w:rsidR="009A13D0" w:rsidRPr="00265841" w:rsidRDefault="00DD5DB3" w:rsidP="009A13D0">
      <w:pPr>
        <w:pStyle w:val="NormalHanging12a"/>
      </w:pPr>
      <w:r w:rsidRPr="00265841">
        <w:t>22</w:t>
      </w:r>
      <w:r w:rsidR="009A13D0" w:rsidRPr="00265841">
        <w:t>.</w:t>
      </w:r>
      <w:r w:rsidR="009A13D0" w:rsidRPr="00265841">
        <w:tab/>
        <w:t>Salienta que a rápida expansão das plataformas digitais e do comércio eletrónico introduziu novas dinâmicas de mercado e criou oportunidades, desafios e riscos avançados para os utilizadores; reconhece que o Regulamento Serviços Digitais</w:t>
      </w:r>
      <w:r w:rsidR="009A13D0" w:rsidRPr="00265841">
        <w:rPr>
          <w:rStyle w:val="FootnoteReference"/>
        </w:rPr>
        <w:footnoteReference w:id="5"/>
      </w:r>
      <w:r w:rsidR="009A13D0" w:rsidRPr="00265841">
        <w:t xml:space="preserve"> (RSD) </w:t>
      </w:r>
      <w:r w:rsidR="009A13D0" w:rsidRPr="00265841">
        <w:lastRenderedPageBreak/>
        <w:t>e o Regulamento Mercados Digitais</w:t>
      </w:r>
      <w:r w:rsidR="009A13D0" w:rsidRPr="00265841">
        <w:rPr>
          <w:rStyle w:val="FootnoteReference"/>
        </w:rPr>
        <w:footnoteReference w:id="6"/>
      </w:r>
      <w:r w:rsidR="009A13D0" w:rsidRPr="00265841">
        <w:t xml:space="preserve"> (RMD) constituem instrumentos legislativos fundamentais que garantem a concorrência leal, a disputabilidade e a equidade nas plataformas digitais, promovendo simultaneamente um ambiente digital mais seguro, fiável e transparente e a proteção dos consumidores na economia digital; apela a uma aplicação adequada da legislação da UE em matéria de novas tecnologias, a fim de assegurar uma escolha genuína, autónoma e informada dos consumidores, proteção e concorrência leal;</w:t>
      </w:r>
    </w:p>
    <w:p w14:paraId="635C9FE0" w14:textId="4CEEC134" w:rsidR="009A13D0" w:rsidRPr="00265841" w:rsidRDefault="00DD5DB3" w:rsidP="009A13D0">
      <w:pPr>
        <w:pStyle w:val="NormalHanging12a"/>
      </w:pPr>
      <w:r w:rsidRPr="00265841">
        <w:t>23</w:t>
      </w:r>
      <w:r w:rsidR="009A13D0" w:rsidRPr="00265841">
        <w:t>.</w:t>
      </w:r>
      <w:r w:rsidR="009A13D0" w:rsidRPr="00265841">
        <w:tab/>
        <w:t>Considera essencial assegurar a aplicação e o cumprimento efetivos destes dois atos legislativos e insta a Comissão a concluir as suas investigações em curso no âmbito do RSD e do RMD;</w:t>
      </w:r>
    </w:p>
    <w:p w14:paraId="736E3674" w14:textId="6777C968" w:rsidR="00C916B7" w:rsidRPr="00265841" w:rsidRDefault="00DD5DB3" w:rsidP="009A13D0">
      <w:pPr>
        <w:pStyle w:val="NormalHanging12a"/>
      </w:pPr>
      <w:r w:rsidRPr="00265841">
        <w:t>24.</w:t>
      </w:r>
      <w:r w:rsidR="00C916B7" w:rsidRPr="00265841">
        <w:tab/>
      </w:r>
      <w:r w:rsidR="006A3F2F" w:rsidRPr="00265841">
        <w:t>Frisa que a aplicação do Regulamento dos Serviços Digitais deve respeitar plenamente a liberdade de expressão; sublinha que as ações contra conteúdos ilegais não devem restringir o discurso lícito e apela a uma aplicação proporcionada e transparente para proteger um espaço digital aberto e democrático;</w:t>
      </w:r>
    </w:p>
    <w:p w14:paraId="662BF76D" w14:textId="7E76C8FF" w:rsidR="009A13D0" w:rsidRPr="00265841" w:rsidRDefault="00DD5DB3" w:rsidP="009A13D0">
      <w:pPr>
        <w:pStyle w:val="NormalHanging12a"/>
      </w:pPr>
      <w:r w:rsidRPr="00265841">
        <w:t>25</w:t>
      </w:r>
      <w:r w:rsidR="009A13D0" w:rsidRPr="00265841">
        <w:t>.</w:t>
      </w:r>
      <w:r w:rsidR="009A13D0" w:rsidRPr="00265841">
        <w:tab/>
        <w:t>Insta a Comissão e os Estados</w:t>
      </w:r>
      <w:r w:rsidR="009A13D0" w:rsidRPr="00265841">
        <w:noBreakHyphen/>
        <w:t>Membros a assegurarem que o Regulamento Inteligência Artificial (IA)</w:t>
      </w:r>
      <w:r w:rsidR="009A13D0" w:rsidRPr="00265841">
        <w:rPr>
          <w:rStyle w:val="FootnoteReference"/>
        </w:rPr>
        <w:footnoteReference w:id="7"/>
      </w:r>
      <w:r w:rsidR="009A13D0" w:rsidRPr="00265841">
        <w:t xml:space="preserve"> mantenha uma abordagem baseada no risco e favorável à inovação, assegurando que os requisitos de conformidade sejam proporcionais aos riscos reais colocados pelas aplicações de IA, respeitando simultaneamente a necessidade de assegurar um elevado nível de proteção da saúde, da segurança e dos direitos fundamentais;</w:t>
      </w:r>
    </w:p>
    <w:p w14:paraId="3FBFF108" w14:textId="2E09C810" w:rsidR="009A13D0" w:rsidRPr="00265841" w:rsidRDefault="00DD5DB3" w:rsidP="009A13D0">
      <w:pPr>
        <w:pStyle w:val="NormalHanging12a"/>
      </w:pPr>
      <w:r w:rsidRPr="00265841">
        <w:t>26</w:t>
      </w:r>
      <w:r w:rsidR="009A13D0" w:rsidRPr="00265841">
        <w:t>.</w:t>
      </w:r>
      <w:r w:rsidR="009A13D0" w:rsidRPr="00265841">
        <w:tab/>
        <w:t>Congratula</w:t>
      </w:r>
      <w:r w:rsidR="009A13D0" w:rsidRPr="00265841">
        <w:noBreakHyphen/>
        <w:t>se com o balanço de qualidade da Comissão em matéria de «equidade digital» do direito do consumo e com a próxima consulta pública; sublinha que continuam por resolver alguns problemas relativos à proteção dos consumidores em linha, conduzindo a um desequilíbrio entre consumidores e comerciantes na economia digital; insta a Comissão a tratar destes problemas no futuro ato legislativo relativo à equidade digital; considera que a dependência digital, os jogos de azar em linha, a proteção dos menores em linha e as tecnologias persuasivas utilizadas pelos intervenientes em linha, como a publicidade direcionada, a publicidade de influenciadores e os padrões obscuros, devem ser abrangidos pelo ato de equidade digital, que deve colmatar as lacunas jurídicas e ser consentâneo com os atuais instrumentos jurídicos, a fim de proteger melhor os consumidores em linha, tendo em conta a necessidade de evitar encargos regulamentares desnecessários;</w:t>
      </w:r>
    </w:p>
    <w:p w14:paraId="418E90FB" w14:textId="484CD72B" w:rsidR="009A13D0" w:rsidRPr="00265841" w:rsidRDefault="00DD5DB3" w:rsidP="009A13D0">
      <w:pPr>
        <w:pStyle w:val="NormalHanging12a"/>
      </w:pPr>
      <w:r w:rsidRPr="00265841">
        <w:t>27</w:t>
      </w:r>
      <w:r w:rsidR="009A13D0" w:rsidRPr="00265841">
        <w:t>.</w:t>
      </w:r>
      <w:r w:rsidR="009A13D0" w:rsidRPr="00265841">
        <w:tab/>
        <w:t xml:space="preserve">Observa que as tendências na evolução no comércio eletrónico mundial e na reestruturação da cadeia de abastecimento estão a exercer uma maior pressão sobre os controlos aduaneiros, a fiscalização do mercado e as autoridades de proteção dos consumidores; salienta que o volume de produtos não seguros e ilícitos vendidos em </w:t>
      </w:r>
      <w:r w:rsidR="009A13D0" w:rsidRPr="00265841">
        <w:lastRenderedPageBreak/>
        <w:t>plataformas de comércio eletrónico, em particular de países terceiros, tem vindo a aumentar nos últimos anos; salienta a importância da existência de passaportes digitais de produtos nestes casos; apela, por conseguinte, a um quadro reforçado de fiscalização do mercado e a uma revisão do Regulamento relativo à cooperação no domínio da defesa do consumidor</w:t>
      </w:r>
      <w:r w:rsidR="009A13D0" w:rsidRPr="00265841">
        <w:rPr>
          <w:rStyle w:val="FootnoteReference"/>
        </w:rPr>
        <w:footnoteReference w:id="8"/>
      </w:r>
      <w:r w:rsidR="009A13D0" w:rsidRPr="00265841">
        <w:t>, e insta o Conselho a fixar rapidamente a sua posição, a fim de permitir a adoção do Código Aduaneiro da União revisto e a criação de uma autoridade aduaneira da UE em 2026;</w:t>
      </w:r>
    </w:p>
    <w:p w14:paraId="155CB531" w14:textId="46E75FCB" w:rsidR="009A13D0" w:rsidRPr="00265841" w:rsidRDefault="00DD5DB3" w:rsidP="009A13D0">
      <w:pPr>
        <w:pStyle w:val="NormalHanging12a"/>
      </w:pPr>
      <w:r w:rsidRPr="00265841">
        <w:t>28</w:t>
      </w:r>
      <w:r w:rsidR="009A13D0" w:rsidRPr="00265841">
        <w:t>.</w:t>
      </w:r>
      <w:r w:rsidR="009A13D0" w:rsidRPr="00265841">
        <w:tab/>
        <w:t>Insta os Estados</w:t>
      </w:r>
      <w:r w:rsidR="009A13D0" w:rsidRPr="00265841">
        <w:noBreakHyphen/>
        <w:t>Membros a afetarem recursos técnicos, humanos e financeiros suficientes às autoridades nacionais; apela aos Estados</w:t>
      </w:r>
      <w:r w:rsidR="009A13D0" w:rsidRPr="00265841">
        <w:noBreakHyphen/>
        <w:t>Membros e à Comissão para que garantam fundos e competências suficientes para reforçar as autoridades aduaneiras e a fiscalização do mercado em toda a União e para que intensifiquem as atividades conjuntas e os testes da UE;</w:t>
      </w:r>
    </w:p>
    <w:p w14:paraId="209FE1A2" w14:textId="3552BA0D" w:rsidR="009A13D0" w:rsidRPr="00265841" w:rsidRDefault="00DD5DB3" w:rsidP="009A13D0">
      <w:pPr>
        <w:pStyle w:val="NormalHanging12a"/>
      </w:pPr>
      <w:r w:rsidRPr="00265841">
        <w:t>29</w:t>
      </w:r>
      <w:r w:rsidR="009A13D0" w:rsidRPr="00265841">
        <w:t>.</w:t>
      </w:r>
      <w:r w:rsidR="009A13D0" w:rsidRPr="00265841">
        <w:tab/>
        <w:t>Salienta a necessidade de reforçar a proteção dos consumidores nos mercados em linha e fora de linha, garantindo a transparência da publicidade e dos preços, especialmente quando estejam em causa preços dinâmicos, assegurando práticas comerciais justas e garantias mais fortes contra a fraude para promover a confiança dos consumidores no comércio transfronteiriço e o mais elevado nível de proteção;</w:t>
      </w:r>
    </w:p>
    <w:p w14:paraId="309FCC9C" w14:textId="41B84D41" w:rsidR="009A13D0" w:rsidRPr="00265841" w:rsidRDefault="00DD5DB3" w:rsidP="009A13D0">
      <w:pPr>
        <w:pStyle w:val="NormalHanging12a"/>
      </w:pPr>
      <w:r w:rsidRPr="00265841">
        <w:t>30</w:t>
      </w:r>
      <w:r w:rsidR="009A13D0" w:rsidRPr="00265841">
        <w:t>.</w:t>
      </w:r>
      <w:r w:rsidR="009A13D0" w:rsidRPr="00265841">
        <w:tab/>
        <w:t>Salienta que se tem vindo a chamar cada vez mais a atenção para os casos em que os bens e serviços são oferecidos em menor quantidade ou qualidade, enquanto os preços se mantêm ou aumentam; exorta a Comissão a avaliar o nível dessas práticas e as causas que lhes estão subjacentes, e a explorar medidas adequadas para aumentar a transparência e a sensibilização dos consumidores;</w:t>
      </w:r>
    </w:p>
    <w:p w14:paraId="7D793E75" w14:textId="567889DC" w:rsidR="009A13D0" w:rsidRPr="00265841" w:rsidRDefault="00DD5DB3" w:rsidP="009A13D0">
      <w:pPr>
        <w:pStyle w:val="NormalHanging12a"/>
      </w:pPr>
      <w:r w:rsidRPr="00265841">
        <w:t>31</w:t>
      </w:r>
      <w:r w:rsidR="009A13D0" w:rsidRPr="00265841">
        <w:t>.</w:t>
      </w:r>
      <w:r w:rsidR="009A13D0" w:rsidRPr="00265841">
        <w:tab/>
        <w:t>Sublinha que as considerações relativas à sustentabilidade ambiental e ao comércio justo estão a moldar cada vez mais as práticas comerciais, desempenhando um papel importante nas decisões de compra dos consumidores e, consequentemente, impulsionando as empresas para a sustentabilidade; acrescenta que a transparência e a informação prestada aos consumidores sobre os aspetos ambientais, bem como sobre os processos de produção socialmente responsáveis e éticos, permitem que esses consumidores adotem padrões de consumo sustentáveis;</w:t>
      </w:r>
    </w:p>
    <w:p w14:paraId="2F5DFAC7" w14:textId="694D8F31" w:rsidR="009A13D0" w:rsidRPr="00265841" w:rsidRDefault="00DD5DB3" w:rsidP="009A13D0">
      <w:pPr>
        <w:pStyle w:val="NormalHanging12a"/>
      </w:pPr>
      <w:r w:rsidRPr="00265841">
        <w:t>32</w:t>
      </w:r>
      <w:r w:rsidR="009A13D0" w:rsidRPr="00265841">
        <w:t>.</w:t>
      </w:r>
      <w:r w:rsidR="009A13D0" w:rsidRPr="00265841">
        <w:tab/>
        <w:t>Insta a Comissão e os Estados</w:t>
      </w:r>
      <w:r w:rsidR="009A13D0" w:rsidRPr="00265841">
        <w:noBreakHyphen/>
        <w:t>Membros a manterem o seu nível de ambição a este respeito e a continuarem a trabalhar em sistemas de rotulagem à escala da UE; recorda que o objetivo da Diretiva Alegações Ecológicas é criar um instrumento para proteger os consumidores contra a ecomaquilhagem, estabelecendo requisitos de fundamentação e verificação;</w:t>
      </w:r>
    </w:p>
    <w:p w14:paraId="436A69E7" w14:textId="5F7B3592" w:rsidR="009A13D0" w:rsidRPr="00265841" w:rsidRDefault="00DD5DB3" w:rsidP="009A13D0">
      <w:pPr>
        <w:pStyle w:val="NormalHanging12a"/>
      </w:pPr>
      <w:r w:rsidRPr="00265841">
        <w:t>33</w:t>
      </w:r>
      <w:r w:rsidR="009A13D0" w:rsidRPr="00265841">
        <w:t>.</w:t>
      </w:r>
      <w:r w:rsidR="009A13D0" w:rsidRPr="00265841">
        <w:tab/>
        <w:t>Salienta a necessidade de continuar a combater a publicidade enganosa e a ecomaquilhagem e de reforçar o mercado de segunda mão; observa, no entanto, que regras restritivas em matéria de sustentabilidade podem ter um impacto negativo na competitividade europeia;</w:t>
      </w:r>
    </w:p>
    <w:p w14:paraId="646D92F1" w14:textId="14C31C06" w:rsidR="009A13D0" w:rsidRPr="00265841" w:rsidRDefault="00DD5DB3" w:rsidP="009A13D0">
      <w:pPr>
        <w:pStyle w:val="NormalHanging12a"/>
        <w:rPr>
          <w:bCs/>
          <w:iCs/>
        </w:rPr>
      </w:pPr>
      <w:r w:rsidRPr="00265841">
        <w:t>34</w:t>
      </w:r>
      <w:r w:rsidR="009A13D0" w:rsidRPr="00265841">
        <w:t>.</w:t>
      </w:r>
      <w:r w:rsidR="009A13D0" w:rsidRPr="00265841">
        <w:tab/>
        <w:t xml:space="preserve">Salienta que algumas tendências crescentes no comércio eletrónico suscitam </w:t>
      </w:r>
      <w:r w:rsidR="009A13D0" w:rsidRPr="00265841">
        <w:lastRenderedPageBreak/>
        <w:t>preocupações no que diz respeito às mercadorias provenientes de países terceiros que não cumprem os requisitos de segurança e sustentabilidade da UE, afetando assim negativamente as PME na UE; congratula</w:t>
      </w:r>
      <w:r w:rsidR="009A13D0" w:rsidRPr="00265841">
        <w:noBreakHyphen/>
        <w:t>se com a comunicação da Comissão intitulada «Um conjunto abrangente de instrumentos da UE para um comércio eletrónico seguro e sustentável» e solicita à Comissão que aplique rapidamente as recomendações constantes desta comunicação;</w:t>
      </w:r>
    </w:p>
    <w:p w14:paraId="5AAB0117" w14:textId="1C16E0EF" w:rsidR="009A13D0" w:rsidRPr="00265841" w:rsidRDefault="00DD5DB3" w:rsidP="009A13D0">
      <w:pPr>
        <w:pStyle w:val="NormalHanging12a"/>
      </w:pPr>
      <w:r w:rsidRPr="00265841">
        <w:t>35</w:t>
      </w:r>
      <w:r w:rsidR="009A13D0" w:rsidRPr="00265841">
        <w:t>.</w:t>
      </w:r>
      <w:r w:rsidR="009A13D0" w:rsidRPr="00265841">
        <w:tab/>
        <w:t>Salienta que normas técnicas harmonizadas são essenciais para a livre circulação de mercadorias no mercado único, garantindo a segurança, a qualidade e o desempenho dos produtos em todos os Estados</w:t>
      </w:r>
      <w:r w:rsidR="009A13D0" w:rsidRPr="00265841">
        <w:noBreakHyphen/>
        <w:t>Membros; sublinha que as normas devem refletir os interesses, os objetivos políticos e os valores da União, tendo em conta os pontos de vista de todas as partes interessadas; acrescenta que o Tribunal de Justiça da União Europeia, em jurisprudência recente</w:t>
      </w:r>
      <w:r w:rsidR="009A13D0" w:rsidRPr="00265841">
        <w:rPr>
          <w:rStyle w:val="FootnoteReference"/>
          <w:color w:val="000000"/>
        </w:rPr>
        <w:footnoteReference w:id="9"/>
      </w:r>
      <w:r w:rsidR="009A13D0" w:rsidRPr="00265841">
        <w:t>, reconhece o valor acrescentado das normas harmonizadas que fazem parte da legislação da UE devido aos seus efeitos jurídicos e estabelece que devem ser de acesso livre; frisa a necessidade de melhorar a agilidade do quadro de normalização, em particular para as cadeias de valor ecológicas e digitais emergentes, e de ajudar a indústria a manter posições competitivas em mercados tecnológicos fundamentais;</w:t>
      </w:r>
    </w:p>
    <w:p w14:paraId="6D55AB84" w14:textId="34BFE0A1" w:rsidR="009A13D0" w:rsidRPr="00265841" w:rsidRDefault="00DD5DB3" w:rsidP="009A13D0">
      <w:pPr>
        <w:pStyle w:val="NormalHanging12a"/>
      </w:pPr>
      <w:r w:rsidRPr="00265841">
        <w:t>36</w:t>
      </w:r>
      <w:r w:rsidR="009A13D0" w:rsidRPr="00265841">
        <w:t>.</w:t>
      </w:r>
      <w:r w:rsidR="009A13D0" w:rsidRPr="00265841">
        <w:tab/>
        <w:t>Considera que a UE deve intensificar os seus esforços para criar um novo mecanismo com os Estados</w:t>
      </w:r>
      <w:r w:rsidR="009A13D0" w:rsidRPr="00265841">
        <w:noBreakHyphen/>
        <w:t>Membros e os organismos nacionais de normalização para partilhar informações, coordenar e reforçar a abordagem europeia das atividades de normalização internacionais; apela a uma ação rápida para atualizar o quadro de normalização da UE, a fim de acelerar o processo de normalização de modo que assegure a rápida publicação de normas harmonizadas que confiram presunção de conformidade e estejam alinhadas com as normas internacionais para apoiar o comércio mundial, incentivando simultaneamente uma maior participação da indústria, em particular das PME;</w:t>
      </w:r>
    </w:p>
    <w:p w14:paraId="0AA1D0D5" w14:textId="401955FB" w:rsidR="009A13D0" w:rsidRPr="00265841" w:rsidRDefault="00DD5DB3" w:rsidP="009A13D0">
      <w:pPr>
        <w:pStyle w:val="NormalHanging12a"/>
        <w:rPr>
          <w:szCs w:val="24"/>
        </w:rPr>
      </w:pPr>
      <w:r w:rsidRPr="00265841">
        <w:t>37</w:t>
      </w:r>
      <w:r w:rsidR="009A13D0" w:rsidRPr="00265841">
        <w:t>.</w:t>
      </w:r>
      <w:r w:rsidR="009A13D0" w:rsidRPr="00265841">
        <w:tab/>
        <w:t>Salienta a necessidade de reforçar a dimensão externa do mercado único, a fim de salvaguardar a autonomia estratégica e a influência global da UE, e congratula</w:t>
      </w:r>
      <w:r w:rsidR="009A13D0" w:rsidRPr="00265841">
        <w:noBreakHyphen/>
        <w:t>se com a integração gradual dos países candidatos à adesão à UE no mercado único, tendo em vista a sua futura adesão à UE; frisa que as rigorosas normas regulamentares da UE podem servir de referência mundial e devem ser efetivamente aplicadas a fim de garantir condições de concorrência equitativas para as empresas europeias; insta a Comissão a intensificar o diálogo regulamentar e a cooperação política com outros países terceiros relevantes, a fim de identificar desafios comuns e tentar desenvolver ações conjuntas, especialmente no que diz respeito ao comércio eletrónico, às regras digitais e aos consumidores;</w:t>
      </w:r>
    </w:p>
    <w:p w14:paraId="7CD521D0" w14:textId="270461B1" w:rsidR="009A13D0" w:rsidRPr="00265841" w:rsidRDefault="00DD5DB3" w:rsidP="009A13D0">
      <w:pPr>
        <w:pStyle w:val="NormalHanging12a"/>
        <w:rPr>
          <w:szCs w:val="24"/>
        </w:rPr>
      </w:pPr>
      <w:r w:rsidRPr="00265841">
        <w:t>38</w:t>
      </w:r>
      <w:r w:rsidR="009A13D0" w:rsidRPr="00265841">
        <w:t>.</w:t>
      </w:r>
      <w:r w:rsidR="009A13D0" w:rsidRPr="00265841">
        <w:tab/>
        <w:t>Reitera o seu apelo a uma interação inovadora, complementar e flexível entre os trabalhos em curso sobre a aplicação do Acordo de Associação UE</w:t>
      </w:r>
      <w:r w:rsidR="009A13D0" w:rsidRPr="00265841">
        <w:noBreakHyphen/>
        <w:t>Ucrânia em vigor e o processo de negociação da adesão, permitindo, assim, uma integração gradual da Ucrânia no mercado único e nos programas setoriais da União;</w:t>
      </w:r>
    </w:p>
    <w:p w14:paraId="177F2FBC" w14:textId="77777777" w:rsidR="009A13D0" w:rsidRPr="00265841" w:rsidRDefault="009A13D0" w:rsidP="009A13D0">
      <w:pPr>
        <w:pStyle w:val="NormalHanging12a"/>
        <w:rPr>
          <w:b/>
          <w:i/>
          <w:iCs/>
        </w:rPr>
      </w:pPr>
      <w:r w:rsidRPr="00265841">
        <w:rPr>
          <w:b/>
          <w:i/>
        </w:rPr>
        <w:t>Conclusões</w:t>
      </w:r>
    </w:p>
    <w:p w14:paraId="05570CDA" w14:textId="6E247F2A" w:rsidR="009A13D0" w:rsidRPr="00265841" w:rsidRDefault="00DD5DB3" w:rsidP="009A13D0">
      <w:pPr>
        <w:pStyle w:val="NormalHanging12a"/>
      </w:pPr>
      <w:r w:rsidRPr="00265841">
        <w:t>39</w:t>
      </w:r>
      <w:r w:rsidR="009A13D0" w:rsidRPr="00265841">
        <w:t>.</w:t>
      </w:r>
      <w:r w:rsidR="009A13D0" w:rsidRPr="00265841">
        <w:tab/>
        <w:t xml:space="preserve">Reconhece que as tensões geopolíticas, as alterações climáticas, os desafios à competitividade da UE e as disparidades económicas representam riscos significativos para a integridade do mercado único; insta a uma resposta política sólida, coordenada e </w:t>
      </w:r>
      <w:r w:rsidR="009A13D0" w:rsidRPr="00265841">
        <w:lastRenderedPageBreak/>
        <w:t>estratégica para reforçar o mercado único;</w:t>
      </w:r>
    </w:p>
    <w:p w14:paraId="7794BA98" w14:textId="092F737C" w:rsidR="009A13D0" w:rsidRPr="00265841" w:rsidRDefault="00DD5DB3" w:rsidP="009A13D0">
      <w:pPr>
        <w:pStyle w:val="NormalHanging12a"/>
      </w:pPr>
      <w:r w:rsidRPr="00265841">
        <w:t>40</w:t>
      </w:r>
      <w:r w:rsidR="009A13D0" w:rsidRPr="00265841">
        <w:t>.</w:t>
      </w:r>
      <w:r w:rsidR="009A13D0" w:rsidRPr="00265841">
        <w:tab/>
        <w:t>Apela à evolução contínua do mercado único, a fim de responder tanto a obstáculos injustificados que subsistem como a desafios comerciais emergentes; considera que a eliminação da fragmentação regulamentar, a promoção da simplificação, a redução significativa dos encargos administrativos, o reforço da aplicação da legislação e a garantia de cadeias de abastecimento resilientes são fundamentais para manter a vantagem competitiva da UE e condições de mercado justas, e para reforçar o mercado único; sublinha a importância de consultar todas as partes interessadas pertinentes nestes processos;</w:t>
      </w:r>
    </w:p>
    <w:p w14:paraId="1FC74A4A" w14:textId="7C6E0E05" w:rsidR="009A13D0" w:rsidRPr="00265841" w:rsidRDefault="00DD5DB3" w:rsidP="009A13D0">
      <w:pPr>
        <w:pStyle w:val="NormalHanging12a"/>
      </w:pPr>
      <w:r w:rsidRPr="00265841">
        <w:t>41</w:t>
      </w:r>
      <w:r w:rsidR="009A13D0" w:rsidRPr="00265841">
        <w:t>.</w:t>
      </w:r>
      <w:r w:rsidR="009A13D0" w:rsidRPr="00265841">
        <w:tab/>
        <w:t>Salienta a importância da transformação digital, da economia circular e da adaptabilidade às mudanças económicas mundiais para garantir o dinamismo económico da UE a longo prazo;</w:t>
      </w:r>
    </w:p>
    <w:p w14:paraId="3B79B01B" w14:textId="251CDBF1" w:rsidR="009A13D0" w:rsidRPr="00265841" w:rsidRDefault="00DD5DB3" w:rsidP="009A13D0">
      <w:pPr>
        <w:pStyle w:val="NormalHanging12a"/>
      </w:pPr>
      <w:r w:rsidRPr="00265841">
        <w:t>42</w:t>
      </w:r>
      <w:r w:rsidR="009A13D0" w:rsidRPr="00265841">
        <w:t>.</w:t>
      </w:r>
      <w:r w:rsidR="009A13D0" w:rsidRPr="00265841">
        <w:tab/>
        <w:t>Reitera que o reforço das dimensões interna e externa do mercado único é essencial para preservar a autonomia estratégica e a competitividade da UE;</w:t>
      </w:r>
    </w:p>
    <w:p w14:paraId="4665D0A1" w14:textId="5F2E656B" w:rsidR="009A13D0" w:rsidRPr="00265841" w:rsidRDefault="00DD5DB3" w:rsidP="009A13D0">
      <w:pPr>
        <w:pStyle w:val="NormalHanging12a"/>
      </w:pPr>
      <w:r w:rsidRPr="00265841">
        <w:t>43</w:t>
      </w:r>
      <w:r w:rsidR="009A13D0" w:rsidRPr="00265841">
        <w:t>.</w:t>
      </w:r>
      <w:r w:rsidR="009A13D0" w:rsidRPr="00265841">
        <w:tab/>
        <w:t>Insta, por conseguinte, a Comissão a refletir o exposto na nova estratégia para o mercado único, prevista para junho de 2025, na agenda do consumidor 2030, prevista para o fim de 2025, e no ato legislativo relativo à equidade digital, previsto para 2026;</w:t>
      </w:r>
    </w:p>
    <w:p w14:paraId="4B017BA4" w14:textId="77777777" w:rsidR="005E22B8" w:rsidRPr="00265841" w:rsidRDefault="005E22B8" w:rsidP="005E22B8">
      <w:pPr>
        <w:pStyle w:val="NormalHanging12a"/>
        <w:widowControl/>
        <w:ind w:left="0" w:firstLine="0"/>
        <w:jc w:val="center"/>
      </w:pPr>
      <w:r w:rsidRPr="00265841">
        <w:t>°</w:t>
      </w:r>
    </w:p>
    <w:p w14:paraId="12F1238A" w14:textId="77777777" w:rsidR="005E22B8" w:rsidRPr="00265841" w:rsidRDefault="005E22B8" w:rsidP="005E22B8">
      <w:pPr>
        <w:pStyle w:val="NormalHanging12a"/>
        <w:widowControl/>
        <w:ind w:left="0" w:firstLine="0"/>
        <w:jc w:val="center"/>
      </w:pPr>
      <w:r w:rsidRPr="00265841">
        <w:t>°     °</w:t>
      </w:r>
    </w:p>
    <w:p w14:paraId="47ED1A42" w14:textId="11F5B4E8" w:rsidR="005A0EA1" w:rsidRPr="00265841" w:rsidRDefault="00DD5DB3" w:rsidP="005A0EA1">
      <w:pPr>
        <w:pStyle w:val="NormalHanging12a"/>
      </w:pPr>
      <w:r w:rsidRPr="00265841">
        <w:t>44</w:t>
      </w:r>
      <w:r w:rsidR="009A13D0" w:rsidRPr="00265841">
        <w:t>.</w:t>
      </w:r>
      <w:r w:rsidR="009A13D0" w:rsidRPr="00265841">
        <w:tab/>
        <w:t xml:space="preserve">Encarrega a sua Presidente de transmitir a presente resolução </w:t>
      </w:r>
      <w:r w:rsidR="005A0EA1" w:rsidRPr="00265841">
        <w:t>ao Conselho e à Comissão.</w:t>
      </w:r>
    </w:p>
    <w:p w14:paraId="6E15277F" w14:textId="77777777" w:rsidR="00E365E1" w:rsidRPr="00265841" w:rsidRDefault="00E365E1" w:rsidP="00BA6726"/>
    <w:sectPr w:rsidR="00E365E1" w:rsidRPr="00265841" w:rsidSect="005A0EA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545B6" w14:textId="77777777" w:rsidR="00BA6726" w:rsidRPr="005A0EA1" w:rsidRDefault="00BA6726">
      <w:r w:rsidRPr="005A0EA1">
        <w:separator/>
      </w:r>
    </w:p>
  </w:endnote>
  <w:endnote w:type="continuationSeparator" w:id="0">
    <w:p w14:paraId="2C65AD0A" w14:textId="77777777" w:rsidR="00BA6726" w:rsidRPr="005A0EA1" w:rsidRDefault="00BA6726">
      <w:r w:rsidRPr="005A0E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B0106" w14:textId="77777777" w:rsidR="00BA6726" w:rsidRPr="005A0EA1" w:rsidRDefault="00BA6726">
      <w:r w:rsidRPr="005A0EA1">
        <w:separator/>
      </w:r>
    </w:p>
  </w:footnote>
  <w:footnote w:type="continuationSeparator" w:id="0">
    <w:p w14:paraId="11FB79D8" w14:textId="77777777" w:rsidR="00BA6726" w:rsidRPr="005A0EA1" w:rsidRDefault="00BA6726">
      <w:r w:rsidRPr="005A0EA1">
        <w:continuationSeparator/>
      </w:r>
    </w:p>
  </w:footnote>
  <w:footnote w:id="1">
    <w:p w14:paraId="77CB0B0F" w14:textId="77777777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rStyle w:val="Emphasis"/>
          <w:sz w:val="24"/>
          <w:shd w:val="clear" w:color="auto" w:fill="FFFFFF"/>
          <w:lang w:val="pt-PT"/>
        </w:rPr>
        <w:t xml:space="preserve"> </w:t>
      </w:r>
      <w:r w:rsidR="005A0EA1" w:rsidRPr="005A0EA1">
        <w:rPr>
          <w:rStyle w:val="Emphasis"/>
          <w:sz w:val="24"/>
          <w:shd w:val="clear" w:color="auto" w:fill="FFFFFF"/>
          <w:lang w:val="pt-PT"/>
        </w:rPr>
        <w:tab/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>JO C 214 de 16.6.2023, p. 8.</w:t>
      </w:r>
    </w:p>
  </w:footnote>
  <w:footnote w:id="2">
    <w:p w14:paraId="43742528" w14:textId="77777777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sz w:val="24"/>
          <w:shd w:val="clear" w:color="auto" w:fill="FFFFFF"/>
          <w:lang w:val="pt-PT"/>
        </w:rPr>
        <w:t xml:space="preserve"> </w:t>
      </w:r>
      <w:r w:rsidR="005A0EA1" w:rsidRPr="005A0EA1">
        <w:rPr>
          <w:sz w:val="24"/>
          <w:shd w:val="clear" w:color="auto" w:fill="FFFFFF"/>
          <w:lang w:val="pt-PT"/>
        </w:rPr>
        <w:tab/>
      </w:r>
      <w:r w:rsidRPr="005A0EA1">
        <w:rPr>
          <w:sz w:val="24"/>
          <w:shd w:val="clear" w:color="auto" w:fill="FFFFFF"/>
          <w:lang w:val="pt-PT"/>
        </w:rPr>
        <w:t>Regulamento (UE) 2024/2747 do Parlamento Europeu e do Conselho, de 9 de outubro de 2024, que estabelece um regime relativo a emergências no mercado interno e à resiliência do mercado interno e que altera o Regulamento (CE) n.º 2679/98 do Conselho (</w:t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 xml:space="preserve">JO L, 2024/2747, 8.11.2024, ELI: </w:t>
      </w:r>
      <w:hyperlink r:id="rId1" w:tgtFrame="_blank" w:tooltip="Dá acesso ao presente documento através do seu ELI URI." w:history="1">
        <w:r w:rsidRPr="005A0EA1">
          <w:rPr>
            <w:rStyle w:val="Hyperlink"/>
            <w:sz w:val="24"/>
            <w:lang w:val="pt-PT"/>
          </w:rPr>
          <w:t>http://data.europa.eu/eli/reg/2024/2747/oj</w:t>
        </w:r>
      </w:hyperlink>
      <w:r w:rsidRPr="005A0EA1">
        <w:rPr>
          <w:rStyle w:val="Hyperlink"/>
          <w:sz w:val="24"/>
          <w:lang w:val="pt-PT"/>
        </w:rPr>
        <w:t>)</w:t>
      </w:r>
      <w:r w:rsidRPr="005A0EA1">
        <w:rPr>
          <w:rStyle w:val="Emphasis"/>
          <w:sz w:val="24"/>
          <w:shd w:val="clear" w:color="auto" w:fill="FFFFFF"/>
          <w:lang w:val="pt-PT"/>
        </w:rPr>
        <w:t>.</w:t>
      </w:r>
    </w:p>
  </w:footnote>
  <w:footnote w:id="3">
    <w:p w14:paraId="59C2525C" w14:textId="5754EA84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sz w:val="24"/>
          <w:shd w:val="clear" w:color="auto" w:fill="FFFFFF"/>
          <w:lang w:val="pt-PT"/>
        </w:rPr>
        <w:t xml:space="preserve"> </w:t>
      </w:r>
      <w:r w:rsidR="005A0EA1" w:rsidRPr="005A0EA1">
        <w:rPr>
          <w:sz w:val="24"/>
          <w:shd w:val="clear" w:color="auto" w:fill="FFFFFF"/>
          <w:lang w:val="pt-PT"/>
        </w:rPr>
        <w:tab/>
      </w:r>
      <w:r w:rsidRPr="005A0EA1">
        <w:rPr>
          <w:sz w:val="24"/>
          <w:shd w:val="clear" w:color="auto" w:fill="FFFFFF"/>
          <w:lang w:val="pt-PT"/>
        </w:rPr>
        <w:t>Regulamento (UE) 2018/302 do Parlamento Europeu e do Conselho, de 28 de fevereiro de 2018, que visa prevenir o bloqueio geográfico injustificado e outras formas de discriminação baseadas na nacionalidade, no local de residência ou no local de estabelecimento dos clientes no mercado interno, e que altera os Regulamentos (CE) n.º 2006/2004 e (UE) 2017/2394 e a Diretiva 2009/22/CE (</w:t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>JO L 60</w:t>
      </w:r>
      <w:r w:rsidR="000513D1">
        <w:rPr>
          <w:rStyle w:val="Emphasis"/>
          <w:i w:val="0"/>
          <w:sz w:val="24"/>
          <w:shd w:val="clear" w:color="auto" w:fill="FFFFFF"/>
          <w:lang w:val="pt-PT"/>
        </w:rPr>
        <w:t xml:space="preserve"> </w:t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>I de 2.3.2018, p. 1</w:t>
      </w:r>
      <w:r w:rsidRPr="005A0EA1">
        <w:rPr>
          <w:sz w:val="24"/>
          <w:shd w:val="clear" w:color="auto" w:fill="FFFFFF"/>
          <w:lang w:val="pt-PT"/>
        </w:rPr>
        <w:t xml:space="preserve">, ELI: </w:t>
      </w:r>
      <w:hyperlink r:id="rId2" w:tooltip="Dá acesso ao presente documento através do seu ELI URI." w:history="1">
        <w:r w:rsidRPr="005A0EA1">
          <w:rPr>
            <w:rStyle w:val="Hyperlink"/>
            <w:sz w:val="24"/>
            <w:shd w:val="clear" w:color="auto" w:fill="FFFFFF"/>
            <w:lang w:val="pt-PT"/>
          </w:rPr>
          <w:t>http://data.europa.eu/eli/reg/2018/302/oj</w:t>
        </w:r>
      </w:hyperlink>
      <w:r w:rsidRPr="005A0EA1">
        <w:rPr>
          <w:rStyle w:val="Hyperlink"/>
          <w:sz w:val="24"/>
          <w:shd w:val="clear" w:color="auto" w:fill="FFFFFF"/>
          <w:lang w:val="pt-PT"/>
        </w:rPr>
        <w:t>)</w:t>
      </w:r>
      <w:r w:rsidRPr="005A0EA1">
        <w:rPr>
          <w:sz w:val="24"/>
          <w:lang w:val="pt-PT"/>
        </w:rPr>
        <w:t>.</w:t>
      </w:r>
    </w:p>
  </w:footnote>
  <w:footnote w:id="4">
    <w:p w14:paraId="0EDE83AB" w14:textId="77777777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sz w:val="24"/>
          <w:shd w:val="clear" w:color="auto" w:fill="FFFFFF"/>
          <w:lang w:val="pt-PT"/>
        </w:rPr>
        <w:t xml:space="preserve"> </w:t>
      </w:r>
      <w:r w:rsidR="005A0EA1" w:rsidRPr="005A0EA1">
        <w:rPr>
          <w:sz w:val="24"/>
          <w:shd w:val="clear" w:color="auto" w:fill="FFFFFF"/>
          <w:lang w:val="pt-PT"/>
        </w:rPr>
        <w:tab/>
      </w:r>
      <w:r w:rsidRPr="005A0EA1">
        <w:rPr>
          <w:sz w:val="24"/>
          <w:shd w:val="clear" w:color="auto" w:fill="FFFFFF"/>
          <w:lang w:val="pt-PT"/>
        </w:rPr>
        <w:t>Diretiva (UE) 2019/882 do Parlamento Europeu e do Conselho, de 17 de abril de 2019, relativa aos requisitos de acessibilidade dos produtos e serviços (</w:t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>JO L 151 de 7.6.2019, p. 70,</w:t>
      </w:r>
      <w:r w:rsidRPr="005A0EA1">
        <w:rPr>
          <w:rStyle w:val="Emphasis"/>
          <w:sz w:val="24"/>
          <w:shd w:val="clear" w:color="auto" w:fill="FFFFFF"/>
          <w:lang w:val="pt-PT"/>
        </w:rPr>
        <w:t xml:space="preserve"> </w:t>
      </w:r>
      <w:r w:rsidRPr="005A0EA1">
        <w:rPr>
          <w:sz w:val="24"/>
          <w:shd w:val="clear" w:color="auto" w:fill="FFFFFF"/>
          <w:lang w:val="pt-PT"/>
        </w:rPr>
        <w:t xml:space="preserve">ELI: </w:t>
      </w:r>
      <w:hyperlink r:id="rId3" w:tooltip="Dá acesso ao presente documento através do seu ELI URI." w:history="1">
        <w:r w:rsidRPr="005A0EA1">
          <w:rPr>
            <w:rStyle w:val="Hyperlink"/>
            <w:sz w:val="24"/>
            <w:shd w:val="clear" w:color="auto" w:fill="FFFFFF"/>
            <w:lang w:val="pt-PT"/>
          </w:rPr>
          <w:t>http://data.europa.eu/eli/dir/2019/882/oj</w:t>
        </w:r>
      </w:hyperlink>
      <w:r w:rsidRPr="005A0EA1">
        <w:rPr>
          <w:rStyle w:val="Hyperlink"/>
          <w:sz w:val="24"/>
          <w:shd w:val="clear" w:color="auto" w:fill="FFFFFF"/>
          <w:lang w:val="pt-PT"/>
        </w:rPr>
        <w:t>)</w:t>
      </w:r>
      <w:r w:rsidRPr="005A0EA1">
        <w:rPr>
          <w:sz w:val="24"/>
          <w:lang w:val="pt-PT"/>
        </w:rPr>
        <w:t>.</w:t>
      </w:r>
    </w:p>
  </w:footnote>
  <w:footnote w:id="5">
    <w:p w14:paraId="096DEE59" w14:textId="77777777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sz w:val="24"/>
          <w:shd w:val="clear" w:color="auto" w:fill="FFFFFF"/>
          <w:lang w:val="pt-PT"/>
        </w:rPr>
        <w:t xml:space="preserve"> </w:t>
      </w:r>
      <w:r w:rsidR="005A0EA1" w:rsidRPr="005A0EA1">
        <w:rPr>
          <w:sz w:val="24"/>
          <w:shd w:val="clear" w:color="auto" w:fill="FFFFFF"/>
          <w:lang w:val="pt-PT"/>
        </w:rPr>
        <w:tab/>
      </w:r>
      <w:r w:rsidRPr="005A0EA1">
        <w:rPr>
          <w:sz w:val="24"/>
          <w:shd w:val="clear" w:color="auto" w:fill="FFFFFF"/>
          <w:lang w:val="pt-PT"/>
        </w:rPr>
        <w:t>Regulamento (UE) 2022/1925 do Parlamento Europeu e do Conselho, de 14 de setembro de 2022, relativo à disputabilidade e equidade dos mercados no setor digital e que altera as Diretivas (UE) 2019/1937 e (UE) 2020/1828 (</w:t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>JO L 265 de 12.10.2022, p. 1,</w:t>
      </w:r>
      <w:r w:rsidRPr="005A0EA1">
        <w:rPr>
          <w:rStyle w:val="Emphasis"/>
          <w:sz w:val="24"/>
          <w:shd w:val="clear" w:color="auto" w:fill="FFFFFF"/>
          <w:lang w:val="pt-PT"/>
        </w:rPr>
        <w:t xml:space="preserve"> </w:t>
      </w:r>
      <w:r w:rsidRPr="005A0EA1">
        <w:rPr>
          <w:sz w:val="24"/>
          <w:shd w:val="clear" w:color="auto" w:fill="FFFFFF"/>
          <w:lang w:val="pt-PT"/>
        </w:rPr>
        <w:t>ELI: </w:t>
      </w:r>
      <w:hyperlink r:id="rId4" w:tooltip="Dá acesso ao presente documento através do seu ELI URI." w:history="1">
        <w:r w:rsidRPr="005A0EA1">
          <w:rPr>
            <w:rStyle w:val="Hyperlink"/>
            <w:sz w:val="24"/>
            <w:shd w:val="clear" w:color="auto" w:fill="FFFFFF"/>
            <w:lang w:val="pt-PT"/>
          </w:rPr>
          <w:t>http://data.europa.eu/eli/reg/2022/1925/oj</w:t>
        </w:r>
      </w:hyperlink>
      <w:r w:rsidRPr="005A0EA1">
        <w:rPr>
          <w:rStyle w:val="Hyperlink"/>
          <w:sz w:val="24"/>
          <w:shd w:val="clear" w:color="auto" w:fill="FFFFFF"/>
          <w:lang w:val="pt-PT"/>
        </w:rPr>
        <w:t>)</w:t>
      </w:r>
      <w:r w:rsidRPr="005A0EA1">
        <w:rPr>
          <w:sz w:val="24"/>
          <w:lang w:val="pt-PT"/>
        </w:rPr>
        <w:t>.</w:t>
      </w:r>
    </w:p>
  </w:footnote>
  <w:footnote w:id="6">
    <w:p w14:paraId="595D7AC9" w14:textId="77777777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sz w:val="24"/>
          <w:shd w:val="clear" w:color="auto" w:fill="FFFFFF"/>
          <w:lang w:val="pt-PT"/>
        </w:rPr>
        <w:t xml:space="preserve"> </w:t>
      </w:r>
      <w:r w:rsidR="005A0EA1" w:rsidRPr="005A0EA1">
        <w:rPr>
          <w:sz w:val="24"/>
          <w:shd w:val="clear" w:color="auto" w:fill="FFFFFF"/>
          <w:lang w:val="pt-PT"/>
        </w:rPr>
        <w:tab/>
      </w:r>
      <w:r w:rsidRPr="005A0EA1">
        <w:rPr>
          <w:sz w:val="24"/>
          <w:shd w:val="clear" w:color="auto" w:fill="FFFFFF"/>
          <w:lang w:val="pt-PT"/>
        </w:rPr>
        <w:t>Regulamento (UE) 2022/2065 do Parlamento Europeu e do Conselho, de 19 de outubro de 2022, relativo a um mercado único para os serviços digitais e que altera a Diretiva 2000/31/CE (</w:t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 xml:space="preserve">JO L 277 de 27.10.2022, p. 1, </w:t>
      </w:r>
      <w:r w:rsidRPr="005A0EA1">
        <w:rPr>
          <w:sz w:val="24"/>
          <w:shd w:val="clear" w:color="auto" w:fill="FFFFFF"/>
          <w:lang w:val="pt-PT"/>
        </w:rPr>
        <w:t>ELI: </w:t>
      </w:r>
      <w:hyperlink r:id="rId5" w:tooltip="Dá acesso ao presente documento através do seu ELI URI." w:history="1">
        <w:r w:rsidRPr="005A0EA1">
          <w:rPr>
            <w:rStyle w:val="Hyperlink"/>
            <w:sz w:val="24"/>
            <w:shd w:val="clear" w:color="auto" w:fill="FFFFFF"/>
            <w:lang w:val="pt-PT"/>
          </w:rPr>
          <w:t>http://data.europa.eu/eli/reg/2022/2065/oj</w:t>
        </w:r>
      </w:hyperlink>
      <w:r w:rsidRPr="005A0EA1">
        <w:rPr>
          <w:rStyle w:val="Hyperlink"/>
          <w:sz w:val="24"/>
          <w:shd w:val="clear" w:color="auto" w:fill="FFFFFF"/>
          <w:lang w:val="pt-PT"/>
        </w:rPr>
        <w:t>)</w:t>
      </w:r>
      <w:r w:rsidRPr="005A0EA1">
        <w:rPr>
          <w:sz w:val="24"/>
          <w:lang w:val="pt-PT"/>
        </w:rPr>
        <w:t>.</w:t>
      </w:r>
    </w:p>
  </w:footnote>
  <w:footnote w:id="7">
    <w:p w14:paraId="723C6288" w14:textId="77777777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sz w:val="24"/>
          <w:shd w:val="clear" w:color="auto" w:fill="FFFFFF"/>
          <w:lang w:val="pt-PT"/>
        </w:rPr>
        <w:t xml:space="preserve"> </w:t>
      </w:r>
      <w:r w:rsidR="005A0EA1" w:rsidRPr="005A0EA1">
        <w:rPr>
          <w:sz w:val="24"/>
          <w:shd w:val="clear" w:color="auto" w:fill="FFFFFF"/>
          <w:lang w:val="pt-PT"/>
        </w:rPr>
        <w:tab/>
      </w:r>
      <w:r w:rsidRPr="005A0EA1">
        <w:rPr>
          <w:sz w:val="24"/>
          <w:shd w:val="clear" w:color="auto" w:fill="FFFFFF"/>
          <w:lang w:val="pt-PT"/>
        </w:rPr>
        <w:t xml:space="preserve">Regulamento (UE) 2024/1689 do Parlamento Europeu e do Conselho, de 13 de junho </w:t>
      </w:r>
      <w:r w:rsidR="005E22B8" w:rsidRPr="005A0EA1">
        <w:rPr>
          <w:sz w:val="24"/>
          <w:shd w:val="clear" w:color="auto" w:fill="FFFFFF"/>
          <w:lang w:val="pt-PT"/>
        </w:rPr>
        <w:t>de</w:t>
      </w:r>
      <w:r w:rsidR="005E22B8">
        <w:rPr>
          <w:sz w:val="24"/>
          <w:shd w:val="clear" w:color="auto" w:fill="FFFFFF"/>
          <w:lang w:val="pt-PT"/>
        </w:rPr>
        <w:t> </w:t>
      </w:r>
      <w:r w:rsidRPr="005A0EA1">
        <w:rPr>
          <w:sz w:val="24"/>
          <w:shd w:val="clear" w:color="auto" w:fill="FFFFFF"/>
          <w:lang w:val="pt-PT"/>
        </w:rPr>
        <w:t>2024 que cria regras harmonizadas em matéria de inteligência artificial e que altera os Regulamentos (CE) n.º 300/2008, (UE) n.º 167/2013, (UE) n.º 168/2013, (UE) 2018/858, (UE) 2018/1139 e (UE) 2019/2144 e as Diretivas 2014/90/UE, (UE) 2016/797 e (UE) 2020/1828 (</w:t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>JO L, 2024/1689, 12.7.2024, ELI: </w:t>
      </w:r>
      <w:hyperlink r:id="rId6" w:tgtFrame="_blank" w:tooltip="Dá acesso ao presente documento através do seu ELI URI." w:history="1">
        <w:r w:rsidRPr="005A0EA1">
          <w:rPr>
            <w:rStyle w:val="Hyperlink"/>
            <w:sz w:val="24"/>
            <w:lang w:val="pt-PT"/>
          </w:rPr>
          <w:t>http://data.europa.eu/eli/reg/2024/1689/oj</w:t>
        </w:r>
      </w:hyperlink>
      <w:r w:rsidRPr="005A0EA1">
        <w:rPr>
          <w:rStyle w:val="Hyperlink"/>
          <w:sz w:val="24"/>
          <w:lang w:val="pt-PT"/>
        </w:rPr>
        <w:t>)</w:t>
      </w:r>
      <w:r w:rsidRPr="005A0EA1">
        <w:rPr>
          <w:rStyle w:val="Emphasis"/>
          <w:sz w:val="24"/>
          <w:shd w:val="clear" w:color="auto" w:fill="FFFFFF"/>
          <w:lang w:val="pt-PT"/>
        </w:rPr>
        <w:t>.</w:t>
      </w:r>
    </w:p>
  </w:footnote>
  <w:footnote w:id="8">
    <w:p w14:paraId="119D02BB" w14:textId="77777777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sz w:val="24"/>
          <w:shd w:val="clear" w:color="auto" w:fill="FFFFFF"/>
          <w:lang w:val="pt-PT"/>
        </w:rPr>
        <w:t xml:space="preserve"> </w:t>
      </w:r>
      <w:r w:rsidR="005A0EA1" w:rsidRPr="005A0EA1">
        <w:rPr>
          <w:sz w:val="24"/>
          <w:shd w:val="clear" w:color="auto" w:fill="FFFFFF"/>
          <w:lang w:val="pt-PT"/>
        </w:rPr>
        <w:tab/>
      </w:r>
      <w:r w:rsidRPr="005A0EA1">
        <w:rPr>
          <w:sz w:val="24"/>
          <w:shd w:val="clear" w:color="auto" w:fill="FFFFFF"/>
          <w:lang w:val="pt-PT"/>
        </w:rPr>
        <w:t>Regulamento (UE) 2017/2394 do Parlamento Europeu e do Conselho, de 12 de dezembro de 2017, relativo à cooperação entre as autoridades nacionais responsáveis pela aplicação da legislação de proteção dos consumidores e que revoga o Regulamento (CE) n.º 2006/2004 (</w:t>
      </w:r>
      <w:r w:rsidRPr="005C74A0">
        <w:rPr>
          <w:rStyle w:val="Emphasis"/>
          <w:i w:val="0"/>
          <w:sz w:val="24"/>
          <w:shd w:val="clear" w:color="auto" w:fill="FFFFFF"/>
          <w:lang w:val="pt-PT"/>
        </w:rPr>
        <w:t xml:space="preserve">JO L 345 de 27.12.2017, p. 1, </w:t>
      </w:r>
      <w:r w:rsidRPr="005A0EA1">
        <w:rPr>
          <w:sz w:val="24"/>
          <w:shd w:val="clear" w:color="auto" w:fill="FFFFFF"/>
          <w:lang w:val="pt-PT"/>
        </w:rPr>
        <w:t xml:space="preserve">ELI: </w:t>
      </w:r>
      <w:hyperlink r:id="rId7" w:tooltip="Dá acesso ao presente documento através do seu ELI URI." w:history="1">
        <w:r w:rsidRPr="005A0EA1">
          <w:rPr>
            <w:rStyle w:val="Hyperlink"/>
            <w:sz w:val="24"/>
            <w:shd w:val="clear" w:color="auto" w:fill="FFFFFF"/>
            <w:lang w:val="pt-PT"/>
          </w:rPr>
          <w:t>http://data.europa.eu/eli/reg/2017/2394/oj</w:t>
        </w:r>
      </w:hyperlink>
      <w:r w:rsidRPr="005A0EA1">
        <w:rPr>
          <w:rStyle w:val="Hyperlink"/>
          <w:sz w:val="24"/>
          <w:shd w:val="clear" w:color="auto" w:fill="FFFFFF"/>
          <w:lang w:val="pt-PT"/>
        </w:rPr>
        <w:t>)</w:t>
      </w:r>
      <w:r w:rsidRPr="005A0EA1">
        <w:rPr>
          <w:sz w:val="24"/>
          <w:lang w:val="pt-PT"/>
        </w:rPr>
        <w:t>.</w:t>
      </w:r>
    </w:p>
  </w:footnote>
  <w:footnote w:id="9">
    <w:p w14:paraId="4F7E7535" w14:textId="1A29E580" w:rsidR="009A13D0" w:rsidRPr="005A0EA1" w:rsidRDefault="009A13D0" w:rsidP="005A0EA1">
      <w:pPr>
        <w:pStyle w:val="FootnoteText"/>
        <w:ind w:left="567" w:hanging="567"/>
        <w:rPr>
          <w:sz w:val="24"/>
          <w:lang w:val="pt-PT"/>
        </w:rPr>
      </w:pPr>
      <w:r w:rsidRPr="005A0EA1">
        <w:rPr>
          <w:rStyle w:val="FootnoteReference"/>
          <w:sz w:val="24"/>
          <w:lang w:val="pt-PT"/>
        </w:rPr>
        <w:footnoteRef/>
      </w:r>
      <w:r w:rsidR="005A0EA1" w:rsidRPr="005A0EA1">
        <w:rPr>
          <w:sz w:val="24"/>
          <w:lang w:val="pt-PT"/>
        </w:rPr>
        <w:t xml:space="preserve"> </w:t>
      </w:r>
      <w:r w:rsidR="005A0EA1" w:rsidRPr="005A0EA1">
        <w:rPr>
          <w:sz w:val="24"/>
          <w:lang w:val="pt-PT"/>
        </w:rPr>
        <w:tab/>
      </w:r>
      <w:r w:rsidRPr="005A0EA1">
        <w:rPr>
          <w:sz w:val="24"/>
          <w:lang w:val="pt-PT"/>
        </w:rPr>
        <w:t xml:space="preserve">Acórdão de 5 de março de 2024, </w:t>
      </w:r>
      <w:r w:rsidRPr="005A0EA1">
        <w:rPr>
          <w:i/>
          <w:sz w:val="24"/>
          <w:lang w:val="pt-PT"/>
        </w:rPr>
        <w:t>Public.Resource.Org Inc./</w:t>
      </w:r>
      <w:proofErr w:type="spellStart"/>
      <w:r w:rsidRPr="005A0EA1">
        <w:rPr>
          <w:i/>
          <w:sz w:val="24"/>
          <w:lang w:val="pt-PT"/>
        </w:rPr>
        <w:t>Right</w:t>
      </w:r>
      <w:proofErr w:type="spellEnd"/>
      <w:r w:rsidRPr="005A0EA1">
        <w:rPr>
          <w:i/>
          <w:sz w:val="24"/>
          <w:lang w:val="pt-PT"/>
        </w:rPr>
        <w:t xml:space="preserve"> to </w:t>
      </w:r>
      <w:proofErr w:type="spellStart"/>
      <w:r w:rsidRPr="005A0EA1">
        <w:rPr>
          <w:i/>
          <w:sz w:val="24"/>
          <w:lang w:val="pt-PT"/>
        </w:rPr>
        <w:t>Know</w:t>
      </w:r>
      <w:proofErr w:type="spellEnd"/>
      <w:r w:rsidRPr="005A0EA1">
        <w:rPr>
          <w:i/>
          <w:sz w:val="24"/>
          <w:lang w:val="pt-PT"/>
        </w:rPr>
        <w:t xml:space="preserve"> CLG, </w:t>
      </w:r>
      <w:r w:rsidRPr="005A0EA1">
        <w:rPr>
          <w:sz w:val="24"/>
          <w:lang w:val="pt-PT"/>
        </w:rPr>
        <w:t>C‑588/21 P, EU:C:2024:201.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7151210">
    <w:abstractNumId w:val="9"/>
  </w:num>
  <w:num w:numId="2" w16cid:durableId="1174301460">
    <w:abstractNumId w:val="9"/>
  </w:num>
  <w:num w:numId="3" w16cid:durableId="2035111321">
    <w:abstractNumId w:val="7"/>
  </w:num>
  <w:num w:numId="4" w16cid:durableId="104278487">
    <w:abstractNumId w:val="7"/>
  </w:num>
  <w:num w:numId="5" w16cid:durableId="1623728376">
    <w:abstractNumId w:val="6"/>
  </w:num>
  <w:num w:numId="6" w16cid:durableId="1882133252">
    <w:abstractNumId w:val="6"/>
  </w:num>
  <w:num w:numId="7" w16cid:durableId="885063757">
    <w:abstractNumId w:val="5"/>
  </w:num>
  <w:num w:numId="8" w16cid:durableId="969096004">
    <w:abstractNumId w:val="5"/>
  </w:num>
  <w:num w:numId="9" w16cid:durableId="1049380289">
    <w:abstractNumId w:val="4"/>
  </w:num>
  <w:num w:numId="10" w16cid:durableId="631061043">
    <w:abstractNumId w:val="4"/>
  </w:num>
  <w:num w:numId="11" w16cid:durableId="1216240772">
    <w:abstractNumId w:val="8"/>
  </w:num>
  <w:num w:numId="12" w16cid:durableId="1543637447">
    <w:abstractNumId w:val="8"/>
  </w:num>
  <w:num w:numId="13" w16cid:durableId="858664717">
    <w:abstractNumId w:val="3"/>
  </w:num>
  <w:num w:numId="14" w16cid:durableId="109711125">
    <w:abstractNumId w:val="3"/>
  </w:num>
  <w:num w:numId="15" w16cid:durableId="2115441855">
    <w:abstractNumId w:val="2"/>
  </w:num>
  <w:num w:numId="16" w16cid:durableId="1324580101">
    <w:abstractNumId w:val="2"/>
  </w:num>
  <w:num w:numId="17" w16cid:durableId="1371144678">
    <w:abstractNumId w:val="1"/>
  </w:num>
  <w:num w:numId="18" w16cid:durableId="572853514">
    <w:abstractNumId w:val="1"/>
  </w:num>
  <w:num w:numId="19" w16cid:durableId="1757625599">
    <w:abstractNumId w:val="0"/>
  </w:num>
  <w:num w:numId="20" w16cid:durableId="640421084">
    <w:abstractNumId w:val="0"/>
  </w:num>
  <w:num w:numId="21" w16cid:durableId="257061618">
    <w:abstractNumId w:val="9"/>
  </w:num>
  <w:num w:numId="22" w16cid:durableId="619577479">
    <w:abstractNumId w:val="7"/>
  </w:num>
  <w:num w:numId="23" w16cid:durableId="197132594">
    <w:abstractNumId w:val="6"/>
  </w:num>
  <w:num w:numId="24" w16cid:durableId="2125806338">
    <w:abstractNumId w:val="5"/>
  </w:num>
  <w:num w:numId="25" w16cid:durableId="1684353308">
    <w:abstractNumId w:val="4"/>
  </w:num>
  <w:num w:numId="26" w16cid:durableId="1619294173">
    <w:abstractNumId w:val="8"/>
  </w:num>
  <w:num w:numId="27" w16cid:durableId="1413119575">
    <w:abstractNumId w:val="3"/>
  </w:num>
  <w:num w:numId="28" w16cid:durableId="698357637">
    <w:abstractNumId w:val="2"/>
  </w:num>
  <w:num w:numId="29" w16cid:durableId="1787969410">
    <w:abstractNumId w:val="1"/>
  </w:num>
  <w:num w:numId="30" w16cid:durableId="137502792">
    <w:abstractNumId w:val="0"/>
  </w:num>
  <w:num w:numId="31" w16cid:durableId="1707873446">
    <w:abstractNumId w:val="9"/>
  </w:num>
  <w:num w:numId="32" w16cid:durableId="1036806710">
    <w:abstractNumId w:val="7"/>
  </w:num>
  <w:num w:numId="33" w16cid:durableId="800343957">
    <w:abstractNumId w:val="6"/>
  </w:num>
  <w:num w:numId="34" w16cid:durableId="593512947">
    <w:abstractNumId w:val="5"/>
  </w:num>
  <w:num w:numId="35" w16cid:durableId="1156919837">
    <w:abstractNumId w:val="4"/>
  </w:num>
  <w:num w:numId="36" w16cid:durableId="1260723232">
    <w:abstractNumId w:val="8"/>
  </w:num>
  <w:num w:numId="37" w16cid:durableId="44530909">
    <w:abstractNumId w:val="3"/>
  </w:num>
  <w:num w:numId="38" w16cid:durableId="1848057012">
    <w:abstractNumId w:val="2"/>
  </w:num>
  <w:num w:numId="39" w16cid:durableId="845827358">
    <w:abstractNumId w:val="1"/>
  </w:num>
  <w:num w:numId="40" w16cid:durableId="1599868359">
    <w:abstractNumId w:val="0"/>
  </w:num>
  <w:num w:numId="41" w16cid:durableId="1910269474">
    <w:abstractNumId w:val="10"/>
  </w:num>
  <w:num w:numId="42" w16cid:durableId="1911694773">
    <w:abstractNumId w:val="10"/>
  </w:num>
  <w:num w:numId="43" w16cid:durableId="459373937">
    <w:abstractNumId w:val="10"/>
  </w:num>
  <w:num w:numId="44" w16cid:durableId="6890626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246/2025"/>
    <w:docVar w:name="dvlangue" w:val="PT"/>
    <w:docVar w:name="dvnumam" w:val="0"/>
    <w:docVar w:name="dvpe" w:val="772.165"/>
    <w:docVar w:name="dvtitre" w:val="Resolução do Parlamento Europeu, de ... de ... de 2025,_x000d__x000a_ sobre desafios antigos e novas práticas comerciais no mercado interno(2025/2542(RSP))"/>
  </w:docVars>
  <w:rsids>
    <w:rsidRoot w:val="00BA6726"/>
    <w:rsid w:val="00002272"/>
    <w:rsid w:val="000513D1"/>
    <w:rsid w:val="00064002"/>
    <w:rsid w:val="000677B9"/>
    <w:rsid w:val="000831BA"/>
    <w:rsid w:val="000A42CC"/>
    <w:rsid w:val="000E7DD9"/>
    <w:rsid w:val="0010095E"/>
    <w:rsid w:val="00103118"/>
    <w:rsid w:val="00125B37"/>
    <w:rsid w:val="00187494"/>
    <w:rsid w:val="001F32AE"/>
    <w:rsid w:val="0026584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23C"/>
    <w:rsid w:val="0050519A"/>
    <w:rsid w:val="005072A1"/>
    <w:rsid w:val="00514517"/>
    <w:rsid w:val="00545827"/>
    <w:rsid w:val="00560270"/>
    <w:rsid w:val="005A0EA1"/>
    <w:rsid w:val="005C2568"/>
    <w:rsid w:val="005C74A0"/>
    <w:rsid w:val="005E22B8"/>
    <w:rsid w:val="005F1B17"/>
    <w:rsid w:val="006037C0"/>
    <w:rsid w:val="006631B6"/>
    <w:rsid w:val="00680577"/>
    <w:rsid w:val="006A3F2F"/>
    <w:rsid w:val="006F74FA"/>
    <w:rsid w:val="00731ADD"/>
    <w:rsid w:val="00734777"/>
    <w:rsid w:val="00747932"/>
    <w:rsid w:val="00751A4A"/>
    <w:rsid w:val="00756632"/>
    <w:rsid w:val="00762C74"/>
    <w:rsid w:val="00786EC0"/>
    <w:rsid w:val="007D072B"/>
    <w:rsid w:val="007D1690"/>
    <w:rsid w:val="007E22AD"/>
    <w:rsid w:val="00817416"/>
    <w:rsid w:val="00842779"/>
    <w:rsid w:val="0086399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3D0"/>
    <w:rsid w:val="00A1687D"/>
    <w:rsid w:val="00A41A97"/>
    <w:rsid w:val="00A43E52"/>
    <w:rsid w:val="00A4678D"/>
    <w:rsid w:val="00A778C7"/>
    <w:rsid w:val="00AB441E"/>
    <w:rsid w:val="00AB6293"/>
    <w:rsid w:val="00AE0928"/>
    <w:rsid w:val="00AF2930"/>
    <w:rsid w:val="00AF3B82"/>
    <w:rsid w:val="00B12E95"/>
    <w:rsid w:val="00B22876"/>
    <w:rsid w:val="00B558F0"/>
    <w:rsid w:val="00BA6726"/>
    <w:rsid w:val="00BD48FE"/>
    <w:rsid w:val="00BD7BD8"/>
    <w:rsid w:val="00BE6ADC"/>
    <w:rsid w:val="00C05BFE"/>
    <w:rsid w:val="00C23CD4"/>
    <w:rsid w:val="00C61C0C"/>
    <w:rsid w:val="00C916B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DB3"/>
    <w:rsid w:val="00E365E1"/>
    <w:rsid w:val="00E820A4"/>
    <w:rsid w:val="00E959F0"/>
    <w:rsid w:val="00EB006A"/>
    <w:rsid w:val="00EB4728"/>
    <w:rsid w:val="00EB4772"/>
    <w:rsid w:val="00ED169E"/>
    <w:rsid w:val="00ED4235"/>
    <w:rsid w:val="00F04346"/>
    <w:rsid w:val="00F075DC"/>
    <w:rsid w:val="00F149E9"/>
    <w:rsid w:val="00F5134D"/>
    <w:rsid w:val="00F66FB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3F746"/>
  <w15:chartTrackingRefBased/>
  <w15:docId w15:val="{52A5D910-2A32-48EB-85BB-5479554B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13D0"/>
    <w:pPr>
      <w:spacing w:before="480" w:after="240"/>
    </w:pPr>
  </w:style>
  <w:style w:type="paragraph" w:customStyle="1" w:styleId="NormalHanging12a">
    <w:name w:val="NormalHanging12a"/>
    <w:basedOn w:val="Normal"/>
    <w:rsid w:val="009A13D0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9A13D0"/>
    <w:rPr>
      <w:i/>
      <w:iCs/>
    </w:rPr>
  </w:style>
  <w:style w:type="character" w:styleId="Hyperlink">
    <w:name w:val="Hyperlink"/>
    <w:basedOn w:val="DefaultParagraphFont"/>
    <w:uiPriority w:val="99"/>
    <w:unhideWhenUsed/>
    <w:rsid w:val="009A13D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E22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22B8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C916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16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16B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916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16B7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882/oj" TargetMode="External"/><Relationship Id="rId7" Type="http://schemas.openxmlformats.org/officeDocument/2006/relationships/hyperlink" Target="http://data.europa.eu/eli/reg/2017/2394/oj" TargetMode="External"/><Relationship Id="rId2" Type="http://schemas.openxmlformats.org/officeDocument/2006/relationships/hyperlink" Target="http://data.europa.eu/eli/reg/2018/302/oj" TargetMode="External"/><Relationship Id="rId1" Type="http://schemas.openxmlformats.org/officeDocument/2006/relationships/hyperlink" Target="http://data.europa.eu/eli/reg/2024/2747/oj" TargetMode="External"/><Relationship Id="rId6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AA7C1-0545-497D-B795-D91AAAED0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3666</Words>
  <Characters>20716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CAMPS Beatriz</cp:lastModifiedBy>
  <cp:revision>2</cp:revision>
  <cp:lastPrinted>2004-11-19T15:42:00Z</cp:lastPrinted>
  <dcterms:created xsi:type="dcterms:W3CDTF">2025-06-05T12:07:00Z</dcterms:created>
  <dcterms:modified xsi:type="dcterms:W3CDTF">2025-06-05T12:07:00Z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B10-0246/2025</vt:lpwstr>
  </property>
  <property fmtid="{D5CDD505-2E9C-101B-9397-08002B2CF9AE}" pid="4" name="&lt;Type&gt;">
    <vt:lpwstr>RR</vt:lpwstr>
  </property>
</Properties>
</file>