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BE5CF7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E5CF7" w:rsidRDefault="006137CC">
            <w:pPr>
              <w:pStyle w:val="EPName"/>
            </w:pPr>
            <w:r>
              <w:t>Európsky parlament</w:t>
            </w:r>
          </w:p>
          <w:p w:rsidR="00BE5CF7" w:rsidRDefault="006137CC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:rsidR="00BE5CF7" w:rsidRDefault="006137CC"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E5CF7" w:rsidRDefault="00BE5CF7">
      <w:pPr>
        <w:pStyle w:val="LineTop"/>
      </w:pPr>
    </w:p>
    <w:p w:rsidR="00BE5CF7" w:rsidRDefault="006137CC">
      <w:pPr>
        <w:pStyle w:val="EPBodyTA1"/>
      </w:pPr>
      <w:r>
        <w:t>PRIJATÉ TEXTY</w:t>
      </w:r>
    </w:p>
    <w:p w:rsidR="00BE5CF7" w:rsidRDefault="00BE5CF7">
      <w:pPr>
        <w:pStyle w:val="LineBottom"/>
      </w:pPr>
    </w:p>
    <w:p w:rsidR="00BE5CF7" w:rsidRDefault="006137CC">
      <w:pPr>
        <w:pStyle w:val="ATHeading1"/>
      </w:pPr>
      <w:bookmarkStart w:id="0" w:name="TANumber"/>
      <w:r>
        <w:t>P10_TA(2025)0107</w:t>
      </w:r>
      <w:bookmarkEnd w:id="0"/>
    </w:p>
    <w:p w:rsidR="00BE5CF7" w:rsidRDefault="006137CC">
      <w:pPr>
        <w:pStyle w:val="ATHeading2"/>
      </w:pPr>
      <w:bookmarkStart w:id="1" w:name="title"/>
      <w:r>
        <w:t>Staré výzvy a nové obchodné postupy na vnútornom trhu</w:t>
      </w:r>
      <w:bookmarkEnd w:id="1"/>
    </w:p>
    <w:p w:rsidR="00BE5CF7" w:rsidRDefault="006137CC"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B10-0246/2025</w:instrText>
      </w:r>
      <w:bookmarkEnd w:id="2"/>
      <w:r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BE5CF7" w:rsidRDefault="006137CC">
      <w:pPr>
        <w:rPr>
          <w:vanish/>
        </w:rPr>
      </w:pPr>
      <w:bookmarkStart w:id="3" w:name="PE"/>
      <w:r>
        <w:rPr>
          <w:vanish/>
        </w:rPr>
        <w:t>PE772.165</w:t>
      </w:r>
      <w:bookmarkEnd w:id="3"/>
    </w:p>
    <w:p w:rsidR="00BE5CF7" w:rsidRDefault="006137CC">
      <w:pPr>
        <w:pStyle w:val="ATHeading3"/>
      </w:pPr>
      <w:bookmarkStart w:id="4" w:name="Sujet"/>
      <w:r>
        <w:t xml:space="preserve">Uznesenie Európskeho parlamentu z 8. mája 2025 o starých výzvach a nových </w:t>
      </w:r>
      <w:r>
        <w:t>obchodných postupoch na vnútornom trhu</w:t>
      </w:r>
      <w:bookmarkEnd w:id="4"/>
      <w:r>
        <w:t xml:space="preserve"> </w:t>
      </w:r>
      <w:bookmarkStart w:id="5" w:name="References"/>
      <w:r>
        <w:t>(2025/2542(RSP))</w:t>
      </w:r>
      <w:bookmarkEnd w:id="5"/>
    </w:p>
    <w:p w:rsidR="00BE5CF7" w:rsidRDefault="006137CC">
      <w:pPr>
        <w:pStyle w:val="EPComma"/>
      </w:pPr>
      <w:bookmarkStart w:id="6" w:name="TextBodyBegin"/>
      <w:bookmarkEnd w:id="6"/>
      <w:r>
        <w:rPr>
          <w:i/>
          <w:iCs/>
        </w:rPr>
        <w:t>Európsky parlament</w:t>
      </w:r>
      <w:r>
        <w:t>,</w:t>
      </w:r>
    </w:p>
    <w:p w:rsidR="00BE5CF7" w:rsidRDefault="006137CC">
      <w:pPr>
        <w:pStyle w:val="NormalHanging12a"/>
      </w:pPr>
      <w:r>
        <w:t>–</w:t>
      </w:r>
      <w:r>
        <w:tab/>
        <w:t>so zreteľom na svoje uznesenie z 18. januára 2023 k 30. výročiu jednotného trhu: oslava úspechov a pohľad na budúci vývoj</w:t>
      </w:r>
      <w:r>
        <w:rPr>
          <w:rStyle w:val="FootnoteReference"/>
        </w:rPr>
        <w:footnoteReference w:id="1"/>
      </w:r>
      <w:r>
        <w:t>,</w:t>
      </w:r>
    </w:p>
    <w:p w:rsidR="00BE5CF7" w:rsidRDefault="006137CC">
      <w:pPr>
        <w:pStyle w:val="NormalHanging12a"/>
      </w:pPr>
      <w:r>
        <w:t>–</w:t>
      </w:r>
      <w:r>
        <w:tab/>
        <w:t xml:space="preserve">so zreteľom na správu </w:t>
      </w:r>
      <w:proofErr w:type="spellStart"/>
      <w:r>
        <w:t>Enrica</w:t>
      </w:r>
      <w:proofErr w:type="spellEnd"/>
      <w:r>
        <w:t xml:space="preserve"> </w:t>
      </w:r>
      <w:proofErr w:type="spellStart"/>
      <w:r>
        <w:t>Lettu</w:t>
      </w:r>
      <w:proofErr w:type="spellEnd"/>
      <w:r>
        <w:t xml:space="preserve"> z 17. apríla 2024</w:t>
      </w:r>
      <w:r>
        <w:t xml:space="preserve"> s názvom „Oveľa viac než len trh“ (správa </w:t>
      </w:r>
      <w:proofErr w:type="spellStart"/>
      <w:r>
        <w:t>Enrica</w:t>
      </w:r>
      <w:proofErr w:type="spellEnd"/>
      <w:r>
        <w:t xml:space="preserve"> </w:t>
      </w:r>
      <w:proofErr w:type="spellStart"/>
      <w:r>
        <w:t>Lettu</w:t>
      </w:r>
      <w:proofErr w:type="spellEnd"/>
      <w:r>
        <w:t>),</w:t>
      </w:r>
    </w:p>
    <w:p w:rsidR="00BE5CF7" w:rsidRDefault="006137CC">
      <w:pPr>
        <w:pStyle w:val="NormalHanging12a"/>
      </w:pPr>
      <w:r>
        <w:t>–</w:t>
      </w:r>
      <w:r>
        <w:tab/>
        <w:t xml:space="preserve">so zreteľom na správu Maria </w:t>
      </w:r>
      <w:proofErr w:type="spellStart"/>
      <w:r>
        <w:t>Draghiho</w:t>
      </w:r>
      <w:proofErr w:type="spellEnd"/>
      <w:r>
        <w:t xml:space="preserve"> z 9. septembra 2024 s názvom „Budúcnosť európskej konkurencieschopnosti“ (správa Maria </w:t>
      </w:r>
      <w:proofErr w:type="spellStart"/>
      <w:r>
        <w:t>Draghiho</w:t>
      </w:r>
      <w:proofErr w:type="spellEnd"/>
      <w:r>
        <w:t>),</w:t>
      </w:r>
    </w:p>
    <w:p w:rsidR="00BE5CF7" w:rsidRDefault="006137CC">
      <w:pPr>
        <w:pStyle w:val="NormalHanging12a"/>
      </w:pPr>
      <w:r>
        <w:t>–</w:t>
      </w:r>
      <w:r>
        <w:tab/>
        <w:t>so zreteľom na oznámenie Komisie z 29. januára 2025 s názvo</w:t>
      </w:r>
      <w:r>
        <w:t>m „Výročná správa 2025 o jednotnom trhu a konkurencieschopnosti“ (COM(2025)0026),</w:t>
      </w:r>
    </w:p>
    <w:p w:rsidR="00BE5CF7" w:rsidRDefault="006137CC">
      <w:pPr>
        <w:pStyle w:val="NormalHanging12a"/>
      </w:pPr>
      <w:r>
        <w:t>–</w:t>
      </w:r>
      <w:r>
        <w:tab/>
        <w:t>so zreteľom na oznámenie Komisie z 29. januára 2025 s názvom „Kompas konkurencieschopnosti pre EÚ“ (COM(2025)0030),</w:t>
      </w:r>
    </w:p>
    <w:p w:rsidR="00BE5CF7" w:rsidRDefault="006137CC">
      <w:pPr>
        <w:pStyle w:val="NormalHanging12a"/>
      </w:pPr>
      <w:r>
        <w:t>–</w:t>
      </w:r>
      <w:r>
        <w:tab/>
        <w:t>so zreteľom na oznámenie Komisie z 11. februára 2025 s</w:t>
      </w:r>
      <w:r>
        <w:t xml:space="preserve"> názvom „Jednoduchšia a rýchlejšia Európa: oznámenie o vykonávaní a zjednodušení“ (COM(2025)0047),</w:t>
      </w:r>
    </w:p>
    <w:p w:rsidR="00BE5CF7" w:rsidRDefault="006137CC">
      <w:pPr>
        <w:pStyle w:val="NormalHanging12a"/>
      </w:pPr>
      <w:r>
        <w:t>–</w:t>
      </w:r>
      <w:r>
        <w:tab/>
        <w:t>so zreteľom na otázku Komisii o starých výzvach a nových obchodných postupoch na vnútornom trhu (O-000012/2025 - B10</w:t>
      </w:r>
      <w:r>
        <w:noBreakHyphen/>
        <w:t>0264/2025),</w:t>
      </w:r>
    </w:p>
    <w:p w:rsidR="00BE5CF7" w:rsidRDefault="006137CC">
      <w:pPr>
        <w:pStyle w:val="NormalHanging12a"/>
      </w:pPr>
      <w:r>
        <w:t>–</w:t>
      </w:r>
      <w:r>
        <w:tab/>
        <w:t>so zreteľom na článok 14</w:t>
      </w:r>
      <w:r>
        <w:t>2 ods. 5 a článok 136 ods. 2 rokovacieho poriadku,</w:t>
      </w:r>
    </w:p>
    <w:p w:rsidR="00BE5CF7" w:rsidRDefault="006137CC">
      <w:pPr>
        <w:pStyle w:val="NormalHanging12a"/>
      </w:pPr>
      <w:r>
        <w:t>A.</w:t>
      </w:r>
      <w:r>
        <w:tab/>
        <w:t>keďže schopnosť Európskej únie konkurovať a prosperovať v globálnom hospodárstve je veľmi dôležitá, najmä v kontexte súčasných geopolitických výziev, klimatickej krízy a iných environmentálnych kríz; ke</w:t>
      </w:r>
      <w:r>
        <w:t>ďže jej súčasná, strednodobá a dlhodobá konkurencieschopnosť závisí od plne integrovaného a efektívneho jednotného trhu, ktorý umožňuje európskym podnikom inovovať a prosperovať a uprednostňuje znižovanie administratívnej záťaže;</w:t>
      </w:r>
    </w:p>
    <w:p w:rsidR="00BE5CF7" w:rsidRDefault="006137CC">
      <w:pPr>
        <w:pStyle w:val="NormalHanging12a"/>
      </w:pPr>
      <w:r>
        <w:t>B.</w:t>
      </w:r>
      <w:r>
        <w:tab/>
        <w:t>keďže jednotný trh, kto</w:t>
      </w:r>
      <w:r>
        <w:t xml:space="preserve">rý zahŕňa takmer 450 miliónov občanov a 23 miliónov </w:t>
      </w:r>
      <w:r>
        <w:lastRenderedPageBreak/>
        <w:t>podnikov, vytvára hrubý domáci produkt (ďalej len „HDP“) vo výške 17 biliónov EUR, čím sa EÚ zaraďuje medzi tri najväčšie svetové ekonomiky a prispieva približne jednou šestinou k celosvetovej hospodárske</w:t>
      </w:r>
      <w:r>
        <w:t>j produkcii;</w:t>
      </w:r>
    </w:p>
    <w:p w:rsidR="00BE5CF7" w:rsidRDefault="006137CC">
      <w:pPr>
        <w:pStyle w:val="NormalHanging12a"/>
      </w:pPr>
      <w:r>
        <w:t>C.</w:t>
      </w:r>
      <w:r>
        <w:tab/>
        <w:t xml:space="preserve">keďže správa Maria </w:t>
      </w:r>
      <w:proofErr w:type="spellStart"/>
      <w:r>
        <w:t>Draghiho</w:t>
      </w:r>
      <w:proofErr w:type="spellEnd"/>
      <w:r>
        <w:t xml:space="preserve"> preukázala, že náklady na dodržiavanie predpisov vyplývajúce z rôznych právnych predpisov sú pre európske spoločnosti naďalej veľmi vysoké, čo brzdí európsku inovačnú kapacitu;</w:t>
      </w:r>
    </w:p>
    <w:p w:rsidR="00BE5CF7" w:rsidRDefault="006137CC">
      <w:pPr>
        <w:pStyle w:val="NormalHanging12a"/>
      </w:pPr>
      <w:r>
        <w:t>D.</w:t>
      </w:r>
      <w:r>
        <w:tab/>
        <w:t>keďže je naďalej nevyhnutné zlep</w:t>
      </w:r>
      <w:r>
        <w:t>šiť fungovanie jednotného trhu riešením pretrvávajúcej fragmentácie prostredníctvom spoločných, harmonizovaných politík EÚ, účinnejším vykonávaním a presadzovaním a zjednodušením pravidiel EÚ; keďže zníženie administratívnej záťaže a nákladov, najmä pre ma</w:t>
      </w:r>
      <w:r>
        <w:t>lé a stredné podniky (ďalej len „MSP“), môže pomôcť pri podpore inovácií a podporiť európske podniky; keďže uvoľnenie plného potenciálu jednotného trhu si vyžaduje prekonanie pretrvávajúcich prekážok voľného pohybu tovaru a služieb;</w:t>
      </w:r>
    </w:p>
    <w:p w:rsidR="00BE5CF7" w:rsidRDefault="006137CC">
      <w:pPr>
        <w:pStyle w:val="NormalHanging12a"/>
      </w:pPr>
      <w:r>
        <w:t>E.</w:t>
      </w:r>
      <w:r>
        <w:tab/>
        <w:t xml:space="preserve">keďže rýchly rozvoj </w:t>
      </w:r>
      <w:r>
        <w:t>digitálnych platforiem a elektronického obchodu priniesol novú dynamiku trhu a keďže vývojové trendy v globálnom elektronickom obchode vyvíjajú ďalší tlak na colné kontroly, dohľad nad trhom a orgány na ochranu spotrebiteľa;</w:t>
      </w:r>
    </w:p>
    <w:p w:rsidR="00BE5CF7" w:rsidRDefault="006137CC">
      <w:pPr>
        <w:pStyle w:val="NormalHanging12a"/>
      </w:pPr>
      <w:r>
        <w:t>F.</w:t>
      </w:r>
      <w:r>
        <w:tab/>
        <w:t>keďže geopolitické zmeny a g</w:t>
      </w:r>
      <w:r>
        <w:t xml:space="preserve">lobálne hospodárske transformácie menia dodávateľské reťazce, čo si vyžaduje, aby EÚ prispôsobila svoje politiky jednotného trhu; keďže EÚ stanovila najvyššie normy pre bezpečnosť výrobkov a ochranu spotrebiteľa, a to tak </w:t>
      </w:r>
      <w:proofErr w:type="spellStart"/>
      <w:r>
        <w:t>offline</w:t>
      </w:r>
      <w:proofErr w:type="spellEnd"/>
      <w:r>
        <w:t>, ako aj online;</w:t>
      </w:r>
    </w:p>
    <w:p w:rsidR="00BE5CF7" w:rsidRDefault="006137CC">
      <w:pPr>
        <w:pStyle w:val="NormalHanging12a"/>
      </w:pPr>
      <w:r>
        <w:t>G.</w:t>
      </w:r>
      <w:r>
        <w:tab/>
        <w:t>keďže p</w:t>
      </w:r>
      <w:r>
        <w:t>ozornosť bola upriamená na rastúci počet prípadov hlásených v celej EÚ, v ktorých sa napriek stabilným alebo rastúcim cenám ponúka tovar a služby so zníženým množstvom alebo kvalitou;</w:t>
      </w:r>
    </w:p>
    <w:p w:rsidR="00BE5CF7" w:rsidRDefault="006137CC">
      <w:pPr>
        <w:pStyle w:val="NormalHanging12a"/>
        <w:rPr>
          <w:b/>
          <w:i/>
          <w:iCs/>
        </w:rPr>
      </w:pPr>
      <w:r>
        <w:rPr>
          <w:b/>
          <w:i/>
        </w:rPr>
        <w:t>Staré a pretrvávajúce výzvy</w:t>
      </w:r>
    </w:p>
    <w:p w:rsidR="00BE5CF7" w:rsidRDefault="006137CC">
      <w:pPr>
        <w:pStyle w:val="NormalHanging12a"/>
      </w:pPr>
      <w:r>
        <w:t>1.</w:t>
      </w:r>
      <w:r>
        <w:tab/>
        <w:t>opätovne potvrdzuje, že jednotný trh je z</w:t>
      </w:r>
      <w:r>
        <w:t>ákladom európskej hospodárskej integrácie, pretože umožňuje voľný pohyb tovaru, služieb, kapitálu a osôb; zdôrazňuje však, že existujú dlhodobé a nové výzvy, ktoré si vyžadujú ambiciózne reformy bez toho, aby bola poškodená európska konkurencieschopnosť al</w:t>
      </w:r>
      <w:r>
        <w:t>ebo aby sa na podniky uvalila zbytočná administratívna záťaž; vyzýva Komisiu a členské štáty, aby urýchlili úsilie o realizáciu týchto reforiem a odstránili zostávajúce neopodstatnené prekážky voľného pohybu tovaru a služieb a zároveň zabezpečili vysokú úr</w:t>
      </w:r>
      <w:r>
        <w:t>oveň ochrany spotrebiteľa;</w:t>
      </w:r>
    </w:p>
    <w:p w:rsidR="00BE5CF7" w:rsidRDefault="006137CC">
      <w:pPr>
        <w:pStyle w:val="NormalHanging12a"/>
      </w:pPr>
      <w:r>
        <w:t>2.</w:t>
      </w:r>
      <w:r>
        <w:tab/>
        <w:t>vyzýva Komisiu a členské štáty, aby zachovali silnú ochranu spotrebiteľa a zároveň stanovili pravidlá hospodárskej súťaže, ktoré sú priaznivé pre inovácie, odolné voči budúcim zmenám a primerané; zdôrazňuje, že je potrebné zab</w:t>
      </w:r>
      <w:r>
        <w:t xml:space="preserve">ezpečiť právnu istotu a konzistentnosť a minimalizovať zložitosť a roztrieštenosť právnych predpisov, čo by mohlo mať neprimeraný vplyv na MSP, </w:t>
      </w:r>
      <w:proofErr w:type="spellStart"/>
      <w:r>
        <w:t>startupy</w:t>
      </w:r>
      <w:proofErr w:type="spellEnd"/>
      <w:r>
        <w:t xml:space="preserve"> a </w:t>
      </w:r>
      <w:proofErr w:type="spellStart"/>
      <w:r>
        <w:t>scaleupy</w:t>
      </w:r>
      <w:proofErr w:type="spellEnd"/>
      <w:r>
        <w:t>;</w:t>
      </w:r>
    </w:p>
    <w:p w:rsidR="00BE5CF7" w:rsidRDefault="006137CC">
      <w:pPr>
        <w:pStyle w:val="NormalHanging12a"/>
      </w:pPr>
      <w:r>
        <w:t>3.</w:t>
      </w:r>
      <w:r>
        <w:tab/>
        <w:t>zdôrazňuje, že pretrvávajúce prekážky a právne predpisy obmedzili rozvoj jednotného trhu</w:t>
      </w:r>
      <w:r>
        <w:t xml:space="preserve">, ako sa uvádza v </w:t>
      </w:r>
      <w:proofErr w:type="spellStart"/>
      <w:r>
        <w:t>Draghiho</w:t>
      </w:r>
      <w:proofErr w:type="spellEnd"/>
      <w:r>
        <w:t xml:space="preserve"> správe; vyzýva na posun smerom k regulačnému prístupu, ktorý spoločnostiam umožní rásť, inovovať a ujať sa vedenia na medzinárodnej úrovni, čím sa obnoví jednotný trh ako skutočný motor rastu a konkurencieschopnosti;</w:t>
      </w:r>
    </w:p>
    <w:p w:rsidR="00BE5CF7" w:rsidRDefault="006137CC">
      <w:pPr>
        <w:pStyle w:val="NormalHanging12a"/>
      </w:pPr>
      <w:r>
        <w:t>4.</w:t>
      </w:r>
      <w:r>
        <w:tab/>
        <w:t>vyzýva Ko</w:t>
      </w:r>
      <w:r>
        <w:t xml:space="preserve">misiu, aby zabezpečila, že budúce legislatívne iniciatívy sa budú dôsledne </w:t>
      </w:r>
      <w:r>
        <w:lastRenderedPageBreak/>
        <w:t>riadiť strategickými prioritami uvedenými v jej stratégii komunikácie a konkurencieschopnosti;</w:t>
      </w:r>
    </w:p>
    <w:p w:rsidR="00BE5CF7" w:rsidRDefault="006137CC">
      <w:pPr>
        <w:pStyle w:val="NormalHanging12a"/>
      </w:pPr>
      <w:r>
        <w:t>5.</w:t>
      </w:r>
      <w:r>
        <w:tab/>
        <w:t xml:space="preserve">zdôrazňuje, že ako ukázali správy </w:t>
      </w:r>
      <w:proofErr w:type="spellStart"/>
      <w:r>
        <w:t>Enrica</w:t>
      </w:r>
      <w:proofErr w:type="spellEnd"/>
      <w:r>
        <w:t xml:space="preserve"> </w:t>
      </w:r>
      <w:proofErr w:type="spellStart"/>
      <w:r>
        <w:t>Lettu</w:t>
      </w:r>
      <w:proofErr w:type="spellEnd"/>
      <w:r>
        <w:t xml:space="preserve"> a Maria </w:t>
      </w:r>
      <w:proofErr w:type="spellStart"/>
      <w:r>
        <w:t>Draghiho</w:t>
      </w:r>
      <w:proofErr w:type="spellEnd"/>
      <w:r>
        <w:t xml:space="preserve">, v sektore služieb </w:t>
      </w:r>
      <w:r>
        <w:t>stále existuje nevyužitý potenciál; vyzýva na ďalšie opatrenia v tomto sektore s cieľom odstrániť pretrvávajúce významné prekážky, počnúc stanovením ambicióznych cieľov v pripravovanej stratégii jednotného trhu; uvádza, že služby tvoria tri štvrtiny HDP EÚ</w:t>
      </w:r>
      <w:r>
        <w:t>, dve tretiny zamestnanosti a vytvárajú 9 z 10 nových pracovných miest v hospodárstve EÚ; konštatuje však tiež, že služby sú stále najmenej rozvinutým segmentom jednotného trhu EÚ;</w:t>
      </w:r>
    </w:p>
    <w:p w:rsidR="00BE5CF7" w:rsidRDefault="006137CC">
      <w:pPr>
        <w:pStyle w:val="NormalHanging12a"/>
      </w:pPr>
      <w:r>
        <w:t>6.</w:t>
      </w:r>
      <w:r>
        <w:tab/>
        <w:t>víta návrh nariadenia o verejnom rozhraní prepojenom s informačným systé</w:t>
      </w:r>
      <w:r>
        <w:t>mom o vnútornom trhu na účely vyhlásenia o vyslaní pracovníkov a o zmene nariadenia (EÚ) č. 1024/2012</w:t>
      </w:r>
      <w:r>
        <w:rPr>
          <w:shd w:val="clear" w:color="auto" w:fill="FFFFFF"/>
        </w:rPr>
        <w:t>(COM(2024)0</w:t>
      </w:r>
      <w:r>
        <w:rPr>
          <w:shd w:val="clear" w:color="auto" w:fill="FFFFFF"/>
        </w:rPr>
        <w:t>531)</w:t>
      </w:r>
      <w:r>
        <w:t xml:space="preserve">, ktorý by mal viesť k zjednodušeniu a posilneniu presadzovania; konštatuje tiež, že digitalizácia by mohla výrazne znížiť administratívne </w:t>
      </w:r>
      <w:r>
        <w:t>zaťaženie cezhraničných služieb a zabezpečiť lepší prístup pre podniky a spotrebiteľov; v tejto súvislosti vyzýva na vytvorenie jednotného portálu na podávanie vyhlásení a digitalizáciu formulárov A1 pre cezhraničné služby;</w:t>
      </w:r>
    </w:p>
    <w:p w:rsidR="00BE5CF7" w:rsidRDefault="006137CC">
      <w:pPr>
        <w:pStyle w:val="NormalHanging12a"/>
      </w:pPr>
      <w:r>
        <w:t>7.</w:t>
      </w:r>
      <w:r>
        <w:tab/>
        <w:t>zdôrazňuje význam účinného uz</w:t>
      </w:r>
      <w:r>
        <w:t>návania odborných kvalifikácií a odstránenia neopodstatnených prekážok voľného pohybu odborníkov, aby boli odborné služby EÚ v budúcich desaťročiach konkurencieschopné na celom svete; nabáda Komisiu, aby bola aj naďalej ostražitá v postupoch v prípade nesp</w:t>
      </w:r>
      <w:r>
        <w:t>lnenia povinnosti, keď členské štáty nedodržiavajú právne predpisy EÚ o uznávaní kvalifikácií;</w:t>
      </w:r>
    </w:p>
    <w:p w:rsidR="00BE5CF7" w:rsidRDefault="006137CC">
      <w:pPr>
        <w:pStyle w:val="NormalHanging12a"/>
      </w:pPr>
      <w:r>
        <w:t>8.</w:t>
      </w:r>
      <w:r>
        <w:tab/>
        <w:t>zdôrazňuje, že pravidlá jednotného trhu by mali chrániť prístup k verejným službám a zachovávať práva spotrebiteľov, ako aj iné prvoradé dôvody verejného záuj</w:t>
      </w:r>
      <w:r>
        <w:t>mu; dodáva, že každé hodnotenie na posúdenie obmedzení na jednotnom trhu služieb by malo zahŕňať kvalitatívne kritériá;</w:t>
      </w:r>
    </w:p>
    <w:p w:rsidR="00BE5CF7" w:rsidRDefault="006137CC">
      <w:pPr>
        <w:pStyle w:val="NormalHanging12a"/>
      </w:pPr>
      <w:r>
        <w:t>9.</w:t>
      </w:r>
      <w:r>
        <w:tab/>
        <w:t>poukazuje na úlohu, ktorú môže verejné obstarávanie EÚ zohrávať pri prekonávaní prekážok vstupu na trh, podpore udržateľných a odolný</w:t>
      </w:r>
      <w:r>
        <w:t>ch priemyselných ekosystémov a kvalitných pracovných miest a vytváraní hodnôt v EÚ;</w:t>
      </w:r>
    </w:p>
    <w:p w:rsidR="00BE5CF7" w:rsidRDefault="006137CC">
      <w:pPr>
        <w:pStyle w:val="NormalHanging12a"/>
      </w:pPr>
      <w:r>
        <w:t>10.</w:t>
      </w:r>
      <w:r>
        <w:tab/>
        <w:t xml:space="preserve">uznáva, že nový legislatívny rámec prispel k jednotnosti právnych predpisov EÚ o výrobkoch a že od jeho prijatia došlo v priemyselnom odvetví, dodávateľských reťazcoch </w:t>
      </w:r>
      <w:r>
        <w:t xml:space="preserve">a výrobkoch k významným zmenám v súvislosti s digitálnou a zelenou transformáciou, ale aj k zmenám v dynamike trhu; konštatuje, že v hodnotení nového legislatívneho rámca v roku 2022 boli identifikované kritické výzvy, ako napríklad potenciálny zahraničný </w:t>
      </w:r>
      <w:r>
        <w:t>vplyv, nezákonné praktiky, nedostatky pri riešení digitalizácie a obehového hospodárstva a prípadné aktualizácie povinností a vymedzení pojmov pre niektoré hospodárske subjekty s cieľom zohľadniť novú trhovú realitu;</w:t>
      </w:r>
    </w:p>
    <w:p w:rsidR="00BE5CF7" w:rsidRDefault="006137CC">
      <w:pPr>
        <w:pStyle w:val="NormalHanging12a"/>
      </w:pPr>
      <w:r>
        <w:t>11.</w:t>
      </w:r>
      <w:r>
        <w:tab/>
        <w:t>zdôrazňuje, že riešenie týchto otáz</w:t>
      </w:r>
      <w:r>
        <w:t>ok a zabezpečenie odolnosti nového legislatívneho rámca voči budúcim zmenám je nevyhnutné na zabezpečenie súdržnosti, zníženie nákladov a zabezpečenie voľného pohybu tovaru; žiada preto aktualizáciu nového legislatívneho rámca s cieľom zefektívniť pravidlá</w:t>
      </w:r>
      <w:r>
        <w:t xml:space="preserve"> týkajúce sa výrobkov, podporiť digitalizáciu a zjednodušiť postupy dodržiavania predpisov a dohľadu nad trhom; domnieva sa, že nový legislatívny rámec by mal podporovať používanie digitálnych pasov výrobkov ako prostriedku na preukázanie zhody výrobkov a </w:t>
      </w:r>
      <w:r>
        <w:t>splnenia požiadaviek na informácie;</w:t>
      </w:r>
    </w:p>
    <w:p w:rsidR="00BE5CF7" w:rsidRDefault="006137CC">
      <w:pPr>
        <w:pStyle w:val="NormalHanging12a"/>
      </w:pPr>
      <w:r>
        <w:lastRenderedPageBreak/>
        <w:t>12.</w:t>
      </w:r>
      <w:r>
        <w:tab/>
        <w:t>vyzýva Komisiu a členské štáty, aby zjednodušili pravidlá EÚ, uľahčili ich vykonávanie a výrazne znížili administratívne zaťaženie, najmä pre MSP, ktoré zohrávajú kľúčovú úlohu pri udržiavaní miestnych komunít a ekon</w:t>
      </w:r>
      <w:r>
        <w:t>omík; zdôrazňuje, že je dôležité zabezpečiť právnu istotu a konzistentnosť pre podniky, ako aj predvídateľnosť dlhodobých investícií, ktoré sú nevyhnutné na zvýšenie konkurencieschopnosti, inovácie a odolnosti a na rýchle a zmysluplné zlepšenie situácie sp</w:t>
      </w:r>
      <w:r>
        <w:t>otrebiteľov a podnikov; okrem toho vyzýva členské štáty, aby zabránili opatreniam, ktoré by mohli ohroziť rovnaké podmienky na vnútornom trhu;</w:t>
      </w:r>
    </w:p>
    <w:p w:rsidR="00BE5CF7" w:rsidRDefault="006137CC">
      <w:pPr>
        <w:pStyle w:val="NormalHanging12a"/>
      </w:pPr>
      <w:r>
        <w:t>13.</w:t>
      </w:r>
      <w:r>
        <w:tab/>
        <w:t xml:space="preserve">vyzýva Komisiu, aby uľahčila aktivity MSP a malých spoločností so strednou kapitalizáciou na jednotnom trhu, </w:t>
      </w:r>
      <w:r>
        <w:t>a to pomocou osobitného balíka zjednodušujúcich opatrení;</w:t>
      </w:r>
    </w:p>
    <w:p w:rsidR="00BE5CF7" w:rsidRDefault="006137CC">
      <w:pPr>
        <w:pStyle w:val="NormalHanging12a"/>
      </w:pPr>
      <w:r>
        <w:t>14.</w:t>
      </w:r>
      <w:r>
        <w:tab/>
        <w:t>uznáva, že nejednotné a roztrieštené presadzovanie právnych predpisov EÚ v členských štátoch naďalej narúša hospodársku súťaž a oslabuje integritu jednotného trhu; dodáva, že hlavnú zodpovednosť</w:t>
      </w:r>
      <w:r>
        <w:t xml:space="preserve"> za presadzovanie pravidiel EÚ nesú členské štáty; vyzýva Komisiu, aby v plnej miere využila svoje právomoci v oblasti presadzovania práva; vyzýva na zlepšenie mechanizmov monitorovania a presadzovania práva na úrovni EÚ, ako sú harmonizované pravidlá týka</w:t>
      </w:r>
      <w:r>
        <w:t>júce sa minimálnej úrovne kontrol, harmonizované metodiky vykonávania týchto kontrol a spoločné inšpekcie, aby sa zabezpečilo jednotné uplatňovanie právnych predpisov EÚ a v príslušných prípadoch rýchle odškodnenie spotrebiteľov;</w:t>
      </w:r>
    </w:p>
    <w:p w:rsidR="00BE5CF7" w:rsidRDefault="006137CC">
      <w:pPr>
        <w:pStyle w:val="NormalHanging12a"/>
      </w:pPr>
      <w:r>
        <w:t>15.</w:t>
      </w:r>
      <w:r>
        <w:tab/>
        <w:t>zdôrazňuje význam zach</w:t>
      </w:r>
      <w:r>
        <w:t xml:space="preserve">ovania konkurenčného a dynamického hospodárskeho prostredia prostredníctvom ochrany práv spotrebiteľov a presadzovania pravidiel digitálnej hospodárskej súťaže s cieľom riešiť nekalé obchodné praktiky, ktoré narúšajú trhové podmienky; ďalej vyzýva členské </w:t>
      </w:r>
      <w:r>
        <w:t>štáty, aby zvýšili kapacitu orgánov dohľadu nad trhom a colných orgánov s cieľom zabezpečiť účinné presadzovanie pravidiel jednotného trhu, najmä pokiaľ ide o elektronický obchod a dovoz z krajín mimo EÚ;</w:t>
      </w:r>
    </w:p>
    <w:p w:rsidR="00BE5CF7" w:rsidRDefault="006137CC">
      <w:pPr>
        <w:pStyle w:val="NormalHanging12a"/>
      </w:pPr>
      <w:r>
        <w:t>16.</w:t>
      </w:r>
      <w:r>
        <w:tab/>
        <w:t>pripomína, že územné obmedzenia ponuky v maloob</w:t>
      </w:r>
      <w:r>
        <w:t xml:space="preserve">chodnom a veľkoobchodnom segmente </w:t>
      </w:r>
      <w:proofErr w:type="spellStart"/>
      <w:r>
        <w:t>fragmentujú</w:t>
      </w:r>
      <w:proofErr w:type="spellEnd"/>
      <w:r>
        <w:t xml:space="preserve"> jednotný trh, obmedzujú výber spotrebiteľov a prispievajú k výrazným cenovým rozdielom v celej Únii, čo má vplyv najmä na ceny základného spotrebného tovaru; zdôrazňuje, že hoci právo hospodárskej súťaže niekto</w:t>
      </w:r>
      <w:r>
        <w:t>ré z týchto praktík účinne postihuje, mnohé z nich nepatria do jeho pôsobnosti; vyzýva preto Komisiu, aby navrhla opatrenia na riešenie tohto problému vrátane prísnejšieho presadzovania práva proti dohodám o distribúcii, ktoré narúšajú hospodársku súťaž, s</w:t>
      </w:r>
      <w:r>
        <w:t xml:space="preserve"> cieľom zabezpečiť spravodlivú hospodársku súťaž a tým aj integritu jednotného trhu;</w:t>
      </w:r>
    </w:p>
    <w:p w:rsidR="00BE5CF7" w:rsidRDefault="006137CC">
      <w:pPr>
        <w:pStyle w:val="NormalHanging12a"/>
      </w:pPr>
      <w:r>
        <w:t>17.</w:t>
      </w:r>
      <w:r>
        <w:tab/>
        <w:t>vyzýva Komisiu, aby preskúmala príčiny rozdielnych úrovní inflácie cien základného tovaru a zvýšenia spotrebiteľských cien, ktoré boli zaznamenané v niektorých členský</w:t>
      </w:r>
      <w:r>
        <w:t>ch štátoch EÚ;</w:t>
      </w:r>
    </w:p>
    <w:p w:rsidR="00BE5CF7" w:rsidRDefault="006137CC">
      <w:pPr>
        <w:pStyle w:val="NormalHanging12a"/>
      </w:pPr>
      <w:r>
        <w:t>18.</w:t>
      </w:r>
      <w:r>
        <w:tab/>
        <w:t>domnieva sa, že jednotný trh je kľúčovým nástrojom v čase krízy, ak členské štáty dokážu konať koordinovane; domnieva sa, že nedávno prijatý akt o núdzovej situácii na vnútornom trhu a jeho odolnosti</w:t>
      </w:r>
      <w:r>
        <w:rPr>
          <w:rStyle w:val="FootnoteReference"/>
        </w:rPr>
        <w:footnoteReference w:id="2"/>
      </w:r>
      <w:r>
        <w:t xml:space="preserve"> bude kľúčový pre zabezpečenie koordinácie s cieľom </w:t>
      </w:r>
      <w:r>
        <w:lastRenderedPageBreak/>
        <w:t>predchádzať nedostatkom a zabezpečiť hladké fungovanie jednotného trhu vrátane voľného pohybu základného tovaru a služieb v celej EÚ;</w:t>
      </w:r>
    </w:p>
    <w:p w:rsidR="00BE5CF7" w:rsidRDefault="006137CC">
      <w:pPr>
        <w:pStyle w:val="NormalHanging12a"/>
      </w:pPr>
      <w:r>
        <w:t>19.</w:t>
      </w:r>
      <w:r>
        <w:tab/>
        <w:t>vyzýva Komisiu, aby umožnila spotrebiteľom ľahko uplatňovať ich pr</w:t>
      </w:r>
      <w:r>
        <w:t>áva cestujúcich zriadením vnútroštátnych orgánov na presadzovanie práva, ktoré by mali mať harmonizované právomoci v oblasti vyšetrovania a presadzovania práva a ktoré by mali byť schopné účinne vybavovať individuálne sťažnosti a súvisiace pokuty;</w:t>
      </w:r>
    </w:p>
    <w:p w:rsidR="00BE5CF7" w:rsidRDefault="006137CC">
      <w:pPr>
        <w:pStyle w:val="NormalHanging12a"/>
      </w:pPr>
      <w:r>
        <w:t>20.</w:t>
      </w:r>
      <w:r>
        <w:tab/>
        <w:t>zdôr</w:t>
      </w:r>
      <w:r>
        <w:t>azňuje, že opatrenia v oblasti elektronického obchodu zamerané na geografické blokovanie, najmä nariadenie o geografickom blokovaní</w:t>
      </w:r>
      <w:r>
        <w:rPr>
          <w:rStyle w:val="FootnoteReference"/>
        </w:rPr>
        <w:footnoteReference w:id="3"/>
      </w:r>
      <w:r>
        <w:t xml:space="preserve">, prispeli k vytvoreniu rámca pre menej </w:t>
      </w:r>
      <w:proofErr w:type="spellStart"/>
      <w:r>
        <w:t>fragmentovaný</w:t>
      </w:r>
      <w:proofErr w:type="spellEnd"/>
      <w:r>
        <w:t xml:space="preserve"> jednotný trh a k zvýšeniu možnosti výberu pre spotrebiteľov pri nakupo</w:t>
      </w:r>
      <w:r>
        <w:t>vaní online; so znepokojením konštatuje, že vykonávanie nariadenia bolo nedostatočné;</w:t>
      </w:r>
    </w:p>
    <w:p w:rsidR="00BE5CF7" w:rsidRDefault="006137CC">
      <w:pPr>
        <w:pStyle w:val="NormalHanging12a"/>
      </w:pPr>
      <w:r>
        <w:t>21.</w:t>
      </w:r>
      <w:r>
        <w:tab/>
        <w:t>upozorňuje, že európsky akt o prístupnosti</w:t>
      </w:r>
      <w:r>
        <w:rPr>
          <w:rStyle w:val="FootnoteReference"/>
        </w:rPr>
        <w:footnoteReference w:id="4"/>
      </w:r>
      <w:r>
        <w:t xml:space="preserve"> sa začne uplatňovať vo všetkých členských štátoch EÚ od 28. júna 2025; zdôrazňuje, že je dôležité, aby ho členské štáty v </w:t>
      </w:r>
      <w:r>
        <w:t>plnej miere a účinne vykonávali s cieľom zabezpečiť harmonizáciu požiadaviek na prístupnosť výrobkov a služieb, a tým zaručiť ich prístupnosť pre osoby so zdravotným postihnutím na celom vnútornom trhu EÚ;</w:t>
      </w:r>
    </w:p>
    <w:p w:rsidR="00BE5CF7" w:rsidRDefault="006137CC">
      <w:pPr>
        <w:pStyle w:val="NormalHanging12a"/>
        <w:rPr>
          <w:b/>
          <w:i/>
          <w:iCs/>
        </w:rPr>
      </w:pPr>
      <w:r>
        <w:rPr>
          <w:b/>
          <w:i/>
        </w:rPr>
        <w:t>Nové obchodné praktiky</w:t>
      </w:r>
    </w:p>
    <w:p w:rsidR="00BE5CF7" w:rsidRDefault="006137CC">
      <w:pPr>
        <w:pStyle w:val="NormalHanging12a"/>
      </w:pPr>
      <w:r>
        <w:t>22.</w:t>
      </w:r>
      <w:r>
        <w:tab/>
        <w:t>zdôrazňuje, že rýchly r</w:t>
      </w:r>
      <w:r>
        <w:t>ozvoj digitálnych platforiem a elektronického obchodu priniesol novú dynamiku trhu a vytvoril nové príležitosti, výzvy a riziká pre používateľov; berie na vedomie, že akt o digitálnych trhoch</w:t>
      </w:r>
      <w:r>
        <w:rPr>
          <w:rStyle w:val="FootnoteReference"/>
        </w:rPr>
        <w:footnoteReference w:id="5"/>
      </w:r>
      <w:r>
        <w:t xml:space="preserve"> (DMA) a akt o digitálnych službách</w:t>
      </w:r>
      <w:r>
        <w:rPr>
          <w:rStyle w:val="FootnoteReference"/>
        </w:rPr>
        <w:footnoteReference w:id="6"/>
      </w:r>
      <w:r>
        <w:t xml:space="preserve"> (DSA) predstavujú kľúčové l</w:t>
      </w:r>
      <w:r>
        <w:t xml:space="preserve">egislatívne nástroje, ktoré zabezpečujú spravodlivú hospodársku súťaž, </w:t>
      </w:r>
      <w:proofErr w:type="spellStart"/>
      <w:r>
        <w:t>súťažeschopnosť</w:t>
      </w:r>
      <w:proofErr w:type="spellEnd"/>
      <w:r>
        <w:t xml:space="preserve"> a spravodlivosť v digitálnych platformách a zároveň podporujú ochranu spotrebiteľa a bezpečnejšie, dôveryhodnejšie a transparentnejšie digitálne prostredie v digitálnom </w:t>
      </w:r>
      <w:r>
        <w:t>hospodárstve; vyzýva na riadne presadzovanie právnych predpisov EÚ v oblasti nových technológií, aby sa zabezpečila skutočná, nezávislá a informovaná voľba, ochrana a spravodlivá hospodárska súťaž spotrebiteľov;</w:t>
      </w:r>
    </w:p>
    <w:p w:rsidR="00BE5CF7" w:rsidRDefault="006137CC">
      <w:pPr>
        <w:pStyle w:val="NormalHanging12a"/>
      </w:pPr>
      <w:r>
        <w:t>23.</w:t>
      </w:r>
      <w:r>
        <w:tab/>
        <w:t>považuje za nevyhnutné zabezpečiť účinné</w:t>
      </w:r>
      <w:r>
        <w:t xml:space="preserve"> vykonávanie a presadzovanie týchto dvoch legislatívnych aktov a vyzýva Komisiu, aby ukončila prebiehajúce vyšetrovania v rámci </w:t>
      </w:r>
      <w:r>
        <w:lastRenderedPageBreak/>
        <w:t>DSA a DMA;</w:t>
      </w:r>
    </w:p>
    <w:p w:rsidR="00BE5CF7" w:rsidRDefault="006137CC">
      <w:pPr>
        <w:pStyle w:val="NormalHanging12a"/>
      </w:pPr>
      <w:r>
        <w:t>24.</w:t>
      </w:r>
      <w:r>
        <w:tab/>
        <w:t>zdôrazňuje, že pri vykonávaní aktu o digitálnych službách sa musí plne rešpektovať sloboda prejavu; zdôrazňuje, ž</w:t>
      </w:r>
      <w:r>
        <w:t>e opatrenia proti nezákonnému obsahu nesmú obmedzovať zákonné prejavy, a vyzýva na transparentné presadzovanie s cieľom chrániť otvorený a demokratický digitálny priestor;</w:t>
      </w:r>
    </w:p>
    <w:p w:rsidR="00BE5CF7" w:rsidRDefault="006137CC">
      <w:pPr>
        <w:pStyle w:val="NormalHanging12a"/>
      </w:pPr>
      <w:r>
        <w:t>25.</w:t>
      </w:r>
      <w:r>
        <w:tab/>
        <w:t>vyzýva Komisiu a členské štáty, aby zabezpečili, že akt o umelej inteligencii (A</w:t>
      </w:r>
      <w:r>
        <w:t>I)</w:t>
      </w:r>
      <w:r>
        <w:rPr>
          <w:rStyle w:val="FootnoteReference"/>
        </w:rPr>
        <w:footnoteReference w:id="7"/>
      </w:r>
      <w:r>
        <w:t xml:space="preserve"> zachová prístup založený na riziku a priaznivý pre inovácie, čím sa zabezpečí, že požiadavky na dodržiavanie súladu budú primerané skutočným rizikám, ktoré predstavujú aplikácie AI, a zároveň sa bude rešpektovať potreba zabezpečiť vysokú úroveň ochrany</w:t>
      </w:r>
      <w:r>
        <w:t xml:space="preserve"> zdravia, bezpečnosti a základných práv;</w:t>
      </w:r>
    </w:p>
    <w:p w:rsidR="00BE5CF7" w:rsidRDefault="006137CC">
      <w:pPr>
        <w:pStyle w:val="NormalHanging12a"/>
      </w:pPr>
      <w:r>
        <w:t>26.</w:t>
      </w:r>
      <w:r>
        <w:tab/>
        <w:t>víta kontrolu digitálnej spravodlivosti, ktorú Komisia vykonala v oblasti spotrebiteľského práva, a nadchádzajúcu verejnú konzultáciu; zdôrazňuje, že niektoré otázky týkajúce sa ochrany spotrebiteľov na internet</w:t>
      </w:r>
      <w:r>
        <w:t>e zostávajú nevyriešené, čo vedie k nerovnováhe medzi spotrebiteľmi a obchodníkmi v rámci digitálneho hospodárstva; vyzýva Komisiu, aby sa týmito otázkami zaoberala v pripravovanom akte o digitálnej spravodlivosti; domnieva sa, že digitálna závislosť, onli</w:t>
      </w:r>
      <w:r>
        <w:t xml:space="preserve">ne hazardné hry, ochrana maloletých online a </w:t>
      </w:r>
      <w:proofErr w:type="spellStart"/>
      <w:r>
        <w:t>presviedčacie</w:t>
      </w:r>
      <w:proofErr w:type="spellEnd"/>
      <w:r>
        <w:t xml:space="preserve"> technológie používané online subjektmi, ako je cielená reklama, reklama </w:t>
      </w:r>
      <w:proofErr w:type="spellStart"/>
      <w:r>
        <w:t>influencerov</w:t>
      </w:r>
      <w:proofErr w:type="spellEnd"/>
      <w:r>
        <w:t xml:space="preserve"> a temné vzorce, by mali spadať pod akt o digitálnej spravodlivosti, ktorý by mal odstrániť právne medzery a byť </w:t>
      </w:r>
      <w:r>
        <w:t>v súlade so súčasnými právnymi nástrojmi s cieľom lepšie chrániť spotrebiteľov online, pričom by sa mala zohľadniť potreba vyhnúť sa zbytočnej regulačnej záťaži;</w:t>
      </w:r>
    </w:p>
    <w:p w:rsidR="00BE5CF7" w:rsidRDefault="006137CC">
      <w:pPr>
        <w:pStyle w:val="NormalHanging12a"/>
      </w:pPr>
      <w:r>
        <w:t>27.</w:t>
      </w:r>
      <w:r>
        <w:tab/>
        <w:t>konštatuje, že vývojové trendy v globálnom elektronickom obchode a reštrukturalizácii dodá</w:t>
      </w:r>
      <w:r>
        <w:t>vateľského reťazca zvyšujú tlak na colné kontroly, dohľad nad trhom a orgány na ochranu spotrebiteľa; zdôrazňuje, že objem nebezpečných a nezákonných výrobkov predávaných na platformách elektronického obchodu, najmä z krajín mimo EÚ, sa v posledných rokoch</w:t>
      </w:r>
      <w:r>
        <w:t xml:space="preserve"> zvyšuje; zdôrazňuje význam digitálnych pasov výrobkov v týchto procesoch; vyzýva preto na posilnenie rámca dohľadu nad trhom a revíziu nariadenia o spolupráci v oblasti ochrany spotrebiteľa</w:t>
      </w:r>
      <w:r>
        <w:rPr>
          <w:rStyle w:val="FootnoteReference"/>
        </w:rPr>
        <w:footnoteReference w:id="8"/>
      </w:r>
      <w:r>
        <w:t xml:space="preserve"> a vyzýva Radu, aby urýchlene prijala svoju pozíciu s cieľom umož</w:t>
      </w:r>
      <w:r>
        <w:t>niť prijatie revidovaného Colného kódexu Únie a zriadenie colného orgánu EÚ v roku 2026;</w:t>
      </w:r>
    </w:p>
    <w:p w:rsidR="00BE5CF7" w:rsidRDefault="006137CC">
      <w:pPr>
        <w:pStyle w:val="NormalHanging12a"/>
      </w:pPr>
      <w:r>
        <w:t>28.</w:t>
      </w:r>
      <w:r>
        <w:tab/>
        <w:t>vyzýva členské štáty, aby vnútroštátnym orgánom pridelili dostatočné technické, ľudské a finančné zdroje; vyzýva členské štáty a Komisiu, aby zabezpečili dostatočn</w:t>
      </w:r>
      <w:r>
        <w:t>é finančné prostriedky a odborné znalosti na posilnenie colných orgánov a dohľadu nad trhom v celej Únii a zintenzívnili spoločné činnosti a testovanie EÚ;</w:t>
      </w:r>
    </w:p>
    <w:p w:rsidR="00BE5CF7" w:rsidRDefault="006137CC">
      <w:pPr>
        <w:pStyle w:val="NormalHanging12a"/>
      </w:pPr>
      <w:r>
        <w:lastRenderedPageBreak/>
        <w:t>29.</w:t>
      </w:r>
      <w:r>
        <w:tab/>
        <w:t xml:space="preserve">zdôrazňuje, že je potrebné posilniť ochranu spotrebiteľa na online aj </w:t>
      </w:r>
      <w:proofErr w:type="spellStart"/>
      <w:r>
        <w:t>offline</w:t>
      </w:r>
      <w:proofErr w:type="spellEnd"/>
      <w:r>
        <w:t xml:space="preserve"> trhoch, zabezpečiť</w:t>
      </w:r>
      <w:r>
        <w:t xml:space="preserve"> transparentnosť reklamy a cien, najmä pokiaľ ide o dynamické ceny, zabezpečiť spravodlivé obchodné postupy a prísnejšie záruky proti podvodom s cieľom posilniť dôveru spotrebiteľov v cezhraničný obchod a najvyššiu úroveň ochrany;</w:t>
      </w:r>
    </w:p>
    <w:p w:rsidR="00BE5CF7" w:rsidRDefault="006137CC">
      <w:pPr>
        <w:pStyle w:val="NormalHanging12a"/>
      </w:pPr>
      <w:r>
        <w:t>30.</w:t>
      </w:r>
      <w:r>
        <w:tab/>
        <w:t xml:space="preserve">zdôrazňuje, že čoraz </w:t>
      </w:r>
      <w:r>
        <w:t>viac pozornosti sa venuje prípadom, kedy sa za rovnakú alebo vyššiu cenu ponúkajú tovary a služby menšieho množstva alebo nižšej kvality; vyzýva Komisiu, aby posúdila rozsah a základné príčiny takýchto praktík a preskúmala vhodné opatrenia na zvýšenie tran</w:t>
      </w:r>
      <w:r>
        <w:t>sparentnosti a informovanosti spotrebiteľov;</w:t>
      </w:r>
    </w:p>
    <w:p w:rsidR="00BE5CF7" w:rsidRDefault="006137CC">
      <w:pPr>
        <w:pStyle w:val="NormalHanging12a"/>
      </w:pPr>
      <w:r>
        <w:t>31.</w:t>
      </w:r>
      <w:r>
        <w:tab/>
        <w:t>zdôrazňuje, že environmentálna udržateľnosť a hľadisko spravodlivého obchodu čoraz viac formujú obchodné postupy, pretože zohrávajú dôležitú úlohu pri rozhodovaní spotrebiteľov o nákupe a následne vedú podni</w:t>
      </w:r>
      <w:r>
        <w:t>ky k udržateľnosti; dodáva, že transparentnosť a informovanosť spotrebiteľov o environmentálnych aspektoch, ako aj o sociálne zodpovedných a etických výrobných procesoch umožňujú spotrebiteľom osvojiť si udržateľné modely spotreby;</w:t>
      </w:r>
    </w:p>
    <w:p w:rsidR="00BE5CF7" w:rsidRDefault="006137CC">
      <w:pPr>
        <w:pStyle w:val="NormalHanging12a"/>
      </w:pPr>
      <w:r>
        <w:t>32.</w:t>
      </w:r>
      <w:r>
        <w:tab/>
        <w:t>vyzýva Komisiu a čle</w:t>
      </w:r>
      <w:r>
        <w:t>nské štáty, aby v tejto súvislosti zachovali svoju ambicióznosť a ďalej pracovali na celoeurópskych systémoch označovania; pripomína, že cieľom smernice o tvrdeniach týkajúcich sa životného prostredia je vytvoriť nástroj na ochranu spotrebiteľov pred envir</w:t>
      </w:r>
      <w:r>
        <w:t>onmentálne klamlivými vyhláseniami stanovením požiadaviek na odôvodnenie a overenie;</w:t>
      </w:r>
    </w:p>
    <w:p w:rsidR="00BE5CF7" w:rsidRDefault="006137CC">
      <w:pPr>
        <w:pStyle w:val="NormalHanging12a"/>
      </w:pPr>
      <w:r>
        <w:t>33.</w:t>
      </w:r>
      <w:r>
        <w:tab/>
        <w:t>zdôrazňuje, že je potrebné ďalej bojovať proti klamlivej reklame a environmentálne klamlivým vyhláseniam a posilniť trh s použitým tovarom; upozorňuje však, že reštrik</w:t>
      </w:r>
      <w:r>
        <w:t>tívne pravidlá udržateľnosti môžu mať negatívny vplyv na európsku konkurencieschopnosť;</w:t>
      </w:r>
    </w:p>
    <w:p w:rsidR="00BE5CF7" w:rsidRDefault="006137CC">
      <w:pPr>
        <w:pStyle w:val="NormalHanging12a"/>
        <w:rPr>
          <w:bCs/>
          <w:iCs/>
        </w:rPr>
      </w:pPr>
      <w:r>
        <w:t>34.</w:t>
      </w:r>
      <w:r>
        <w:tab/>
        <w:t>zdôrazňuje, že niektoré rastúce trendy v elektronickom obchode vyvolávajú obavy v súvislosti s tovarom z krajín mimo EÚ, ktorý nespĺňa požiadavky EÚ na bezpečnosť a</w:t>
      </w:r>
      <w:r>
        <w:t xml:space="preserve"> udržateľnosť, čo má negatívny vplyv na MSP v EÚ; víta oznámenie Komisie s názvom „Komplexný súbor nástrojov EÚ pre bezpečný a udržateľný elektronický obchod“ a žiada Komisiu, aby urýchlene implementovala odporúčania v ňom obsiahnuté;</w:t>
      </w:r>
    </w:p>
    <w:p w:rsidR="00BE5CF7" w:rsidRDefault="006137CC">
      <w:pPr>
        <w:pStyle w:val="NormalHanging12a"/>
      </w:pPr>
      <w:r>
        <w:t>35.</w:t>
      </w:r>
      <w:r>
        <w:tab/>
        <w:t>zdôrazňuje, že ha</w:t>
      </w:r>
      <w:r>
        <w:t>rmonizované technické normy sú nevyhnutné pre voľný pohyb tovaru na jednotnom trhu, pričom zabezpečujú bezpečnosť, kvalitu a výkonnosť výrobkov vo všetkých členských štátoch; zdôrazňuje, že normy musia odrážať záujmy, politické ciele a hodnoty Únie tým, že</w:t>
      </w:r>
      <w:r>
        <w:t xml:space="preserve"> zohľadňujú názory všetkých zainteresovaných strán; dodáva, že nedávny rozsudok Súdneho dvora Európskej únie</w:t>
      </w:r>
      <w:r>
        <w:rPr>
          <w:rStyle w:val="FootnoteReference"/>
          <w:color w:val="000000"/>
        </w:rPr>
        <w:footnoteReference w:id="9"/>
      </w:r>
      <w:r>
        <w:t xml:space="preserve"> uznáva pridanú hodnotu harmonizovaných noriem, ktoré sú súčasťou práva EÚ, pretože majú právne účinky, a stanovuje, že by mali byť voľne dostupné;</w:t>
      </w:r>
      <w:r>
        <w:t xml:space="preserve"> zdôrazňuje potrebu zlepšiť pružnosť normalizačného rámca, najmä pre vznikajúce zelené a digitálne hodnotové reťazce, a pomôcť priemyslu udržať si konkurenčné postavenie na kľúčových technologických trhoch;</w:t>
      </w:r>
    </w:p>
    <w:p w:rsidR="00BE5CF7" w:rsidRDefault="006137CC">
      <w:pPr>
        <w:pStyle w:val="NormalHanging12a"/>
      </w:pPr>
      <w:r>
        <w:t>36.</w:t>
      </w:r>
      <w:r>
        <w:tab/>
        <w:t>domnieva sa, že EÚ musí zvýšiť svoje úsilie o</w:t>
      </w:r>
      <w:r>
        <w:t xml:space="preserve"> vytvorenie nového mechanizmu s členskými štátmi a národnými normalizačnými orgánmi na výmenu informácií, koordináciu a posilnenie európskeho prístupu k medzinárodným normalizačným </w:t>
      </w:r>
      <w:r>
        <w:lastRenderedPageBreak/>
        <w:t>činnostiam; vyzýva na urýchlenú aktualizáciu normalizačného rámca EÚ s cieľ</w:t>
      </w:r>
      <w:r>
        <w:t>om urýchliť proces normalizácie a zabezpečiť rýchle uverejňovanie harmonizovaných noriem, ktoré poskytujú predpoklad zhody a sú v súlade s medzinárodnými normami, aby sa podporil globálny obchod a zároveň sa podporila väčšia účasť priemyslu, najmä MSP;</w:t>
      </w:r>
    </w:p>
    <w:p w:rsidR="00BE5CF7" w:rsidRDefault="006137CC">
      <w:pPr>
        <w:pStyle w:val="NormalHanging12a"/>
        <w:rPr>
          <w:szCs w:val="24"/>
        </w:rPr>
      </w:pPr>
      <w:r>
        <w:t>37.</w:t>
      </w:r>
      <w:r>
        <w:tab/>
        <w:t>zdôrazňuje potrebu posilniť vonkajší rozmer jednotného trhu s cieľom zachovať strategickú autonómiu a globálny vplyv EÚ a víta postupnú integráciu kandidátskych krajín EÚ do jednotného trhu s cieľom ich budúceho členstva v EÚ; zdôrazňuje, že prísne regula</w:t>
      </w:r>
      <w:r>
        <w:t xml:space="preserve">čné normy EÚ môžu slúžiť ako celosvetové kritérium a musia sa účinne presadzovať, aby sa zabezpečili rovnaké podmienky pre európske podniky; vyzýva Komisiu, aby zintenzívnila dialóg o regulácii a politickú spoluprácu s ostatnými príslušnými krajinami mimo </w:t>
      </w:r>
      <w:r>
        <w:t>EÚ s cieľom identifikovať spoločné výzvy a pokúsiť sa vytvoriť spoločné opatrenia, najmä pokiaľ ide o elektronický obchod, digitálne pravidlá a spotrebiteľov;</w:t>
      </w:r>
    </w:p>
    <w:p w:rsidR="00BE5CF7" w:rsidRDefault="006137CC">
      <w:pPr>
        <w:pStyle w:val="NormalHanging12a"/>
        <w:rPr>
          <w:szCs w:val="24"/>
        </w:rPr>
      </w:pPr>
      <w:r>
        <w:t>38.</w:t>
      </w:r>
      <w:r>
        <w:tab/>
        <w:t>opakuje svoju výzvu na inovatívnu, komplementárnu a flexibilnú interakciu medzi prebiehajúcim</w:t>
      </w:r>
      <w:r>
        <w:t xml:space="preserve"> vykonávaním platnej Dohody o pridružení medzi EÚ a Ukrajinou a procesom prístupových rokovaní, čo umožní postupnú integráciu Ukrajiny do jednotného trhu EÚ, ako aj do príslušných sektorových programov vrátane prístupu k fondom EÚ v jednotlivých oblastiach</w:t>
      </w:r>
      <w:r>
        <w:t>;</w:t>
      </w:r>
    </w:p>
    <w:p w:rsidR="00BE5CF7" w:rsidRDefault="006137CC">
      <w:pPr>
        <w:pStyle w:val="NormalHanging12a"/>
        <w:rPr>
          <w:b/>
          <w:i/>
          <w:iCs/>
        </w:rPr>
      </w:pPr>
      <w:r>
        <w:rPr>
          <w:b/>
          <w:i/>
        </w:rPr>
        <w:t>Závery</w:t>
      </w:r>
    </w:p>
    <w:p w:rsidR="00BE5CF7" w:rsidRDefault="006137CC">
      <w:pPr>
        <w:pStyle w:val="NormalHanging12a"/>
      </w:pPr>
      <w:r>
        <w:t>39.</w:t>
      </w:r>
      <w:r>
        <w:tab/>
        <w:t>uznáva, že geopolitické napätie, zmena klímy, výzvy pre konkurencieschopnosť EÚ a hospodárske rozdiely predstavujú významné riziká pre integritu jednotného trhu; vyzýva na dôraznú, koordinovanú a strategickú politickú reakciu na posilnenie jed</w:t>
      </w:r>
      <w:r>
        <w:t>notného trhu;</w:t>
      </w:r>
    </w:p>
    <w:p w:rsidR="00BE5CF7" w:rsidRDefault="006137CC">
      <w:pPr>
        <w:pStyle w:val="NormalHanging12a"/>
      </w:pPr>
      <w:r>
        <w:t>40.</w:t>
      </w:r>
      <w:r>
        <w:tab/>
        <w:t>vyzýva na ďalší vývoj jednotného trhu s cieľom riešiť zostávajúce neopodstatnené prekážky, ako aj nové obchodné výzvy; zastáva názor, že odstránenie fragmentácie právnych predpisov, podpora zjednodušenia, výrazné zníženie administratívnej</w:t>
      </w:r>
      <w:r>
        <w:t xml:space="preserve"> záťaže, zlepšenie presadzovania práva a zabezpečenie odolných dodávateľských reťazcov sú rozhodujúce pre zachovanie konkurenčnej výhody EÚ a spravodlivých trhových podmienok a posilnenie jednotného trhu; zdôrazňuje význam konzultácií so všetkými príslušný</w:t>
      </w:r>
      <w:r>
        <w:t>mi zainteresovanými stranami v týchto procesoch;</w:t>
      </w:r>
    </w:p>
    <w:p w:rsidR="00BE5CF7" w:rsidRDefault="006137CC">
      <w:pPr>
        <w:pStyle w:val="NormalHanging12a"/>
      </w:pPr>
      <w:r>
        <w:t>41.</w:t>
      </w:r>
      <w:r>
        <w:tab/>
        <w:t>zdôrazňuje význam digitálnej transformácie, obehového hospodárstva a prispôsobivosti globálnym hospodárskym zmenám pri zabezpečovaní dlhodobej hospodárskej dynamiky EÚ;</w:t>
      </w:r>
    </w:p>
    <w:p w:rsidR="00BE5CF7" w:rsidRDefault="006137CC">
      <w:pPr>
        <w:pStyle w:val="NormalHanging12a"/>
      </w:pPr>
      <w:r>
        <w:t>42.</w:t>
      </w:r>
      <w:r>
        <w:tab/>
        <w:t>opakuje, že posilnenie vnútorn</w:t>
      </w:r>
      <w:r>
        <w:t>ého a vonkajšieho rozmeru jednotného trhu je nevyhnutné na zachovanie strategickej autonómie a konkurencieschopnosti EÚ;</w:t>
      </w:r>
    </w:p>
    <w:p w:rsidR="00BE5CF7" w:rsidRDefault="006137CC">
      <w:pPr>
        <w:pStyle w:val="NormalHanging12a"/>
      </w:pPr>
      <w:r>
        <w:t>43.</w:t>
      </w:r>
      <w:r>
        <w:tab/>
        <w:t>naliehavo preto vyzýva Komisiu, aby uvedené skutočnosti zohľadnila v pripravovanej novej stratégii jednotného trhu, ktorá je naplán</w:t>
      </w:r>
      <w:r>
        <w:t>ovaná na jún 2025, v programe pre spotrebiteľov do roku 2030, ktorý je naplánovaný na koniec roka 2025, a v akte o digitálnej spravodlivosti, ktorý je naplánovaný na rok 2026;</w:t>
      </w:r>
    </w:p>
    <w:p w:rsidR="00BE5CF7" w:rsidRDefault="006137CC">
      <w:pPr>
        <w:pStyle w:val="NormalHanging12a"/>
        <w:jc w:val="center"/>
      </w:pPr>
      <w:r>
        <w:t>°</w:t>
      </w:r>
    </w:p>
    <w:p w:rsidR="00BE5CF7" w:rsidRDefault="006137CC">
      <w:pPr>
        <w:pStyle w:val="NormalHanging12a"/>
        <w:jc w:val="center"/>
      </w:pPr>
      <w:r>
        <w:t>°</w:t>
      </w:r>
      <w:r>
        <w:tab/>
        <w:t>°</w:t>
      </w:r>
    </w:p>
    <w:p w:rsidR="00BE5CF7" w:rsidRDefault="006137CC">
      <w:r>
        <w:lastRenderedPageBreak/>
        <w:t>44.</w:t>
      </w:r>
      <w:r>
        <w:tab/>
        <w:t xml:space="preserve">poveruje svoju predsedníčku, aby postúpila toto uznesenie Rade a </w:t>
      </w:r>
      <w:r>
        <w:t>Komisii.</w:t>
      </w:r>
    </w:p>
    <w:sectPr w:rsidR="00BE5CF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5CF7" w:rsidRDefault="006137CC">
      <w:r>
        <w:separator/>
      </w:r>
    </w:p>
  </w:endnote>
  <w:endnote w:type="continuationSeparator" w:id="0">
    <w:p w:rsidR="00BE5CF7" w:rsidRDefault="00613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5CF7" w:rsidRDefault="00BE5CF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5CF7" w:rsidRDefault="00BE5CF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5CF7" w:rsidRDefault="00BE5CF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5CF7" w:rsidRDefault="006137CC">
      <w:r>
        <w:separator/>
      </w:r>
    </w:p>
  </w:footnote>
  <w:footnote w:type="continuationSeparator" w:id="0">
    <w:p w:rsidR="00BE5CF7" w:rsidRDefault="006137CC">
      <w:r>
        <w:continuationSeparator/>
      </w:r>
    </w:p>
  </w:footnote>
  <w:footnote w:id="1">
    <w:p w:rsidR="00BE5CF7" w:rsidRDefault="006137CC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rStyle w:val="Emphasis"/>
          <w:sz w:val="24"/>
          <w:shd w:val="clear" w:color="auto" w:fill="FFFFFF"/>
          <w:lang w:val="sk-SK"/>
        </w:rPr>
        <w:t xml:space="preserve"> </w:t>
      </w:r>
      <w:r>
        <w:rPr>
          <w:rStyle w:val="Emphasis"/>
          <w:sz w:val="24"/>
          <w:shd w:val="clear" w:color="auto" w:fill="FFFFFF"/>
          <w:lang w:val="sk-SK"/>
        </w:rPr>
        <w:tab/>
      </w:r>
      <w:r>
        <w:rPr>
          <w:rStyle w:val="Emphasis"/>
          <w:i w:val="0"/>
          <w:sz w:val="24"/>
          <w:shd w:val="clear" w:color="auto" w:fill="FFFFFF"/>
          <w:lang w:val="sk-SK"/>
        </w:rPr>
        <w:t>Ú. v. EÚ C 214, 16.6.2023, s. 8.</w:t>
      </w:r>
    </w:p>
  </w:footnote>
  <w:footnote w:id="2">
    <w:p w:rsidR="00BE5CF7" w:rsidRDefault="006137CC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shd w:val="clear" w:color="auto" w:fill="FFFFFF"/>
          <w:lang w:val="sk-SK"/>
        </w:rPr>
        <w:t xml:space="preserve"> </w:t>
      </w:r>
      <w:r>
        <w:rPr>
          <w:sz w:val="24"/>
          <w:shd w:val="clear" w:color="auto" w:fill="FFFFFF"/>
          <w:lang w:val="sk-SK"/>
        </w:rPr>
        <w:tab/>
        <w:t>Nariadenie Európskeho parlamentu a Rady (EÚ) 2024/2747 z 9. októbra 2024, ktorým sa stanovuje rámec opatrení týkajúcich sa núdzo</w:t>
      </w:r>
      <w:r>
        <w:rPr>
          <w:sz w:val="24"/>
          <w:shd w:val="clear" w:color="auto" w:fill="FFFFFF"/>
          <w:lang w:val="sk-SK"/>
        </w:rPr>
        <w:t>vej situácie na vnútornom trhu a jeho odolnosti a ktorým sa mení nariadenie Rady (ES) č. 2679/98 (</w:t>
      </w:r>
      <w:r>
        <w:rPr>
          <w:rStyle w:val="Emphasis"/>
          <w:sz w:val="24"/>
          <w:shd w:val="clear" w:color="auto" w:fill="FFFFFF"/>
          <w:lang w:val="sk-SK"/>
        </w:rPr>
        <w:t>Ú</w:t>
      </w:r>
      <w:r>
        <w:rPr>
          <w:rStyle w:val="Emphasis"/>
          <w:i w:val="0"/>
          <w:sz w:val="24"/>
          <w:shd w:val="clear" w:color="auto" w:fill="FFFFFF"/>
          <w:lang w:val="sk-SK"/>
        </w:rPr>
        <w:t>. v. EÚ L, 2024/2747, 8.11.2024, ELI:</w:t>
      </w:r>
      <w:r>
        <w:rPr>
          <w:rStyle w:val="Emphasis"/>
          <w:sz w:val="24"/>
          <w:shd w:val="clear" w:color="auto" w:fill="FFFFFF"/>
          <w:lang w:val="sk-SK"/>
        </w:rPr>
        <w:t> </w:t>
      </w:r>
      <w:hyperlink r:id="rId1" w:tgtFrame="_blank" w:tooltip="Umožňuje prístup k tomuto dokumentu prostredníctvom jeho ELI URI." w:history="1">
        <w:r>
          <w:rPr>
            <w:rStyle w:val="Hyperlink"/>
            <w:sz w:val="24"/>
            <w:lang w:val="sk-SK"/>
          </w:rPr>
          <w:t>http://data.europa.eu/eli/reg/2024/2747/oj</w:t>
        </w:r>
      </w:hyperlink>
      <w:r>
        <w:rPr>
          <w:rStyle w:val="Hyperlink"/>
          <w:color w:val="auto"/>
          <w:sz w:val="24"/>
          <w:u w:val="none"/>
          <w:lang w:val="sk-SK"/>
        </w:rPr>
        <w:t>)</w:t>
      </w:r>
      <w:r>
        <w:rPr>
          <w:rStyle w:val="Emphasis"/>
          <w:sz w:val="24"/>
          <w:shd w:val="clear" w:color="auto" w:fill="FFFFFF"/>
          <w:lang w:val="sk-SK"/>
        </w:rPr>
        <w:t>.</w:t>
      </w:r>
    </w:p>
  </w:footnote>
  <w:footnote w:id="3">
    <w:p w:rsidR="00BE5CF7" w:rsidRDefault="006137CC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shd w:val="clear" w:color="auto" w:fill="FFFFFF"/>
          <w:lang w:val="sk-SK"/>
        </w:rPr>
        <w:t xml:space="preserve"> </w:t>
      </w:r>
      <w:r>
        <w:rPr>
          <w:sz w:val="24"/>
          <w:shd w:val="clear" w:color="auto" w:fill="FFFFFF"/>
          <w:lang w:val="sk-SK"/>
        </w:rPr>
        <w:tab/>
        <w:t>Nariadenie Európskeho parlamentu a Rady (EÚ) 2018/302 z 28. februára 2018 o riešení neodôvodneného geografického blokovania a iných foriem diskriminácie z dôvodu štátnej príslušnosti, m</w:t>
      </w:r>
      <w:r>
        <w:rPr>
          <w:sz w:val="24"/>
          <w:shd w:val="clear" w:color="auto" w:fill="FFFFFF"/>
          <w:lang w:val="sk-SK"/>
        </w:rPr>
        <w:t>iesta bydliska alebo sídla zákazníkov na vnútornom trhu, ktorým sa menia nariadenia (ES) č. 2006/2004 a (EÚ) 2017/2394 a smernica 2009/22/ES (</w:t>
      </w:r>
      <w:r>
        <w:rPr>
          <w:rStyle w:val="Emphasis"/>
          <w:i w:val="0"/>
          <w:sz w:val="24"/>
          <w:shd w:val="clear" w:color="auto" w:fill="FFFFFF"/>
          <w:lang w:val="sk-SK"/>
        </w:rPr>
        <w:t>Ú. v. </w:t>
      </w:r>
      <w:r>
        <w:rPr>
          <w:rStyle w:val="Emphasis"/>
          <w:i w:val="0"/>
          <w:sz w:val="24"/>
          <w:shd w:val="clear" w:color="auto" w:fill="FFFFFF"/>
          <w:lang w:val="sk-SK"/>
        </w:rPr>
        <w:t xml:space="preserve">EÚ L 60 </w:t>
      </w:r>
      <w:bookmarkStart w:id="7" w:name="_GoBack"/>
      <w:bookmarkEnd w:id="7"/>
      <w:r>
        <w:rPr>
          <w:rStyle w:val="Emphasis"/>
          <w:i w:val="0"/>
          <w:sz w:val="24"/>
          <w:shd w:val="clear" w:color="auto" w:fill="FFFFFF"/>
          <w:lang w:val="sk-SK"/>
        </w:rPr>
        <w:t>I, 2.3.2018, s. 1</w:t>
      </w:r>
      <w:r>
        <w:rPr>
          <w:rStyle w:val="Emphasis"/>
          <w:sz w:val="24"/>
          <w:shd w:val="clear" w:color="auto" w:fill="FFFFFF"/>
          <w:lang w:val="sk-SK"/>
        </w:rPr>
        <w:t xml:space="preserve">, </w:t>
      </w:r>
      <w:r>
        <w:rPr>
          <w:sz w:val="24"/>
          <w:shd w:val="clear" w:color="auto" w:fill="FFFFFF"/>
          <w:lang w:val="sk-SK"/>
        </w:rPr>
        <w:t>ELI: </w:t>
      </w:r>
      <w:hyperlink r:id="rId2" w:tooltip="Umožňuje prístup k tomuto dokumentu prostredníctvom jeho ELI URI." w:history="1">
        <w:r>
          <w:rPr>
            <w:rStyle w:val="Hyperlink"/>
            <w:sz w:val="24"/>
            <w:shd w:val="clear" w:color="auto" w:fill="FFFFFF"/>
            <w:lang w:val="sk-SK"/>
          </w:rPr>
          <w:t>http://data.europa.eu/eli/reg/2018/302/oj</w:t>
        </w:r>
      </w:hyperlink>
      <w:r>
        <w:rPr>
          <w:rStyle w:val="Hyperlink"/>
          <w:color w:val="auto"/>
          <w:sz w:val="24"/>
          <w:shd w:val="clear" w:color="auto" w:fill="FFFFFF"/>
          <w:lang w:val="sk-SK"/>
        </w:rPr>
        <w:t>)</w:t>
      </w:r>
      <w:r>
        <w:rPr>
          <w:sz w:val="24"/>
          <w:lang w:val="sk-SK"/>
        </w:rPr>
        <w:t>.</w:t>
      </w:r>
    </w:p>
  </w:footnote>
  <w:footnote w:id="4">
    <w:p w:rsidR="00BE5CF7" w:rsidRDefault="006137CC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shd w:val="clear" w:color="auto" w:fill="FFFFFF"/>
          <w:lang w:val="sk-SK"/>
        </w:rPr>
        <w:t xml:space="preserve"> </w:t>
      </w:r>
      <w:r>
        <w:rPr>
          <w:sz w:val="24"/>
          <w:shd w:val="clear" w:color="auto" w:fill="FFFFFF"/>
          <w:lang w:val="sk-SK"/>
        </w:rPr>
        <w:tab/>
        <w:t>Smernica Európskeho parlamentu a Rady (EÚ) 2019/882 zo 17. apríla 2019 o požiadavkách na prístupnosť výrobkov a služieb (</w:t>
      </w:r>
      <w:r>
        <w:rPr>
          <w:rStyle w:val="Emphasis"/>
          <w:i w:val="0"/>
          <w:sz w:val="24"/>
          <w:shd w:val="clear" w:color="auto" w:fill="FFFFFF"/>
          <w:lang w:val="sk-SK"/>
        </w:rPr>
        <w:t>Ú. v. EÚ L 151, 7.6.2019, s. </w:t>
      </w:r>
      <w:r>
        <w:rPr>
          <w:rStyle w:val="Emphasis"/>
          <w:i w:val="0"/>
          <w:sz w:val="24"/>
          <w:shd w:val="clear" w:color="auto" w:fill="FFFFFF"/>
          <w:lang w:val="sk-SK"/>
        </w:rPr>
        <w:t>70</w:t>
      </w:r>
      <w:r>
        <w:rPr>
          <w:rStyle w:val="Emphasis"/>
          <w:sz w:val="24"/>
          <w:shd w:val="clear" w:color="auto" w:fill="FFFFFF"/>
          <w:lang w:val="sk-SK"/>
        </w:rPr>
        <w:t xml:space="preserve">, </w:t>
      </w:r>
      <w:r>
        <w:rPr>
          <w:sz w:val="24"/>
          <w:shd w:val="clear" w:color="auto" w:fill="FFFFFF"/>
          <w:lang w:val="sk-SK"/>
        </w:rPr>
        <w:t>ELI: </w:t>
      </w:r>
      <w:hyperlink r:id="rId3" w:tooltip="Umožňuje prístup k tomuto dokumentu prostredníctvom jeho ELI URI." w:history="1">
        <w:r>
          <w:rPr>
            <w:rStyle w:val="Hyperlink"/>
            <w:sz w:val="24"/>
            <w:shd w:val="clear" w:color="auto" w:fill="FFFFFF"/>
            <w:lang w:val="sk-SK"/>
          </w:rPr>
          <w:t>http://data.europa.eu/eli/dir/2019/882/oj?locale=sk</w:t>
        </w:r>
      </w:hyperlink>
      <w:r>
        <w:rPr>
          <w:rStyle w:val="Hyperlink"/>
          <w:color w:val="auto"/>
          <w:sz w:val="24"/>
          <w:u w:val="none"/>
          <w:shd w:val="clear" w:color="auto" w:fill="FFFFFF"/>
          <w:lang w:val="sk-SK"/>
        </w:rPr>
        <w:t>)</w:t>
      </w:r>
      <w:r>
        <w:rPr>
          <w:sz w:val="24"/>
          <w:lang w:val="sk-SK"/>
        </w:rPr>
        <w:t>.</w:t>
      </w:r>
    </w:p>
  </w:footnote>
  <w:footnote w:id="5">
    <w:p w:rsidR="00BE5CF7" w:rsidRDefault="006137CC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shd w:val="clear" w:color="auto" w:fill="FFFFFF"/>
          <w:lang w:val="sk-SK"/>
        </w:rPr>
        <w:t xml:space="preserve"> </w:t>
      </w:r>
      <w:r>
        <w:rPr>
          <w:sz w:val="24"/>
          <w:shd w:val="clear" w:color="auto" w:fill="FFFFFF"/>
          <w:lang w:val="sk-SK"/>
        </w:rPr>
        <w:tab/>
        <w:t xml:space="preserve">Nariadenie Európskeho parlamentu a Rady (EÚ) 2022/1925 </w:t>
      </w:r>
      <w:r>
        <w:rPr>
          <w:sz w:val="24"/>
          <w:shd w:val="clear" w:color="auto" w:fill="FFFFFF"/>
          <w:lang w:val="sk-SK"/>
        </w:rPr>
        <w:t xml:space="preserve">zo 14. septembra 2022 o </w:t>
      </w:r>
      <w:proofErr w:type="spellStart"/>
      <w:r>
        <w:rPr>
          <w:sz w:val="24"/>
          <w:shd w:val="clear" w:color="auto" w:fill="FFFFFF"/>
          <w:lang w:val="sk-SK"/>
        </w:rPr>
        <w:t>súťažeschopných</w:t>
      </w:r>
      <w:proofErr w:type="spellEnd"/>
      <w:r>
        <w:rPr>
          <w:sz w:val="24"/>
          <w:shd w:val="clear" w:color="auto" w:fill="FFFFFF"/>
          <w:lang w:val="sk-SK"/>
        </w:rPr>
        <w:t xml:space="preserve"> a spravodlivých trhoch digitálneho sektora a o zmene smerníc (EÚ) 2019/1937 a (EÚ) 2020/1828 (</w:t>
      </w:r>
      <w:r>
        <w:rPr>
          <w:rStyle w:val="Emphasis"/>
          <w:i w:val="0"/>
          <w:sz w:val="24"/>
          <w:shd w:val="clear" w:color="auto" w:fill="FFFFFF"/>
          <w:lang w:val="sk-SK"/>
        </w:rPr>
        <w:t>Ú. v. EÚ L 265, 12.10.2022, s. </w:t>
      </w:r>
      <w:r>
        <w:rPr>
          <w:rStyle w:val="Emphasis"/>
          <w:i w:val="0"/>
          <w:sz w:val="24"/>
          <w:shd w:val="clear" w:color="auto" w:fill="FFFFFF"/>
          <w:lang w:val="sk-SK"/>
        </w:rPr>
        <w:t>1,</w:t>
      </w:r>
      <w:r>
        <w:rPr>
          <w:sz w:val="24"/>
          <w:shd w:val="clear" w:color="auto" w:fill="FFFFFF"/>
          <w:lang w:val="sk-SK"/>
        </w:rPr>
        <w:t>ELI: </w:t>
      </w:r>
      <w:hyperlink r:id="rId4" w:tooltip="Umožňuje prístup k tomuto dokumentu prostredníctvom jeho ELI URI." w:history="1">
        <w:r>
          <w:rPr>
            <w:rStyle w:val="Hyperlink"/>
            <w:sz w:val="24"/>
            <w:shd w:val="clear" w:color="auto" w:fill="FFFFFF"/>
            <w:lang w:val="sk-SK"/>
          </w:rPr>
          <w:t>http://data.europa.eu/eli/reg/2022/1925/oj</w:t>
        </w:r>
      </w:hyperlink>
      <w:r>
        <w:rPr>
          <w:rStyle w:val="Hyperlink"/>
          <w:color w:val="auto"/>
          <w:sz w:val="24"/>
          <w:u w:val="none"/>
          <w:shd w:val="clear" w:color="auto" w:fill="FFFFFF"/>
          <w:lang w:val="sk-SK"/>
        </w:rPr>
        <w:t>)</w:t>
      </w:r>
      <w:r>
        <w:rPr>
          <w:sz w:val="24"/>
          <w:lang w:val="sk-SK"/>
        </w:rPr>
        <w:t>.</w:t>
      </w:r>
    </w:p>
  </w:footnote>
  <w:footnote w:id="6">
    <w:p w:rsidR="00BE5CF7" w:rsidRDefault="006137CC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shd w:val="clear" w:color="auto" w:fill="FFFFFF"/>
          <w:lang w:val="sk-SK"/>
        </w:rPr>
        <w:t xml:space="preserve"> </w:t>
      </w:r>
      <w:r>
        <w:rPr>
          <w:sz w:val="24"/>
          <w:shd w:val="clear" w:color="auto" w:fill="FFFFFF"/>
          <w:lang w:val="sk-SK"/>
        </w:rPr>
        <w:tab/>
        <w:t>Nariadenie Európskeho parlamentu a Rady (EÚ) 2022/2065 z 19. októbra 2022 o jednotnom trhu s digitálnymi službami a o zmene smernice 2000/31/ES (</w:t>
      </w:r>
      <w:r>
        <w:rPr>
          <w:rStyle w:val="Emphasis"/>
          <w:i w:val="0"/>
          <w:sz w:val="24"/>
          <w:shd w:val="clear" w:color="auto" w:fill="FFFFFF"/>
          <w:lang w:val="sk-SK"/>
        </w:rPr>
        <w:t>Ú. v. EÚ L 277, 2</w:t>
      </w:r>
      <w:r>
        <w:rPr>
          <w:rStyle w:val="Emphasis"/>
          <w:i w:val="0"/>
          <w:sz w:val="24"/>
          <w:shd w:val="clear" w:color="auto" w:fill="FFFFFF"/>
          <w:lang w:val="sk-SK"/>
        </w:rPr>
        <w:t>7.10.2022, s. </w:t>
      </w:r>
      <w:r>
        <w:rPr>
          <w:rStyle w:val="Emphasis"/>
          <w:i w:val="0"/>
          <w:sz w:val="24"/>
          <w:shd w:val="clear" w:color="auto" w:fill="FFFFFF"/>
          <w:lang w:val="sk-SK"/>
        </w:rPr>
        <w:t>1</w:t>
      </w:r>
      <w:r>
        <w:rPr>
          <w:rStyle w:val="Emphasis"/>
          <w:sz w:val="24"/>
          <w:shd w:val="clear" w:color="auto" w:fill="FFFFFF"/>
          <w:lang w:val="sk-SK"/>
        </w:rPr>
        <w:t xml:space="preserve"> </w:t>
      </w:r>
      <w:r>
        <w:rPr>
          <w:sz w:val="24"/>
          <w:shd w:val="clear" w:color="auto" w:fill="FFFFFF"/>
          <w:lang w:val="sk-SK"/>
        </w:rPr>
        <w:t>ELI: </w:t>
      </w:r>
      <w:hyperlink r:id="rId5" w:tooltip="Umožňuje prístup k tomuto dokumentu prostredníctvom jeho ELI URI." w:history="1">
        <w:r>
          <w:rPr>
            <w:rStyle w:val="Hyperlink"/>
            <w:sz w:val="24"/>
            <w:shd w:val="clear" w:color="auto" w:fill="FFFFFF"/>
            <w:lang w:val="sk-SK"/>
          </w:rPr>
          <w:t>http://data.europa.eu/eli/reg/2022/2065/oj?locale=sk</w:t>
        </w:r>
      </w:hyperlink>
      <w:r>
        <w:rPr>
          <w:rStyle w:val="Hyperlink"/>
          <w:color w:val="auto"/>
          <w:sz w:val="24"/>
          <w:u w:val="none"/>
          <w:shd w:val="clear" w:color="auto" w:fill="FFFFFF"/>
          <w:lang w:val="sk-SK"/>
        </w:rPr>
        <w:t>)</w:t>
      </w:r>
      <w:r>
        <w:rPr>
          <w:sz w:val="24"/>
          <w:lang w:val="sk-SK"/>
        </w:rPr>
        <w:t>.</w:t>
      </w:r>
    </w:p>
  </w:footnote>
  <w:footnote w:id="7">
    <w:p w:rsidR="00BE5CF7" w:rsidRDefault="006137CC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shd w:val="clear" w:color="auto" w:fill="FFFFFF"/>
          <w:lang w:val="sk-SK"/>
        </w:rPr>
        <w:t xml:space="preserve"> </w:t>
      </w:r>
      <w:r>
        <w:rPr>
          <w:sz w:val="24"/>
          <w:shd w:val="clear" w:color="auto" w:fill="FFFFFF"/>
          <w:lang w:val="sk-SK"/>
        </w:rPr>
        <w:tab/>
        <w:t>Nariadenie Európskeho parlamentu a Ra</w:t>
      </w:r>
      <w:r>
        <w:rPr>
          <w:sz w:val="24"/>
          <w:shd w:val="clear" w:color="auto" w:fill="FFFFFF"/>
          <w:lang w:val="sk-SK"/>
        </w:rPr>
        <w:t xml:space="preserve">dy (EÚ) 2024/1689 z 13. júna 2024, ktorým sa stanovujú harmonizované pravidlá v oblasti umelej inteligencie a menia nariadenia (ES) č. 300/2008, (EÚ) č. 167/2013, (EÚ) č. 168/2013, (EÚ) 2018/858, (EÚ) 2018/1139 a (EÚ) 2019/2144 a smernice 2014/90/EÚ, (EÚ) </w:t>
      </w:r>
      <w:r>
        <w:rPr>
          <w:sz w:val="24"/>
          <w:shd w:val="clear" w:color="auto" w:fill="FFFFFF"/>
          <w:lang w:val="sk-SK"/>
        </w:rPr>
        <w:t>2016/797 a (EÚ) 2020/1828 (akt o umelej inteligencii) (</w:t>
      </w:r>
      <w:r>
        <w:rPr>
          <w:rStyle w:val="Emphasis"/>
          <w:i w:val="0"/>
          <w:sz w:val="24"/>
          <w:shd w:val="clear" w:color="auto" w:fill="FFFFFF"/>
          <w:lang w:val="sk-SK"/>
        </w:rPr>
        <w:t xml:space="preserve">Ú. v. </w:t>
      </w:r>
      <w:r>
        <w:rPr>
          <w:rStyle w:val="Emphasis"/>
          <w:i w:val="0"/>
          <w:sz w:val="24"/>
          <w:shd w:val="clear" w:color="auto" w:fill="FFFFFF"/>
          <w:lang w:val="sk-SK"/>
        </w:rPr>
        <w:t>EÚ L, 2024/1689, 12.7.2024</w:t>
      </w:r>
      <w:r>
        <w:rPr>
          <w:rStyle w:val="Emphasis"/>
          <w:sz w:val="24"/>
          <w:shd w:val="clear" w:color="auto" w:fill="FFFFFF"/>
          <w:lang w:val="sk-SK"/>
        </w:rPr>
        <w:t xml:space="preserve">, </w:t>
      </w:r>
      <w:r>
        <w:rPr>
          <w:rStyle w:val="Emphasis"/>
          <w:i w:val="0"/>
          <w:sz w:val="24"/>
          <w:shd w:val="clear" w:color="auto" w:fill="FFFFFF"/>
          <w:lang w:val="sk-SK"/>
        </w:rPr>
        <w:t>ELI:</w:t>
      </w:r>
      <w:r>
        <w:rPr>
          <w:rStyle w:val="Emphasis"/>
          <w:sz w:val="24"/>
          <w:shd w:val="clear" w:color="auto" w:fill="FFFFFF"/>
          <w:lang w:val="sk-SK"/>
        </w:rPr>
        <w:t> </w:t>
      </w:r>
      <w:hyperlink r:id="rId6" w:tgtFrame="_blank" w:tooltip="Umožňuje prístup k tomuto dokumentu prostredníctvom jeho ELI URI." w:history="1">
        <w:r>
          <w:rPr>
            <w:rStyle w:val="Hyperlink"/>
            <w:sz w:val="24"/>
            <w:lang w:val="sk-SK"/>
          </w:rPr>
          <w:t>http://dat</w:t>
        </w:r>
        <w:r>
          <w:rPr>
            <w:rStyle w:val="Hyperlink"/>
            <w:sz w:val="24"/>
            <w:lang w:val="sk-SK"/>
          </w:rPr>
          <w:t>a.europa.eu/eli/reg/2024/1689/oj?locale=sk</w:t>
        </w:r>
      </w:hyperlink>
      <w:r>
        <w:rPr>
          <w:rStyle w:val="Hyperlink"/>
          <w:color w:val="auto"/>
          <w:sz w:val="24"/>
          <w:u w:val="none"/>
          <w:lang w:val="sk-SK"/>
        </w:rPr>
        <w:t>)</w:t>
      </w:r>
      <w:r>
        <w:rPr>
          <w:rStyle w:val="Emphasis"/>
          <w:sz w:val="24"/>
          <w:shd w:val="clear" w:color="auto" w:fill="FFFFFF"/>
          <w:lang w:val="sk-SK"/>
        </w:rPr>
        <w:t>.</w:t>
      </w:r>
    </w:p>
  </w:footnote>
  <w:footnote w:id="8">
    <w:p w:rsidR="00BE5CF7" w:rsidRDefault="006137CC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shd w:val="clear" w:color="auto" w:fill="FFFFFF"/>
          <w:lang w:val="sk-SK"/>
        </w:rPr>
        <w:t xml:space="preserve"> </w:t>
      </w:r>
      <w:r>
        <w:rPr>
          <w:sz w:val="24"/>
          <w:shd w:val="clear" w:color="auto" w:fill="FFFFFF"/>
          <w:lang w:val="sk-SK"/>
        </w:rPr>
        <w:tab/>
        <w:t xml:space="preserve">Nariadenie Európskeho parlamentu a Rady (EÚ) 2017/2394 z 12. decembra 2017 o spolupráci medzi národnými orgánmi zodpovednými za presadzovanie právnych predpisov na ochranu spotrebiteľa a o zrušení nariadenia </w:t>
      </w:r>
      <w:r>
        <w:rPr>
          <w:sz w:val="24"/>
          <w:shd w:val="clear" w:color="auto" w:fill="FFFFFF"/>
          <w:lang w:val="sk-SK"/>
        </w:rPr>
        <w:t>(ES) č. 2006/2004 (</w:t>
      </w:r>
      <w:r>
        <w:rPr>
          <w:rStyle w:val="Emphasis"/>
          <w:i w:val="0"/>
          <w:sz w:val="24"/>
          <w:shd w:val="clear" w:color="auto" w:fill="FFFFFF"/>
          <w:lang w:val="sk-SK"/>
        </w:rPr>
        <w:t>Ú. v. EÚ L 345, 27.12.2017, s. </w:t>
      </w:r>
      <w:r>
        <w:rPr>
          <w:rStyle w:val="Emphasis"/>
          <w:i w:val="0"/>
          <w:sz w:val="24"/>
          <w:shd w:val="clear" w:color="auto" w:fill="FFFFFF"/>
          <w:lang w:val="sk-SK"/>
        </w:rPr>
        <w:t>1,</w:t>
      </w:r>
      <w:r>
        <w:rPr>
          <w:rStyle w:val="Emphasis"/>
          <w:sz w:val="24"/>
          <w:shd w:val="clear" w:color="auto" w:fill="FFFFFF"/>
          <w:lang w:val="sk-SK"/>
        </w:rPr>
        <w:t xml:space="preserve"> </w:t>
      </w:r>
      <w:r>
        <w:rPr>
          <w:sz w:val="24"/>
          <w:shd w:val="clear" w:color="auto" w:fill="FFFFFF"/>
          <w:lang w:val="sk-SK"/>
        </w:rPr>
        <w:t>ELI: </w:t>
      </w:r>
      <w:hyperlink r:id="rId7" w:tooltip="Umožňuje prístup k tomuto dokumentu prostredníctvom jeho ELI URI." w:history="1">
        <w:r>
          <w:rPr>
            <w:rStyle w:val="Hyperlink"/>
            <w:sz w:val="24"/>
            <w:shd w:val="clear" w:color="auto" w:fill="FFFFFF"/>
            <w:lang w:val="sk-SK"/>
          </w:rPr>
          <w:t>http://data.europa.eu/eli/reg/2017/2394/oj?locale=sk</w:t>
        </w:r>
      </w:hyperlink>
      <w:r>
        <w:rPr>
          <w:rStyle w:val="Hyperlink"/>
          <w:color w:val="auto"/>
          <w:sz w:val="24"/>
          <w:u w:val="none"/>
          <w:shd w:val="clear" w:color="auto" w:fill="FFFFFF"/>
          <w:lang w:val="sk-SK"/>
        </w:rPr>
        <w:t>).</w:t>
      </w:r>
    </w:p>
  </w:footnote>
  <w:footnote w:id="9">
    <w:p w:rsidR="00BE5CF7" w:rsidRDefault="006137CC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 xml:space="preserve">Rozsudok z 5. marca 2024, Public.Resource.Org </w:t>
      </w:r>
      <w:proofErr w:type="spellStart"/>
      <w:r>
        <w:rPr>
          <w:sz w:val="24"/>
          <w:lang w:val="sk-SK"/>
        </w:rPr>
        <w:t>Inc</w:t>
      </w:r>
      <w:proofErr w:type="spellEnd"/>
      <w:r>
        <w:rPr>
          <w:sz w:val="24"/>
          <w:lang w:val="sk-SK"/>
        </w:rPr>
        <w:t xml:space="preserve">. proti </w:t>
      </w:r>
      <w:proofErr w:type="spellStart"/>
      <w:r>
        <w:rPr>
          <w:sz w:val="24"/>
          <w:lang w:val="sk-SK"/>
        </w:rPr>
        <w:t>Right</w:t>
      </w:r>
      <w:proofErr w:type="spellEnd"/>
      <w:r>
        <w:rPr>
          <w:sz w:val="24"/>
          <w:lang w:val="sk-SK"/>
        </w:rPr>
        <w:t xml:space="preserve"> to </w:t>
      </w:r>
      <w:proofErr w:type="spellStart"/>
      <w:r>
        <w:rPr>
          <w:sz w:val="24"/>
          <w:lang w:val="sk-SK"/>
        </w:rPr>
        <w:t>Know</w:t>
      </w:r>
      <w:proofErr w:type="spellEnd"/>
      <w:r>
        <w:rPr>
          <w:sz w:val="24"/>
          <w:lang w:val="sk-SK"/>
        </w:rPr>
        <w:t xml:space="preserve"> CLG</w:t>
      </w:r>
      <w:r>
        <w:rPr>
          <w:i/>
          <w:sz w:val="24"/>
          <w:lang w:val="sk-SK"/>
        </w:rPr>
        <w:t xml:space="preserve">, </w:t>
      </w:r>
      <w:r>
        <w:rPr>
          <w:sz w:val="24"/>
          <w:lang w:val="sk-SK"/>
        </w:rPr>
        <w:t>C-588/21 P, EU:C:2024:201.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5CF7" w:rsidRDefault="00BE5CF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5CF7" w:rsidRDefault="00BE5CF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5CF7" w:rsidRDefault="00BE5CF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46/2025"/>
    <w:docVar w:name="dvlangue" w:val="SK"/>
    <w:docVar w:name="dvnumam" w:val="0"/>
    <w:docVar w:name="dvpe" w:val="772.165"/>
    <w:docVar w:name="dvtitre" w:val="Uznesenie Európskeho parlamentu z 8. mája 2025 o starých výzvach a nových obchodných postupoch na vnútornom trhu(2025/2542(RSP))"/>
  </w:docVars>
  <w:rsids>
    <w:rsidRoot w:val="00BE5CF7"/>
    <w:rsid w:val="006137CC"/>
    <w:rsid w:val="00BE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3D54D0"/>
  <w15:chartTrackingRefBased/>
  <w15:docId w15:val="{E3D0941A-C007-4792-9DD8-B131D3329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ir/2019/882/oj?locale=sk" TargetMode="External"/><Relationship Id="rId7" Type="http://schemas.openxmlformats.org/officeDocument/2006/relationships/hyperlink" Target="http://data.europa.eu/eli/reg/2017/2394/oj?locale=sk" TargetMode="External"/><Relationship Id="rId2" Type="http://schemas.openxmlformats.org/officeDocument/2006/relationships/hyperlink" Target="http://data.europa.eu/eli/reg/2018/302/oj" TargetMode="External"/><Relationship Id="rId1" Type="http://schemas.openxmlformats.org/officeDocument/2006/relationships/hyperlink" Target="http://data.europa.eu/eli/reg/2024/2747/oj" TargetMode="External"/><Relationship Id="rId6" Type="http://schemas.openxmlformats.org/officeDocument/2006/relationships/hyperlink" Target="http://data.europa.eu/eli/reg/2024/1689/oj?locale=sk" TargetMode="External"/><Relationship Id="rId5" Type="http://schemas.openxmlformats.org/officeDocument/2006/relationships/hyperlink" Target="http://data.europa.eu/eli/reg/2022/2065/oj?locale=sk" TargetMode="External"/><Relationship Id="rId4" Type="http://schemas.openxmlformats.org/officeDocument/2006/relationships/hyperlink" Target="http://data.europa.eu/eli/reg/2022/192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FEEB89-C080-4D66-8C5A-0D26C234D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2961</Words>
  <Characters>19014</Characters>
  <Application>Microsoft Office Word</Application>
  <DocSecurity>0</DocSecurity>
  <Lines>158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DINGA-SUPOVA Lucia</cp:lastModifiedBy>
  <cp:revision>2</cp:revision>
  <cp:lastPrinted>2004-11-19T15:42:00Z</cp:lastPrinted>
  <dcterms:created xsi:type="dcterms:W3CDTF">2025-06-11T13:19:00Z</dcterms:created>
  <dcterms:modified xsi:type="dcterms:W3CDTF">2025-06-11T13:19:00Z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B10-0246/2025</vt:lpwstr>
  </property>
  <property fmtid="{D5CDD505-2E9C-101B-9397-08002B2CF9AE}" pid="4" name="&lt;Type&gt;">
    <vt:lpwstr>RR</vt:lpwstr>
  </property>
</Properties>
</file>