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34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34EF" w:rsidRDefault="001700D6" w:rsidP="0010095E">
            <w:pPr>
              <w:pStyle w:val="EPName"/>
            </w:pPr>
            <w:bookmarkStart w:id="0" w:name="_GoBack"/>
            <w:bookmarkEnd w:id="0"/>
            <w:r w:rsidRPr="00CE34EF">
              <w:t>Европейски</w:t>
            </w:r>
            <w:r w:rsidR="00A1689A" w:rsidRPr="00CE34EF">
              <w:t xml:space="preserve"> парламент</w:t>
            </w:r>
          </w:p>
          <w:p w:rsidR="00751A4A" w:rsidRPr="00CE34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34EF">
              <w:t>2024</w:t>
            </w:r>
            <w:r w:rsidR="001700D6">
              <w:t> – </w:t>
            </w:r>
            <w:r w:rsidR="00817416" w:rsidRPr="00CE34EF">
              <w:t>202</w:t>
            </w:r>
            <w:r w:rsidRPr="00CE34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34EF" w:rsidRDefault="00187494" w:rsidP="0010095E">
            <w:pPr>
              <w:pStyle w:val="EPLogo"/>
            </w:pPr>
            <w:r w:rsidRPr="00CE34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34EF" w:rsidRDefault="00D058B8" w:rsidP="004C5D52">
      <w:pPr>
        <w:pStyle w:val="LineTop"/>
      </w:pPr>
    </w:p>
    <w:p w:rsidR="00680577" w:rsidRPr="00CE34EF" w:rsidRDefault="00A1689A" w:rsidP="00680577">
      <w:pPr>
        <w:pStyle w:val="EPBodyTA1"/>
      </w:pPr>
      <w:r w:rsidRPr="00CE34EF">
        <w:t>ПРИЕТИ ТЕКСТОВЕ</w:t>
      </w:r>
    </w:p>
    <w:p w:rsidR="00D058B8" w:rsidRPr="00CE34EF" w:rsidRDefault="00D058B8" w:rsidP="00D058B8">
      <w:pPr>
        <w:pStyle w:val="LineBottom"/>
      </w:pPr>
    </w:p>
    <w:p w:rsidR="00A1689A" w:rsidRPr="00CE34EF" w:rsidRDefault="00A1689A" w:rsidP="00A1689A">
      <w:pPr>
        <w:pStyle w:val="ATHeading1"/>
      </w:pPr>
      <w:bookmarkStart w:id="1" w:name="TANumber"/>
      <w:r w:rsidRPr="00CE34EF">
        <w:t>P10_TA(2025)0</w:t>
      </w:r>
      <w:r w:rsidR="004B4623">
        <w:rPr>
          <w:lang w:val="en-GB"/>
        </w:rPr>
        <w:t>1</w:t>
      </w:r>
      <w:r w:rsidRPr="00CE34EF">
        <w:t>0</w:t>
      </w:r>
      <w:r w:rsidR="004B4623">
        <w:rPr>
          <w:lang w:val="en-GB"/>
        </w:rPr>
        <w:t>8</w:t>
      </w:r>
      <w:bookmarkEnd w:id="1"/>
    </w:p>
    <w:p w:rsidR="00A1689A" w:rsidRPr="00CE34EF" w:rsidRDefault="00A1689A" w:rsidP="00A1689A">
      <w:pPr>
        <w:pStyle w:val="ATHeading2"/>
      </w:pPr>
      <w:bookmarkStart w:id="2" w:name="title"/>
      <w:r w:rsidRPr="00CE34EF">
        <w:t>Изменение на Регламент (ЕС) 2023/956 с цел опростяване и укрепване на механизма за корекция на въглеродните емисии на границите</w:t>
      </w:r>
      <w:bookmarkEnd w:id="2"/>
    </w:p>
    <w:p w:rsidR="00A1689A" w:rsidRPr="00CE34EF" w:rsidRDefault="00A1689A" w:rsidP="00A1689A">
      <w:pPr>
        <w:rPr>
          <w:i/>
          <w:vanish/>
        </w:rPr>
      </w:pPr>
      <w:r w:rsidRPr="00CE34EF">
        <w:rPr>
          <w:i/>
        </w:rPr>
        <w:fldChar w:fldCharType="begin"/>
      </w:r>
      <w:r w:rsidRPr="00CE34EF">
        <w:rPr>
          <w:i/>
        </w:rPr>
        <w:instrText xml:space="preserve"> TC"(</w:instrText>
      </w:r>
      <w:bookmarkStart w:id="3" w:name="DocNumber"/>
      <w:r w:rsidRPr="00CE34EF">
        <w:rPr>
          <w:i/>
        </w:rPr>
        <w:instrText>A10-0085/2025</w:instrText>
      </w:r>
      <w:bookmarkEnd w:id="3"/>
      <w:r w:rsidRPr="00CE34EF">
        <w:rPr>
          <w:i/>
        </w:rPr>
        <w:instrText xml:space="preserve"> - Докладчик: Антонио Декаро)"\l3 \n&gt; \* MERGEFORMAT </w:instrText>
      </w:r>
      <w:r w:rsidRPr="00CE34EF">
        <w:rPr>
          <w:i/>
        </w:rPr>
        <w:fldChar w:fldCharType="end"/>
      </w:r>
    </w:p>
    <w:p w:rsidR="00A1689A" w:rsidRPr="00CE34EF" w:rsidRDefault="00A1689A" w:rsidP="00A1689A">
      <w:pPr>
        <w:rPr>
          <w:vanish/>
        </w:rPr>
      </w:pPr>
      <w:bookmarkStart w:id="4" w:name="Commission"/>
      <w:r w:rsidRPr="00CE34EF">
        <w:rPr>
          <w:vanish/>
        </w:rPr>
        <w:t>Комисия по околна среда, климат и безопасност на храните</w:t>
      </w:r>
      <w:bookmarkEnd w:id="4"/>
    </w:p>
    <w:p w:rsidR="00A1689A" w:rsidRPr="00CE34EF" w:rsidRDefault="00A1689A" w:rsidP="00A1689A">
      <w:pPr>
        <w:rPr>
          <w:vanish/>
        </w:rPr>
      </w:pPr>
      <w:bookmarkStart w:id="5" w:name="PE"/>
      <w:r w:rsidRPr="00CE34EF">
        <w:rPr>
          <w:vanish/>
        </w:rPr>
        <w:t>PE773.301</w:t>
      </w:r>
      <w:bookmarkEnd w:id="5"/>
    </w:p>
    <w:p w:rsidR="00A1689A" w:rsidRPr="00CE34EF" w:rsidRDefault="004B4623" w:rsidP="00A1689A">
      <w:pPr>
        <w:pStyle w:val="ATHeading3"/>
      </w:pPr>
      <w:bookmarkStart w:id="6" w:name="Sujet"/>
      <w:r w:rsidRPr="004B4623">
        <w:t>Изменения, приети от</w:t>
      </w:r>
      <w:r w:rsidR="00A1689A" w:rsidRPr="00CE34EF">
        <w:t xml:space="preserve"> Европейския парламент </w:t>
      </w:r>
      <w:r>
        <w:t>на</w:t>
      </w:r>
      <w:r w:rsidRPr="00CE34EF">
        <w:t xml:space="preserve"> </w:t>
      </w:r>
      <w:r w:rsidR="00D3576E">
        <w:t>22 май</w:t>
      </w:r>
      <w:r w:rsidR="00D3576E" w:rsidRPr="00CE34EF">
        <w:t xml:space="preserve"> </w:t>
      </w:r>
      <w:r w:rsidR="00A1689A" w:rsidRPr="00CE34EF">
        <w:t xml:space="preserve">2025 г. </w:t>
      </w:r>
      <w:r>
        <w:t xml:space="preserve">към </w:t>
      </w:r>
      <w:r w:rsidR="00A1689A" w:rsidRPr="00CE34EF">
        <w:t>предложението за регламент на Европейския парламент и на Съвета за изменение на Регламент (ЕС) 2023/956 с цел опростяване и укрепване на механизма за корекция на въглеродните емисии на границите</w:t>
      </w:r>
      <w:bookmarkEnd w:id="6"/>
      <w:r w:rsidR="00A1689A" w:rsidRPr="00CE34EF">
        <w:t xml:space="preserve"> </w:t>
      </w:r>
      <w:bookmarkStart w:id="7" w:name="References"/>
      <w:r w:rsidR="00A1689A" w:rsidRPr="00CE34EF">
        <w:t>(COM(2025)0087 – C10-0035/2025 – 2025/0039(COD))</w:t>
      </w:r>
      <w:bookmarkEnd w:id="7"/>
      <w:r>
        <w:rPr>
          <w:rStyle w:val="FootnoteReference"/>
        </w:rPr>
        <w:footnoteReference w:id="1"/>
      </w:r>
    </w:p>
    <w:p w:rsidR="000F1265" w:rsidRPr="00CE34EF" w:rsidRDefault="000F1265" w:rsidP="000F1265">
      <w:pPr>
        <w:pStyle w:val="NormalBold"/>
      </w:pPr>
      <w:bookmarkStart w:id="8" w:name="TextBodyBegin"/>
      <w:bookmarkEnd w:id="8"/>
      <w:r w:rsidRPr="00CE34EF">
        <w:t>(Обикновена законодателна процедура: първо четене)</w:t>
      </w:r>
    </w:p>
    <w:p w:rsidR="000F1265" w:rsidRPr="00CE34EF" w:rsidRDefault="000F1265" w:rsidP="000F1265">
      <w:pPr>
        <w:pStyle w:val="NormalHanging12a"/>
      </w:pPr>
    </w:p>
    <w:p w:rsidR="00D3576E" w:rsidRDefault="00D3576E" w:rsidP="000F1265">
      <w:pPr>
        <w:sectPr w:rsidR="00D3576E" w:rsidSect="00CE34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F1265" w:rsidRPr="00CE34EF" w:rsidRDefault="000F1265" w:rsidP="001700D6">
      <w:pPr>
        <w:pStyle w:val="AmNumberTabs"/>
      </w:pPr>
      <w:r w:rsidRPr="00CE34EF">
        <w:lastRenderedPageBreak/>
        <w:t>Изменение</w:t>
      </w:r>
      <w:r w:rsidRPr="00CE34EF">
        <w:tab/>
      </w:r>
      <w:r w:rsidRPr="00CE34EF">
        <w:tab/>
        <w:t>1</w:t>
      </w:r>
    </w:p>
    <w:p w:rsidR="000F1265" w:rsidRPr="00CE34EF" w:rsidRDefault="000F1265" w:rsidP="000F1265">
      <w:pPr>
        <w:pStyle w:val="NormalBold12b"/>
      </w:pPr>
      <w:r w:rsidRPr="00CE34EF">
        <w:t>Предложение за регламент</w:t>
      </w:r>
    </w:p>
    <w:p w:rsidR="000F1265" w:rsidRPr="00CE34EF" w:rsidRDefault="000F1265" w:rsidP="000F1265">
      <w:pPr>
        <w:pStyle w:val="NormalBold"/>
      </w:pPr>
      <w:r w:rsidRPr="00CE34EF">
        <w:t>Съображение 25 a (ново)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F1265" w:rsidRPr="00CE34EF" w:rsidTr="00F70A70">
        <w:trPr>
          <w:jc w:val="center"/>
        </w:trPr>
        <w:tc>
          <w:tcPr>
            <w:tcW w:w="9752" w:type="dxa"/>
            <w:gridSpan w:val="2"/>
          </w:tcPr>
          <w:p w:rsidR="000F1265" w:rsidRPr="00CE34EF" w:rsidRDefault="000F1265" w:rsidP="00F70A70">
            <w:pPr>
              <w:keepNext/>
            </w:pP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ColumnHeading"/>
              <w:keepNext/>
            </w:pPr>
            <w:r w:rsidRPr="00CE34EF">
              <w:t>Текст, предложен от Комисията</w:t>
            </w:r>
          </w:p>
        </w:tc>
        <w:tc>
          <w:tcPr>
            <w:tcW w:w="4876" w:type="dxa"/>
          </w:tcPr>
          <w:p w:rsidR="000F1265" w:rsidRPr="00CE34EF" w:rsidRDefault="000F1265" w:rsidP="00F70A70">
            <w:pPr>
              <w:pStyle w:val="ColumnHeading"/>
              <w:keepNext/>
            </w:pPr>
            <w:r w:rsidRPr="00CE34EF">
              <w:t>Изменение</w:t>
            </w: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Normal6"/>
            </w:pPr>
          </w:p>
        </w:tc>
        <w:tc>
          <w:tcPr>
            <w:tcW w:w="4876" w:type="dxa"/>
          </w:tcPr>
          <w:p w:rsidR="000F1265" w:rsidRPr="00CE34EF" w:rsidRDefault="000F1265" w:rsidP="00F70A70">
            <w:pPr>
              <w:pStyle w:val="Normal6"/>
              <w:rPr>
                <w:szCs w:val="24"/>
              </w:rPr>
            </w:pPr>
            <w:r w:rsidRPr="00CE34EF">
              <w:rPr>
                <w:b/>
                <w:i/>
              </w:rPr>
              <w:t>(25а)</w:t>
            </w:r>
            <w:r w:rsidRPr="00CE34EF">
              <w:rPr>
                <w:b/>
                <w:i/>
              </w:rPr>
              <w:tab/>
              <w:t>МКВЕГ се прилага за вноса на електроенергия, но не следва да се прилага за електроенергията, генерирана изцяло в изключителната икономическа зона на държава – членка на ЕИП, и внесена директно на митническата територия на Съюза.</w:t>
            </w:r>
          </w:p>
        </w:tc>
      </w:tr>
    </w:tbl>
    <w:p w:rsidR="000F1265" w:rsidRPr="00CE34EF" w:rsidRDefault="000F1265" w:rsidP="000F1265"/>
    <w:p w:rsidR="000F1265" w:rsidRPr="00CE34EF" w:rsidRDefault="000F1265" w:rsidP="000F1265">
      <w:pPr>
        <w:pStyle w:val="AmNumberTabs"/>
      </w:pPr>
      <w:r w:rsidRPr="00CE34EF">
        <w:t>Изменение</w:t>
      </w:r>
      <w:r w:rsidRPr="00CE34EF">
        <w:tab/>
      </w:r>
      <w:r w:rsidRPr="00CE34EF">
        <w:tab/>
        <w:t>2</w:t>
      </w:r>
    </w:p>
    <w:p w:rsidR="000F1265" w:rsidRPr="00CE34EF" w:rsidRDefault="000F1265" w:rsidP="000F1265">
      <w:pPr>
        <w:pStyle w:val="NormalBold12b"/>
      </w:pPr>
      <w:r w:rsidRPr="00CE34EF">
        <w:t>Предложение за регламент</w:t>
      </w:r>
    </w:p>
    <w:p w:rsidR="000F1265" w:rsidRPr="00CE34EF" w:rsidRDefault="000F1265" w:rsidP="000F1265">
      <w:pPr>
        <w:pStyle w:val="NormalBold"/>
      </w:pPr>
      <w:r w:rsidRPr="00CE34EF">
        <w:t>Член 1 – параграф 1 – точка 1 – буква б а (нова)</w:t>
      </w:r>
    </w:p>
    <w:p w:rsidR="000F1265" w:rsidRPr="00CE34EF" w:rsidRDefault="000F1265" w:rsidP="000F1265">
      <w:pPr>
        <w:keepNext/>
      </w:pPr>
      <w:r w:rsidRPr="00CE34EF">
        <w:t>Регламент (ЕС) 2023/956</w:t>
      </w:r>
    </w:p>
    <w:p w:rsidR="000F1265" w:rsidRPr="00CE34EF" w:rsidRDefault="000F1265" w:rsidP="000F1265">
      <w:r w:rsidRPr="00CE34EF">
        <w:t>Член 2 – параграф 3 б (нов)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F1265" w:rsidRPr="00CE34EF" w:rsidTr="00F70A70">
        <w:trPr>
          <w:jc w:val="center"/>
        </w:trPr>
        <w:tc>
          <w:tcPr>
            <w:tcW w:w="9752" w:type="dxa"/>
            <w:gridSpan w:val="2"/>
          </w:tcPr>
          <w:p w:rsidR="000F1265" w:rsidRPr="00CE34EF" w:rsidRDefault="000F1265" w:rsidP="00F70A70">
            <w:pPr>
              <w:keepNext/>
            </w:pP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ColumnHeading"/>
              <w:keepNext/>
            </w:pPr>
            <w:r w:rsidRPr="00CE34EF">
              <w:t>Текст, предложен от Комисията</w:t>
            </w:r>
          </w:p>
        </w:tc>
        <w:tc>
          <w:tcPr>
            <w:tcW w:w="4876" w:type="dxa"/>
          </w:tcPr>
          <w:p w:rsidR="000F1265" w:rsidRPr="00CE34EF" w:rsidRDefault="000F1265" w:rsidP="00F70A70">
            <w:pPr>
              <w:pStyle w:val="ColumnHeading"/>
              <w:keepNext/>
            </w:pPr>
            <w:r w:rsidRPr="00CE34EF">
              <w:t>Изменение</w:t>
            </w: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Normal6"/>
            </w:pPr>
          </w:p>
        </w:tc>
        <w:tc>
          <w:tcPr>
            <w:tcW w:w="4876" w:type="dxa"/>
          </w:tcPr>
          <w:p w:rsidR="000F1265" w:rsidRPr="00CE34EF" w:rsidRDefault="000F1265" w:rsidP="00E63163">
            <w:pPr>
              <w:pStyle w:val="Normal6"/>
              <w:rPr>
                <w:szCs w:val="24"/>
              </w:rPr>
            </w:pPr>
            <w:r w:rsidRPr="00CE34EF">
              <w:rPr>
                <w:b/>
                <w:i/>
              </w:rPr>
              <w:t>ба)</w:t>
            </w:r>
            <w:r w:rsidRPr="00CE34EF">
              <w:rPr>
                <w:b/>
                <w:i/>
              </w:rPr>
              <w:tab/>
            </w:r>
            <w:r w:rsidR="00E63163">
              <w:rPr>
                <w:b/>
                <w:i/>
              </w:rPr>
              <w:t>вмъква</w:t>
            </w:r>
            <w:r w:rsidR="00E63163" w:rsidRPr="00CE34EF">
              <w:rPr>
                <w:b/>
                <w:i/>
              </w:rPr>
              <w:t xml:space="preserve"> </w:t>
            </w:r>
            <w:r w:rsidRPr="00CE34EF">
              <w:rPr>
                <w:b/>
                <w:i/>
              </w:rPr>
              <w:t>се следният параграф 3б:</w:t>
            </w: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Normal6"/>
            </w:pPr>
          </w:p>
        </w:tc>
        <w:tc>
          <w:tcPr>
            <w:tcW w:w="4876" w:type="dxa"/>
          </w:tcPr>
          <w:p w:rsidR="000F1265" w:rsidRPr="00CE34EF" w:rsidRDefault="00D3576E" w:rsidP="00F70A7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</w:t>
            </w:r>
            <w:r w:rsidR="000F1265" w:rsidRPr="00CE34EF">
              <w:rPr>
                <w:b/>
                <w:i/>
              </w:rPr>
              <w:t>3б.</w:t>
            </w:r>
            <w:r w:rsidR="000F1265" w:rsidRPr="00CE34EF">
              <w:tab/>
            </w:r>
            <w:r w:rsidR="000F1265" w:rsidRPr="00CE34EF">
              <w:rPr>
                <w:b/>
                <w:i/>
              </w:rPr>
              <w:t>Чрез дерогация от параграфи 1 и 2 настоящият регламент не се прилага за електроенергия, генерирана изцяло в изключителната икономическа зона на държава – членка на ЕИП, и внесена директно на митническата територия на Съюза.</w:t>
            </w:r>
            <w:r>
              <w:rPr>
                <w:b/>
                <w:i/>
              </w:rPr>
              <w:t>“</w:t>
            </w:r>
          </w:p>
        </w:tc>
      </w:tr>
    </w:tbl>
    <w:p w:rsidR="000F1265" w:rsidRPr="00CE34EF" w:rsidRDefault="000F1265" w:rsidP="000F1265"/>
    <w:p w:rsidR="000F1265" w:rsidRPr="00CE34EF" w:rsidRDefault="000F1265" w:rsidP="000F1265">
      <w:pPr>
        <w:pStyle w:val="AmNumberTabs"/>
      </w:pPr>
      <w:r w:rsidRPr="00CE34EF">
        <w:t>Изменение</w:t>
      </w:r>
      <w:r w:rsidRPr="00CE34EF">
        <w:tab/>
      </w:r>
      <w:r w:rsidRPr="00CE34EF">
        <w:tab/>
        <w:t>3</w:t>
      </w:r>
    </w:p>
    <w:p w:rsidR="000F1265" w:rsidRPr="00CE34EF" w:rsidRDefault="000F1265" w:rsidP="000F1265">
      <w:pPr>
        <w:pStyle w:val="NormalBold12b"/>
      </w:pPr>
      <w:r w:rsidRPr="00CE34EF">
        <w:t>Предложение за регламент</w:t>
      </w:r>
    </w:p>
    <w:p w:rsidR="000F1265" w:rsidRPr="00CE34EF" w:rsidRDefault="000F1265" w:rsidP="000F1265">
      <w:pPr>
        <w:pStyle w:val="NormalBold"/>
      </w:pPr>
      <w:r w:rsidRPr="00CE34EF">
        <w:t>Приложение I – параграф 1 – точка 1 а (нова)</w:t>
      </w:r>
    </w:p>
    <w:p w:rsidR="000F1265" w:rsidRPr="00CE34EF" w:rsidRDefault="000F1265" w:rsidP="000F1265">
      <w:pPr>
        <w:keepNext/>
      </w:pPr>
      <w:r w:rsidRPr="00CE34EF">
        <w:t>Регламент (ЕС) 2023/956</w:t>
      </w:r>
    </w:p>
    <w:p w:rsidR="000F1265" w:rsidRPr="00CE34EF" w:rsidRDefault="000F1265" w:rsidP="000F1265">
      <w:r w:rsidRPr="00CE34EF">
        <w:t xml:space="preserve">Приложение IV – точка 3 – параграф 1 – алинея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F1265" w:rsidRPr="00CE34EF" w:rsidTr="00F70A70">
        <w:trPr>
          <w:jc w:val="center"/>
        </w:trPr>
        <w:tc>
          <w:tcPr>
            <w:tcW w:w="9752" w:type="dxa"/>
            <w:gridSpan w:val="2"/>
          </w:tcPr>
          <w:p w:rsidR="000F1265" w:rsidRPr="00CE34EF" w:rsidRDefault="000F1265" w:rsidP="00F70A70">
            <w:pPr>
              <w:keepNext/>
            </w:pP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ColumnHeading"/>
              <w:keepNext/>
            </w:pPr>
            <w:r w:rsidRPr="00CE34EF">
              <w:t>Текст в сила</w:t>
            </w:r>
          </w:p>
        </w:tc>
        <w:tc>
          <w:tcPr>
            <w:tcW w:w="4876" w:type="dxa"/>
          </w:tcPr>
          <w:p w:rsidR="000F1265" w:rsidRPr="00CE34EF" w:rsidRDefault="000F1265" w:rsidP="00F70A70">
            <w:pPr>
              <w:pStyle w:val="ColumnHeading"/>
              <w:keepNext/>
            </w:pPr>
            <w:r w:rsidRPr="00CE34EF">
              <w:t>Изменение</w:t>
            </w: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Normal6"/>
            </w:pPr>
          </w:p>
        </w:tc>
        <w:tc>
          <w:tcPr>
            <w:tcW w:w="4876" w:type="dxa"/>
          </w:tcPr>
          <w:p w:rsidR="000F1265" w:rsidRPr="00CE34EF" w:rsidRDefault="000F1265" w:rsidP="00F70A70">
            <w:pPr>
              <w:pStyle w:val="Normal6"/>
              <w:rPr>
                <w:szCs w:val="24"/>
              </w:rPr>
            </w:pPr>
            <w:r w:rsidRPr="00CE34EF">
              <w:rPr>
                <w:b/>
                <w:i/>
              </w:rPr>
              <w:t>1a)</w:t>
            </w:r>
            <w:r w:rsidRPr="00CE34EF">
              <w:rPr>
                <w:b/>
                <w:i/>
              </w:rPr>
              <w:tab/>
              <w:t xml:space="preserve">В точка 3, в бележките, обясняващи формулата за </w:t>
            </w:r>
            <w:proofErr w:type="spellStart"/>
            <w:r w:rsidRPr="00CE34EF">
              <w:rPr>
                <w:b/>
                <w:i/>
              </w:rPr>
              <w:t>SEEg</w:t>
            </w:r>
            <w:proofErr w:type="spellEnd"/>
            <w:r w:rsidRPr="00CE34EF">
              <w:rPr>
                <w:b/>
                <w:i/>
              </w:rPr>
              <w:t xml:space="preserve"> в първия параграф, бележката за </w:t>
            </w:r>
            <w:proofErr w:type="spellStart"/>
            <w:r w:rsidR="00D3576E" w:rsidRPr="00D3576E">
              <w:rPr>
                <w:b/>
                <w:i/>
              </w:rPr>
              <w:t>EEInpMat</w:t>
            </w:r>
            <w:proofErr w:type="spellEnd"/>
            <w:r w:rsidRPr="00CE34EF">
              <w:rPr>
                <w:b/>
                <w:i/>
              </w:rPr>
              <w:t xml:space="preserve"> се заменя със следното:</w:t>
            </w:r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Normal6"/>
            </w:pPr>
            <w:proofErr w:type="spellStart"/>
            <w:r w:rsidRPr="00CE34EF">
              <w:rPr>
                <w:sz w:val="27"/>
                <w:shd w:val="clear" w:color="auto" w:fill="FFFFFF"/>
              </w:rPr>
              <w:lastRenderedPageBreak/>
              <w:t>EE</w:t>
            </w:r>
            <w:r w:rsidRPr="00CE34EF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0F1265" w:rsidRPr="00CE34EF" w:rsidRDefault="00D3576E" w:rsidP="00F70A70">
            <w:pPr>
              <w:pStyle w:val="Normal6"/>
              <w:rPr>
                <w:szCs w:val="24"/>
              </w:rPr>
            </w:pPr>
            <w:r>
              <w:rPr>
                <w:sz w:val="27"/>
                <w:shd w:val="clear" w:color="auto" w:fill="FFFFFF"/>
              </w:rPr>
              <w:t>„</w:t>
            </w:r>
            <w:proofErr w:type="spellStart"/>
            <w:r w:rsidR="000F1265" w:rsidRPr="00CE34EF">
              <w:rPr>
                <w:sz w:val="27"/>
                <w:shd w:val="clear" w:color="auto" w:fill="FFFFFF"/>
              </w:rPr>
              <w:t>EE</w:t>
            </w:r>
            <w:r w:rsidR="000F1265" w:rsidRPr="00CE34EF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0F1265" w:rsidRPr="00CE34EF" w:rsidTr="00F70A70">
        <w:trPr>
          <w:jc w:val="center"/>
        </w:trPr>
        <w:tc>
          <w:tcPr>
            <w:tcW w:w="4876" w:type="dxa"/>
          </w:tcPr>
          <w:p w:rsidR="000F1265" w:rsidRPr="00CE34EF" w:rsidRDefault="000F1265" w:rsidP="00F70A70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CE34EF">
              <w:t>представлява съпътстващите емисии на вложените материали (</w:t>
            </w:r>
            <w:proofErr w:type="spellStart"/>
            <w:r w:rsidRPr="00CE34EF">
              <w:t>прекурсори</w:t>
            </w:r>
            <w:proofErr w:type="spellEnd"/>
            <w:r w:rsidRPr="00CE34EF">
              <w:t>) в производствения процес. Следва да се отчитат единствено вложените материали (</w:t>
            </w:r>
            <w:proofErr w:type="spellStart"/>
            <w:r w:rsidRPr="00CE34EF">
              <w:t>прекурсори</w:t>
            </w:r>
            <w:proofErr w:type="spellEnd"/>
            <w:r w:rsidRPr="00CE34EF">
              <w:t xml:space="preserve">), изброени </w:t>
            </w:r>
            <w:r w:rsidRPr="00CE34EF">
              <w:rPr>
                <w:b/>
                <w:i/>
              </w:rPr>
              <w:t>като свързани</w:t>
            </w:r>
            <w:r w:rsidRPr="00CE34EF">
              <w:t xml:space="preserve"> с </w:t>
            </w:r>
            <w:r w:rsidRPr="00CE34EF">
              <w:rPr>
                <w:b/>
                <w:i/>
              </w:rPr>
              <w:t>границите на системата на производствения процес</w:t>
            </w:r>
            <w:r w:rsidRPr="00CE34EF">
              <w:t xml:space="preserve">, </w:t>
            </w:r>
            <w:r w:rsidRPr="00CE34EF">
              <w:rPr>
                <w:b/>
                <w:i/>
              </w:rPr>
              <w:t>посочени в акта за изпълнение, приет</w:t>
            </w:r>
            <w:r w:rsidRPr="00CE34EF">
              <w:t xml:space="preserve"> съгласно </w:t>
            </w:r>
            <w:r w:rsidRPr="00CE34EF">
              <w:rPr>
                <w:b/>
                <w:i/>
              </w:rPr>
              <w:t>член</w:t>
            </w:r>
            <w:r w:rsidRPr="00CE34EF">
              <w:t> </w:t>
            </w:r>
            <w:r w:rsidRPr="00CE34EF">
              <w:rPr>
                <w:b/>
                <w:i/>
              </w:rPr>
              <w:t>7</w:t>
            </w:r>
            <w:r w:rsidRPr="00CE34EF">
              <w:t xml:space="preserve">, </w:t>
            </w:r>
            <w:r w:rsidRPr="00CE34EF">
              <w:rPr>
                <w:b/>
                <w:i/>
              </w:rPr>
              <w:t>параграф</w:t>
            </w:r>
            <w:r w:rsidRPr="00CE34EF">
              <w:t> </w:t>
            </w:r>
            <w:r w:rsidRPr="00CE34EF">
              <w:rPr>
                <w:b/>
                <w:i/>
              </w:rPr>
              <w:t>7</w:t>
            </w:r>
            <w:r w:rsidRPr="00CE34EF">
              <w:t xml:space="preserve">. Съответните </w:t>
            </w:r>
            <w:proofErr w:type="spellStart"/>
            <w:r w:rsidRPr="00CE34EF">
              <w:t>EE</w:t>
            </w:r>
            <w:r w:rsidRPr="00CE34EF">
              <w:rPr>
                <w:vertAlign w:val="subscript"/>
              </w:rPr>
              <w:t>InpMat</w:t>
            </w:r>
            <w:proofErr w:type="spellEnd"/>
            <w:r w:rsidRPr="00CE34EF">
              <w:t xml:space="preserve"> се изчисляват по следния начин:</w:t>
            </w:r>
          </w:p>
        </w:tc>
        <w:tc>
          <w:tcPr>
            <w:tcW w:w="4876" w:type="dxa"/>
          </w:tcPr>
          <w:p w:rsidR="000F1265" w:rsidRPr="00CE34EF" w:rsidRDefault="000F1265" w:rsidP="00F70A70">
            <w:pPr>
              <w:pStyle w:val="Normal6"/>
            </w:pPr>
            <w:r w:rsidRPr="00CE34EF">
              <w:t>представлява съпътстващите емисии на вложените материали (</w:t>
            </w:r>
            <w:proofErr w:type="spellStart"/>
            <w:r w:rsidRPr="00CE34EF">
              <w:t>прекурсори</w:t>
            </w:r>
            <w:proofErr w:type="spellEnd"/>
            <w:r w:rsidRPr="00CE34EF">
              <w:t>) в производствения процес. Следва да се отчитат единствено вложените материали (</w:t>
            </w:r>
            <w:proofErr w:type="spellStart"/>
            <w:r w:rsidRPr="00CE34EF">
              <w:t>прекурсори</w:t>
            </w:r>
            <w:proofErr w:type="spellEnd"/>
            <w:r w:rsidRPr="00CE34EF">
              <w:t xml:space="preserve">), изброени </w:t>
            </w:r>
            <w:r w:rsidRPr="00CE34EF">
              <w:rPr>
                <w:b/>
                <w:i/>
              </w:rPr>
              <w:t>в приложение I и</w:t>
            </w:r>
            <w:r w:rsidRPr="00CE34EF">
              <w:t xml:space="preserve"> с </w:t>
            </w:r>
            <w:r w:rsidRPr="00CE34EF">
              <w:rPr>
                <w:b/>
                <w:i/>
              </w:rPr>
              <w:t>произход от трети държави и територии</w:t>
            </w:r>
            <w:r w:rsidRPr="00CE34EF">
              <w:t xml:space="preserve">, </w:t>
            </w:r>
            <w:r w:rsidRPr="00CE34EF">
              <w:rPr>
                <w:b/>
                <w:i/>
              </w:rPr>
              <w:t>които не са посочени в изключенията</w:t>
            </w:r>
            <w:r w:rsidRPr="00CE34EF">
              <w:t xml:space="preserve"> съгласно </w:t>
            </w:r>
            <w:r w:rsidRPr="00CE34EF">
              <w:rPr>
                <w:b/>
                <w:i/>
              </w:rPr>
              <w:t>приложение</w:t>
            </w:r>
            <w:r w:rsidRPr="00CE34EF">
              <w:t> </w:t>
            </w:r>
            <w:r w:rsidRPr="00CE34EF">
              <w:rPr>
                <w:b/>
                <w:i/>
              </w:rPr>
              <w:t>III</w:t>
            </w:r>
            <w:r w:rsidRPr="00CE34EF">
              <w:t xml:space="preserve">, </w:t>
            </w:r>
            <w:r w:rsidRPr="00CE34EF">
              <w:rPr>
                <w:b/>
                <w:i/>
              </w:rPr>
              <w:t>точка</w:t>
            </w:r>
            <w:r w:rsidRPr="00CE34EF">
              <w:t> </w:t>
            </w:r>
            <w:r w:rsidRPr="00CE34EF">
              <w:rPr>
                <w:b/>
                <w:i/>
              </w:rPr>
              <w:t>1</w:t>
            </w:r>
            <w:r w:rsidRPr="00CE34EF">
              <w:t xml:space="preserve">. Съответните </w:t>
            </w:r>
            <w:proofErr w:type="spellStart"/>
            <w:r w:rsidRPr="00CE34EF">
              <w:t>EE</w:t>
            </w:r>
            <w:r w:rsidRPr="00CE34EF">
              <w:rPr>
                <w:vertAlign w:val="subscript"/>
              </w:rPr>
              <w:t>InpMat</w:t>
            </w:r>
            <w:proofErr w:type="spellEnd"/>
            <w:r w:rsidRPr="00CE34EF">
              <w:t xml:space="preserve"> се изчисляват по следния начин:</w:t>
            </w:r>
            <w:r w:rsidR="00D3576E">
              <w:t>“</w:t>
            </w:r>
          </w:p>
        </w:tc>
      </w:tr>
    </w:tbl>
    <w:p w:rsidR="00E365E1" w:rsidRPr="00CE34EF" w:rsidRDefault="00E365E1" w:rsidP="00A1689A"/>
    <w:sectPr w:rsidR="00E365E1" w:rsidRPr="00CE34EF" w:rsidSect="00CE34E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89A" w:rsidRPr="00CE34EF" w:rsidRDefault="00A1689A">
      <w:r w:rsidRPr="00CE34EF">
        <w:separator/>
      </w:r>
    </w:p>
  </w:endnote>
  <w:endnote w:type="continuationSeparator" w:id="0">
    <w:p w:rsidR="00A1689A" w:rsidRPr="00CE34EF" w:rsidRDefault="00A1689A">
      <w:r w:rsidRPr="00CE34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4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4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4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89A" w:rsidRPr="00CE34EF" w:rsidRDefault="00A1689A">
      <w:r w:rsidRPr="00CE34EF">
        <w:separator/>
      </w:r>
    </w:p>
  </w:footnote>
  <w:footnote w:type="continuationSeparator" w:id="0">
    <w:p w:rsidR="00A1689A" w:rsidRPr="00CE34EF" w:rsidRDefault="00A1689A">
      <w:r w:rsidRPr="00CE34EF">
        <w:continuationSeparator/>
      </w:r>
    </w:p>
  </w:footnote>
  <w:footnote w:id="1">
    <w:p w:rsidR="004B4623" w:rsidRPr="00104B12" w:rsidRDefault="004B4623" w:rsidP="00104B12">
      <w:pPr>
        <w:pStyle w:val="FootnoteText"/>
        <w:ind w:left="567" w:hanging="567"/>
        <w:rPr>
          <w:sz w:val="24"/>
          <w:szCs w:val="24"/>
          <w:lang w:val="bg-BG"/>
        </w:rPr>
      </w:pPr>
      <w:r w:rsidRPr="00104B12">
        <w:rPr>
          <w:rStyle w:val="FootnoteReference"/>
          <w:sz w:val="24"/>
          <w:szCs w:val="24"/>
        </w:rPr>
        <w:footnoteRef/>
      </w:r>
      <w:r w:rsidRPr="00104B12">
        <w:rPr>
          <w:sz w:val="24"/>
          <w:szCs w:val="24"/>
        </w:rPr>
        <w:t xml:space="preserve"> </w:t>
      </w:r>
      <w:r w:rsidRPr="00104B12">
        <w:rPr>
          <w:sz w:val="24"/>
          <w:szCs w:val="24"/>
          <w:lang w:val="bg-BG"/>
        </w:rPr>
        <w:tab/>
        <w:t xml:space="preserve">Въпросът е отнесен обратно до компетентната комисия за междуинституционални преговори съгласно член 60, параграф 4, четвърта алинея от </w:t>
      </w:r>
      <w:r w:rsidRPr="004B4623">
        <w:rPr>
          <w:sz w:val="24"/>
          <w:szCs w:val="24"/>
          <w:lang w:val="bg-BG"/>
        </w:rPr>
        <w:t>Правилника за дейността (А10-00</w:t>
      </w:r>
      <w:r w:rsidRPr="00104B12">
        <w:rPr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5</w:t>
      </w:r>
      <w:r w:rsidRPr="00104B12">
        <w:rPr>
          <w:sz w:val="24"/>
          <w:szCs w:val="24"/>
          <w:lang w:val="bg-BG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4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4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4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BG"/>
    <w:docVar w:name="dvnumam" w:val="4"/>
    <w:docVar w:name="dvpe" w:val="773.301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23/956 с цел опростяване и укрепване на механизма за корекция на въглеродните емисии на границите(COM(2025)0087 – C10-0035/2025 – 2025/0039(COD))"/>
  </w:docVars>
  <w:rsids>
    <w:rsidRoot w:val="00A1689A"/>
    <w:rsid w:val="00002272"/>
    <w:rsid w:val="00064002"/>
    <w:rsid w:val="000677B9"/>
    <w:rsid w:val="000831BA"/>
    <w:rsid w:val="000A42CC"/>
    <w:rsid w:val="000E7DD9"/>
    <w:rsid w:val="000F1265"/>
    <w:rsid w:val="0010095E"/>
    <w:rsid w:val="00104B12"/>
    <w:rsid w:val="00125B37"/>
    <w:rsid w:val="001700D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62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614"/>
    <w:rsid w:val="00930C23"/>
    <w:rsid w:val="0093193B"/>
    <w:rsid w:val="009509D8"/>
    <w:rsid w:val="00950B64"/>
    <w:rsid w:val="00981893"/>
    <w:rsid w:val="00A1687D"/>
    <w:rsid w:val="00A1689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4EF"/>
    <w:rsid w:val="00CF071A"/>
    <w:rsid w:val="00D058B8"/>
    <w:rsid w:val="00D3576E"/>
    <w:rsid w:val="00D56C11"/>
    <w:rsid w:val="00D834A0"/>
    <w:rsid w:val="00D872DF"/>
    <w:rsid w:val="00D91E21"/>
    <w:rsid w:val="00DA7FCD"/>
    <w:rsid w:val="00E365E1"/>
    <w:rsid w:val="00E6316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ED37B-CBE9-45DD-BDD1-A293E964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F1265"/>
    <w:rPr>
      <w:b/>
    </w:rPr>
  </w:style>
  <w:style w:type="paragraph" w:customStyle="1" w:styleId="NormalHanging12a">
    <w:name w:val="NormalHanging12a"/>
    <w:basedOn w:val="Normal"/>
    <w:link w:val="NormalHanging12aChar"/>
    <w:rsid w:val="000F126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F12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F1265"/>
    <w:pPr>
      <w:spacing w:before="240"/>
    </w:pPr>
    <w:rPr>
      <w:b/>
    </w:rPr>
  </w:style>
  <w:style w:type="paragraph" w:customStyle="1" w:styleId="EPComma">
    <w:name w:val="EPComma"/>
    <w:basedOn w:val="Normal"/>
    <w:rsid w:val="000F126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F1265"/>
    <w:rPr>
      <w:b/>
      <w:sz w:val="24"/>
      <w:lang w:val="bg-BG"/>
    </w:rPr>
  </w:style>
  <w:style w:type="paragraph" w:customStyle="1" w:styleId="Normal6">
    <w:name w:val="Normal6"/>
    <w:basedOn w:val="Normal"/>
    <w:link w:val="Normal6Char"/>
    <w:rsid w:val="000F126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F1265"/>
    <w:rPr>
      <w:sz w:val="24"/>
      <w:lang w:val="bg-BG"/>
    </w:rPr>
  </w:style>
  <w:style w:type="paragraph" w:customStyle="1" w:styleId="ColumnHeading">
    <w:name w:val="ColumnHeading"/>
    <w:basedOn w:val="Normal"/>
    <w:rsid w:val="000F1265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F1265"/>
    <w:rPr>
      <w:b/>
      <w:sz w:val="24"/>
      <w:lang w:val="bg-BG"/>
    </w:rPr>
  </w:style>
  <w:style w:type="character" w:customStyle="1" w:styleId="oj-sub">
    <w:name w:val="oj-sub"/>
    <w:rsid w:val="000F1265"/>
  </w:style>
  <w:style w:type="character" w:customStyle="1" w:styleId="NormalHanging12aChar">
    <w:name w:val="NormalHanging12a Char"/>
    <w:basedOn w:val="DefaultParagraphFont"/>
    <w:link w:val="NormalHanging12a"/>
    <w:locked/>
    <w:rsid w:val="000F1265"/>
    <w:rPr>
      <w:sz w:val="24"/>
      <w:lang w:val="bg-BG"/>
    </w:rPr>
  </w:style>
  <w:style w:type="paragraph" w:styleId="BalloonText">
    <w:name w:val="Balloon Text"/>
    <w:basedOn w:val="Normal"/>
    <w:link w:val="BalloonTextChar"/>
    <w:rsid w:val="00E631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3163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E6B03-AD14-4511-A662-377CE9492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2025-05-22T10:10:00Z</dcterms:created>
  <dcterms:modified xsi:type="dcterms:W3CDTF">2025-05-22T10:10:00Z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