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5C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05CD9" w:rsidRDefault="000D774D" w:rsidP="0010095E">
            <w:pPr>
              <w:pStyle w:val="EPName"/>
            </w:pPr>
            <w:r w:rsidRPr="00A05CD9">
              <w:t>Evropský parlament</w:t>
            </w:r>
          </w:p>
          <w:p w:rsidR="00751A4A" w:rsidRPr="00A05C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5CD9">
              <w:t>2024</w:t>
            </w:r>
            <w:r w:rsidR="00817416" w:rsidRPr="00A05CD9">
              <w:t>-202</w:t>
            </w:r>
            <w:r w:rsidRPr="00A05CD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05CD9" w:rsidRDefault="00187494" w:rsidP="0010095E">
            <w:pPr>
              <w:pStyle w:val="EPLogo"/>
            </w:pPr>
            <w:r w:rsidRPr="00A05C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05CD9" w:rsidRDefault="00D058B8" w:rsidP="004C5D52">
      <w:pPr>
        <w:pStyle w:val="LineTop"/>
      </w:pPr>
    </w:p>
    <w:p w:rsidR="00680577" w:rsidRPr="00A05CD9" w:rsidRDefault="000D774D" w:rsidP="00680577">
      <w:pPr>
        <w:pStyle w:val="EPBodyTA1"/>
      </w:pPr>
      <w:r w:rsidRPr="00A05CD9">
        <w:t>PŘIJATÉ TEXTY</w:t>
      </w:r>
    </w:p>
    <w:p w:rsidR="00D058B8" w:rsidRPr="00A05CD9" w:rsidRDefault="00D058B8" w:rsidP="00D058B8">
      <w:pPr>
        <w:pStyle w:val="LineBottom"/>
      </w:pPr>
    </w:p>
    <w:p w:rsidR="000D774D" w:rsidRPr="00A05CD9" w:rsidRDefault="000D774D" w:rsidP="000D774D">
      <w:pPr>
        <w:pStyle w:val="ATHeading1"/>
      </w:pPr>
      <w:bookmarkStart w:id="0" w:name="TANumber"/>
      <w:r w:rsidRPr="00A05CD9">
        <w:t>P10_TA(2025)0</w:t>
      </w:r>
      <w:bookmarkEnd w:id="0"/>
      <w:r w:rsidR="00844F9D">
        <w:t>108</w:t>
      </w:r>
    </w:p>
    <w:p w:rsidR="000D774D" w:rsidRPr="00A05CD9" w:rsidRDefault="0093719A" w:rsidP="0093719A">
      <w:pPr>
        <w:pStyle w:val="ATHeading2"/>
      </w:pPr>
      <w:r>
        <w:t>Změna nařízení (EU) 2023/956, pokud jde o zjednodušení a posílení mechanismu uhlíkového vyrovnání na hranicích</w:t>
      </w:r>
    </w:p>
    <w:p w:rsidR="000D774D" w:rsidRPr="00A05CD9" w:rsidRDefault="000D774D" w:rsidP="000D774D">
      <w:pPr>
        <w:rPr>
          <w:i/>
          <w:vanish/>
        </w:rPr>
      </w:pPr>
      <w:r w:rsidRPr="00A05CD9">
        <w:rPr>
          <w:i/>
        </w:rPr>
        <w:fldChar w:fldCharType="begin"/>
      </w:r>
      <w:r w:rsidRPr="00A05CD9">
        <w:rPr>
          <w:i/>
        </w:rPr>
        <w:instrText xml:space="preserve"> TC"(</w:instrText>
      </w:r>
      <w:bookmarkStart w:id="1" w:name="DocNumber"/>
      <w:r w:rsidRPr="00A05CD9">
        <w:rPr>
          <w:i/>
        </w:rPr>
        <w:instrText>A10-0085/2025</w:instrText>
      </w:r>
      <w:bookmarkEnd w:id="1"/>
      <w:r w:rsidRPr="00A05CD9">
        <w:rPr>
          <w:i/>
        </w:rPr>
        <w:instrText xml:space="preserve"> - Zpravodaj: Antonio Decaro)"\l3 \n&gt; \* MERGEFORMAT </w:instrText>
      </w:r>
      <w:r w:rsidRPr="00A05CD9">
        <w:rPr>
          <w:i/>
        </w:rPr>
        <w:fldChar w:fldCharType="end"/>
      </w:r>
    </w:p>
    <w:p w:rsidR="000D774D" w:rsidRPr="00A05CD9" w:rsidRDefault="000D774D" w:rsidP="000D774D">
      <w:pPr>
        <w:rPr>
          <w:vanish/>
        </w:rPr>
      </w:pPr>
      <w:bookmarkStart w:id="2" w:name="Commission"/>
      <w:r w:rsidRPr="00A05CD9">
        <w:rPr>
          <w:vanish/>
        </w:rPr>
        <w:t>Výbor pro životní prostředí, veřejné zdraví a bezpečnost potravin</w:t>
      </w:r>
      <w:bookmarkEnd w:id="2"/>
    </w:p>
    <w:p w:rsidR="000D774D" w:rsidRPr="00A05CD9" w:rsidRDefault="000D774D" w:rsidP="000D774D">
      <w:pPr>
        <w:rPr>
          <w:vanish/>
        </w:rPr>
      </w:pPr>
      <w:bookmarkStart w:id="3" w:name="PE"/>
      <w:r w:rsidRPr="00A05CD9">
        <w:rPr>
          <w:vanish/>
        </w:rPr>
        <w:t>PE773.301</w:t>
      </w:r>
      <w:bookmarkEnd w:id="3"/>
    </w:p>
    <w:p w:rsidR="000D774D" w:rsidRPr="00A05CD9" w:rsidRDefault="00844F9D" w:rsidP="000D774D">
      <w:pPr>
        <w:pStyle w:val="ATHeading3"/>
      </w:pPr>
      <w:bookmarkStart w:id="4" w:name="Sujet"/>
      <w:r w:rsidRPr="00B50930">
        <w:t>Pozměňovací návrh</w:t>
      </w:r>
      <w:r>
        <w:t xml:space="preserve">y přijaté Evropským parlamentem dne </w:t>
      </w:r>
      <w:bookmarkStart w:id="5" w:name="_GoBack"/>
      <w:bookmarkEnd w:id="5"/>
      <w:r w:rsidR="0093719A">
        <w:t>22. května</w:t>
      </w:r>
      <w:r w:rsidR="000D774D" w:rsidRPr="00A05CD9">
        <w:t xml:space="preserve"> 2025 </w:t>
      </w:r>
      <w:r>
        <w:t>k</w:t>
      </w:r>
      <w:r w:rsidR="000D774D" w:rsidRPr="00A05CD9">
        <w:t xml:space="preserve"> návrhu nařízení Evropského parlamentu a Rady, kterým se mění nařízení (EU) 2023/956, pokud jde o zjednodušení a posílení mechanismu uhlíkového vyrovnání na hranicích</w:t>
      </w:r>
      <w:bookmarkEnd w:id="4"/>
      <w:r w:rsidR="000D774D" w:rsidRPr="00A05CD9">
        <w:t xml:space="preserve"> </w:t>
      </w:r>
      <w:bookmarkStart w:id="6" w:name="References"/>
      <w:r w:rsidR="000D774D" w:rsidRPr="00A05CD9">
        <w:t>(</w:t>
      </w:r>
      <w:proofErr w:type="gramStart"/>
      <w:r w:rsidR="000D774D" w:rsidRPr="00A05CD9">
        <w:t>COM(2025</w:t>
      </w:r>
      <w:proofErr w:type="gramEnd"/>
      <w:r w:rsidR="000D774D" w:rsidRPr="00A05CD9">
        <w:t>)0087 – C10-0035/2025 – 2025/0039(COD))</w:t>
      </w:r>
      <w:bookmarkEnd w:id="6"/>
      <w:r>
        <w:rPr>
          <w:rStyle w:val="FootnoteReference"/>
        </w:rPr>
        <w:footnoteReference w:id="1"/>
      </w:r>
    </w:p>
    <w:p w:rsidR="000D774D" w:rsidRPr="00A05CD9" w:rsidRDefault="000D774D" w:rsidP="000D774D"/>
    <w:p w:rsidR="00F148F4" w:rsidRPr="00A05CD9" w:rsidRDefault="00F148F4" w:rsidP="00F148F4">
      <w:pPr>
        <w:pStyle w:val="NormalBold"/>
      </w:pPr>
      <w:bookmarkStart w:id="7" w:name="TextBodyBegin"/>
      <w:bookmarkEnd w:id="7"/>
      <w:r w:rsidRPr="00A05CD9">
        <w:t>(Řádný legislativní postup: první čtení)</w:t>
      </w:r>
    </w:p>
    <w:p w:rsidR="00F148F4" w:rsidRPr="00A05CD9" w:rsidRDefault="00F148F4" w:rsidP="00F148F4">
      <w:pPr>
        <w:widowControl/>
      </w:pPr>
    </w:p>
    <w:p w:rsidR="00F148F4" w:rsidRPr="000D156C" w:rsidRDefault="00F148F4" w:rsidP="005F1393">
      <w:pPr>
        <w:pStyle w:val="AmNumberTabs"/>
        <w:spacing w:before="600"/>
      </w:pPr>
      <w:r w:rsidRPr="00A05CD9">
        <w:t>Pozměňovací návrh</w:t>
      </w:r>
      <w:r w:rsidRPr="00A05CD9">
        <w:tab/>
      </w:r>
      <w:r w:rsidRPr="0011704C">
        <w:t>1</w:t>
      </w:r>
    </w:p>
    <w:p w:rsidR="00F148F4" w:rsidRPr="00A05CD9" w:rsidRDefault="00F148F4" w:rsidP="00F148F4">
      <w:pPr>
        <w:pStyle w:val="NormalBold12b"/>
      </w:pPr>
      <w:r w:rsidRPr="00A05CD9">
        <w:t>Návrh nařízení</w:t>
      </w:r>
    </w:p>
    <w:p w:rsidR="00F148F4" w:rsidRPr="00A05CD9" w:rsidRDefault="00F148F4" w:rsidP="00F148F4">
      <w:pPr>
        <w:pStyle w:val="NormalBold"/>
      </w:pPr>
      <w:r w:rsidRPr="00A05CD9">
        <w:t>Bod odůvodnění 25 a 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148F4" w:rsidRPr="00A05CD9" w:rsidTr="0079201B">
        <w:trPr>
          <w:jc w:val="center"/>
        </w:trPr>
        <w:tc>
          <w:tcPr>
            <w:tcW w:w="9752" w:type="dxa"/>
            <w:gridSpan w:val="2"/>
          </w:tcPr>
          <w:p w:rsidR="00F148F4" w:rsidRPr="00A05CD9" w:rsidRDefault="00F148F4" w:rsidP="0079201B">
            <w:pPr>
              <w:keepNext/>
            </w:pPr>
          </w:p>
        </w:tc>
      </w:tr>
      <w:tr w:rsidR="00F148F4" w:rsidRPr="00A05CD9" w:rsidTr="0079201B">
        <w:trPr>
          <w:jc w:val="center"/>
        </w:trPr>
        <w:tc>
          <w:tcPr>
            <w:tcW w:w="4876" w:type="dxa"/>
          </w:tcPr>
          <w:p w:rsidR="00F148F4" w:rsidRPr="00A05CD9" w:rsidRDefault="00F148F4" w:rsidP="0079201B">
            <w:pPr>
              <w:pStyle w:val="ColumnHeading"/>
              <w:keepNext/>
            </w:pPr>
            <w:r w:rsidRPr="00A05CD9">
              <w:t>Znění navržené Komisí</w:t>
            </w:r>
          </w:p>
        </w:tc>
        <w:tc>
          <w:tcPr>
            <w:tcW w:w="4876" w:type="dxa"/>
          </w:tcPr>
          <w:p w:rsidR="00F148F4" w:rsidRPr="00A05CD9" w:rsidRDefault="00F148F4" w:rsidP="0079201B">
            <w:pPr>
              <w:pStyle w:val="ColumnHeading"/>
              <w:keepNext/>
            </w:pPr>
            <w:r w:rsidRPr="00A05CD9">
              <w:t>Pozměňovací návrh</w:t>
            </w:r>
          </w:p>
        </w:tc>
      </w:tr>
      <w:tr w:rsidR="00F148F4" w:rsidRPr="00A05CD9" w:rsidTr="0079201B">
        <w:trPr>
          <w:jc w:val="center"/>
        </w:trPr>
        <w:tc>
          <w:tcPr>
            <w:tcW w:w="4876" w:type="dxa"/>
          </w:tcPr>
          <w:p w:rsidR="00F148F4" w:rsidRPr="00A05CD9" w:rsidRDefault="00F148F4" w:rsidP="0079201B">
            <w:pPr>
              <w:pStyle w:val="Normal6"/>
            </w:pPr>
          </w:p>
        </w:tc>
        <w:tc>
          <w:tcPr>
            <w:tcW w:w="4876" w:type="dxa"/>
          </w:tcPr>
          <w:p w:rsidR="00F148F4" w:rsidRPr="00A05CD9" w:rsidRDefault="00F148F4" w:rsidP="0079201B">
            <w:pPr>
              <w:pStyle w:val="Normal6"/>
              <w:rPr>
                <w:szCs w:val="24"/>
              </w:rPr>
            </w:pPr>
            <w:r w:rsidRPr="00A05CD9">
              <w:rPr>
                <w:b/>
                <w:i/>
              </w:rPr>
              <w:t>(25a)</w:t>
            </w:r>
            <w:r w:rsidRPr="00A05CD9">
              <w:rPr>
                <w:b/>
                <w:i/>
              </w:rPr>
              <w:tab/>
              <w:t>CBAM se vztahuje na dovoz elektřiny, ale neměl by se vztahovat na elektřinu vyrobenou výhradně ve výlučné ekonomické zóně členského státu EHP a dovezenou přímo na celní území unie;</w:t>
            </w:r>
          </w:p>
        </w:tc>
      </w:tr>
    </w:tbl>
    <w:p w:rsidR="00F148F4" w:rsidRPr="00A05CD9" w:rsidRDefault="00F148F4" w:rsidP="00F148F4"/>
    <w:p w:rsidR="00F148F4" w:rsidRPr="00A05CD9" w:rsidRDefault="00F148F4" w:rsidP="00F148F4">
      <w:pPr>
        <w:pStyle w:val="AmNumberTabs"/>
      </w:pPr>
      <w:r w:rsidRPr="00A05CD9">
        <w:t>Pozměňovací návrh</w:t>
      </w:r>
      <w:r w:rsidRPr="00A05CD9">
        <w:tab/>
      </w:r>
      <w:r w:rsidRPr="00A05CD9">
        <w:tab/>
        <w:t>2</w:t>
      </w:r>
    </w:p>
    <w:p w:rsidR="00F148F4" w:rsidRPr="00A05CD9" w:rsidRDefault="00F148F4" w:rsidP="00F148F4">
      <w:pPr>
        <w:pStyle w:val="NormalBold12b"/>
      </w:pPr>
      <w:r w:rsidRPr="00A05CD9">
        <w:t>Návrh nařízení</w:t>
      </w:r>
    </w:p>
    <w:p w:rsidR="00F148F4" w:rsidRPr="00A05CD9" w:rsidRDefault="00F148F4" w:rsidP="00F148F4">
      <w:pPr>
        <w:pStyle w:val="NormalBold"/>
      </w:pPr>
      <w:r w:rsidRPr="00A05CD9">
        <w:t>Čl. 1 – odst. 1 – bod 1 – písm. b a (nové)</w:t>
      </w:r>
    </w:p>
    <w:p w:rsidR="00F148F4" w:rsidRPr="00A05CD9" w:rsidRDefault="00F148F4" w:rsidP="00F148F4">
      <w:pPr>
        <w:keepNext/>
      </w:pPr>
      <w:r w:rsidRPr="00A05CD9">
        <w:t>Nařízení (EU) 2023/956</w:t>
      </w:r>
    </w:p>
    <w:p w:rsidR="00F148F4" w:rsidRPr="00A05CD9" w:rsidRDefault="00F148F4" w:rsidP="00F148F4">
      <w:r w:rsidRPr="00A05CD9">
        <w:t>Čl. 2 – odst. 3 b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148F4" w:rsidRPr="00A05CD9" w:rsidTr="0079201B">
        <w:trPr>
          <w:jc w:val="center"/>
        </w:trPr>
        <w:tc>
          <w:tcPr>
            <w:tcW w:w="9752" w:type="dxa"/>
            <w:gridSpan w:val="2"/>
          </w:tcPr>
          <w:p w:rsidR="00F148F4" w:rsidRPr="00A05CD9" w:rsidRDefault="00F148F4" w:rsidP="0079201B">
            <w:pPr>
              <w:keepNext/>
            </w:pPr>
          </w:p>
        </w:tc>
      </w:tr>
      <w:tr w:rsidR="00F148F4" w:rsidRPr="00A05CD9" w:rsidTr="0079201B">
        <w:trPr>
          <w:jc w:val="center"/>
        </w:trPr>
        <w:tc>
          <w:tcPr>
            <w:tcW w:w="4876" w:type="dxa"/>
          </w:tcPr>
          <w:p w:rsidR="00F148F4" w:rsidRPr="00A05CD9" w:rsidRDefault="00F148F4" w:rsidP="0079201B">
            <w:pPr>
              <w:pStyle w:val="ColumnHeading"/>
              <w:keepNext/>
            </w:pPr>
            <w:r w:rsidRPr="00A05CD9">
              <w:t>Znění navržené Komisí</w:t>
            </w:r>
          </w:p>
        </w:tc>
        <w:tc>
          <w:tcPr>
            <w:tcW w:w="4876" w:type="dxa"/>
          </w:tcPr>
          <w:p w:rsidR="00F148F4" w:rsidRPr="00A05CD9" w:rsidRDefault="00F148F4" w:rsidP="0079201B">
            <w:pPr>
              <w:pStyle w:val="ColumnHeading"/>
              <w:keepNext/>
            </w:pPr>
            <w:r w:rsidRPr="00A05CD9">
              <w:t>Pozměňovací návrh</w:t>
            </w:r>
          </w:p>
        </w:tc>
      </w:tr>
      <w:tr w:rsidR="00F148F4" w:rsidRPr="00A05CD9" w:rsidTr="0079201B">
        <w:trPr>
          <w:jc w:val="center"/>
        </w:trPr>
        <w:tc>
          <w:tcPr>
            <w:tcW w:w="4876" w:type="dxa"/>
          </w:tcPr>
          <w:p w:rsidR="00F148F4" w:rsidRPr="00A05CD9" w:rsidRDefault="00F148F4" w:rsidP="0079201B">
            <w:pPr>
              <w:pStyle w:val="Normal6"/>
            </w:pPr>
          </w:p>
        </w:tc>
        <w:tc>
          <w:tcPr>
            <w:tcW w:w="4876" w:type="dxa"/>
          </w:tcPr>
          <w:p w:rsidR="00F148F4" w:rsidRPr="00A05CD9" w:rsidRDefault="00F148F4" w:rsidP="0079201B">
            <w:pPr>
              <w:pStyle w:val="Normal6"/>
              <w:rPr>
                <w:szCs w:val="24"/>
              </w:rPr>
            </w:pPr>
            <w:r w:rsidRPr="00A05CD9">
              <w:rPr>
                <w:b/>
                <w:i/>
              </w:rPr>
              <w:t>ba)</w:t>
            </w:r>
            <w:r w:rsidRPr="00A05CD9">
              <w:rPr>
                <w:b/>
                <w:i/>
              </w:rPr>
              <w:tab/>
              <w:t>vkládá se nový odstavec 3b, který zní:</w:t>
            </w:r>
          </w:p>
        </w:tc>
      </w:tr>
      <w:tr w:rsidR="00F148F4" w:rsidRPr="00A05CD9" w:rsidTr="0079201B">
        <w:trPr>
          <w:jc w:val="center"/>
        </w:trPr>
        <w:tc>
          <w:tcPr>
            <w:tcW w:w="4876" w:type="dxa"/>
          </w:tcPr>
          <w:p w:rsidR="00F148F4" w:rsidRPr="00A05CD9" w:rsidRDefault="00F148F4" w:rsidP="0079201B">
            <w:pPr>
              <w:pStyle w:val="Normal6"/>
            </w:pPr>
          </w:p>
        </w:tc>
        <w:tc>
          <w:tcPr>
            <w:tcW w:w="4876" w:type="dxa"/>
          </w:tcPr>
          <w:p w:rsidR="00F148F4" w:rsidRPr="00A05CD9" w:rsidRDefault="00F148F4" w:rsidP="0079201B">
            <w:pPr>
              <w:pStyle w:val="Normal6"/>
              <w:rPr>
                <w:szCs w:val="24"/>
              </w:rPr>
            </w:pPr>
            <w:r w:rsidRPr="00A05CD9">
              <w:rPr>
                <w:b/>
                <w:i/>
              </w:rPr>
              <w:t>3b.</w:t>
            </w:r>
            <w:r w:rsidRPr="00A05CD9">
              <w:tab/>
            </w:r>
            <w:r w:rsidRPr="00A05CD9">
              <w:rPr>
                <w:b/>
                <w:i/>
              </w:rPr>
              <w:t>Odchylně od odstavců 1 a 2 se toto nařízení nevztahuje na elektřinu vyrobenou výhradně ve výlučné ekonomické zóně členského státu EHP a dovezenou přímo na celní území unie.</w:t>
            </w:r>
          </w:p>
        </w:tc>
      </w:tr>
    </w:tbl>
    <w:p w:rsidR="00F148F4" w:rsidRPr="00A05CD9" w:rsidRDefault="00F148F4" w:rsidP="00F148F4"/>
    <w:p w:rsidR="00F148F4" w:rsidRPr="00A05CD9" w:rsidRDefault="00F148F4" w:rsidP="00F148F4">
      <w:pPr>
        <w:pStyle w:val="AmNumberTabs"/>
      </w:pPr>
      <w:r w:rsidRPr="00A05CD9">
        <w:t>Pozměňovací návrh</w:t>
      </w:r>
      <w:r w:rsidRPr="00A05CD9">
        <w:tab/>
      </w:r>
      <w:r w:rsidRPr="00A05CD9">
        <w:tab/>
        <w:t>3</w:t>
      </w:r>
    </w:p>
    <w:p w:rsidR="00F148F4" w:rsidRPr="00A05CD9" w:rsidRDefault="00F148F4" w:rsidP="00F148F4">
      <w:pPr>
        <w:pStyle w:val="NormalBold12b"/>
      </w:pPr>
      <w:r w:rsidRPr="00A05CD9">
        <w:t>Návrh nařízení</w:t>
      </w:r>
    </w:p>
    <w:p w:rsidR="00F148F4" w:rsidRPr="00A05CD9" w:rsidRDefault="00F148F4" w:rsidP="00F148F4">
      <w:pPr>
        <w:pStyle w:val="NormalBold"/>
      </w:pPr>
      <w:r w:rsidRPr="00A05CD9">
        <w:t>Příloha I – odst. 1 – bod 1 a (nový)</w:t>
      </w:r>
    </w:p>
    <w:p w:rsidR="00F148F4" w:rsidRPr="00A05CD9" w:rsidRDefault="00F148F4" w:rsidP="00F148F4">
      <w:pPr>
        <w:keepNext/>
      </w:pPr>
      <w:r w:rsidRPr="00A05CD9">
        <w:t>Nařízení (EU) 2023/956</w:t>
      </w:r>
    </w:p>
    <w:p w:rsidR="00F148F4" w:rsidRPr="00A05CD9" w:rsidRDefault="00F148F4" w:rsidP="00F148F4">
      <w:r w:rsidRPr="00A05CD9">
        <w:t xml:space="preserve">Příloha IV – bod 3 – odst. 1 – pododstavec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148F4" w:rsidRPr="00A05CD9" w:rsidTr="0079201B">
        <w:trPr>
          <w:jc w:val="center"/>
        </w:trPr>
        <w:tc>
          <w:tcPr>
            <w:tcW w:w="9752" w:type="dxa"/>
            <w:gridSpan w:val="2"/>
          </w:tcPr>
          <w:p w:rsidR="00F148F4" w:rsidRPr="00A05CD9" w:rsidRDefault="00F148F4" w:rsidP="0079201B">
            <w:pPr>
              <w:keepNext/>
            </w:pPr>
          </w:p>
        </w:tc>
      </w:tr>
      <w:tr w:rsidR="00F148F4" w:rsidRPr="00A05CD9" w:rsidTr="0079201B">
        <w:trPr>
          <w:jc w:val="center"/>
        </w:trPr>
        <w:tc>
          <w:tcPr>
            <w:tcW w:w="4876" w:type="dxa"/>
          </w:tcPr>
          <w:p w:rsidR="00F148F4" w:rsidRPr="00A05CD9" w:rsidRDefault="00F148F4" w:rsidP="0079201B">
            <w:pPr>
              <w:pStyle w:val="ColumnHeading"/>
              <w:keepNext/>
            </w:pPr>
            <w:r w:rsidRPr="00A05CD9">
              <w:t>Platné znění</w:t>
            </w:r>
          </w:p>
        </w:tc>
        <w:tc>
          <w:tcPr>
            <w:tcW w:w="4876" w:type="dxa"/>
          </w:tcPr>
          <w:p w:rsidR="00F148F4" w:rsidRPr="00A05CD9" w:rsidRDefault="00F148F4" w:rsidP="0079201B">
            <w:pPr>
              <w:pStyle w:val="ColumnHeading"/>
              <w:keepNext/>
            </w:pPr>
            <w:r w:rsidRPr="00A05CD9">
              <w:t>Pozměňovací návrh</w:t>
            </w:r>
          </w:p>
        </w:tc>
      </w:tr>
      <w:tr w:rsidR="00F148F4" w:rsidRPr="00A05CD9" w:rsidTr="0079201B">
        <w:trPr>
          <w:jc w:val="center"/>
        </w:trPr>
        <w:tc>
          <w:tcPr>
            <w:tcW w:w="4876" w:type="dxa"/>
          </w:tcPr>
          <w:p w:rsidR="00F148F4" w:rsidRPr="00A05CD9" w:rsidRDefault="00F148F4" w:rsidP="0079201B">
            <w:pPr>
              <w:pStyle w:val="Normal6"/>
            </w:pPr>
          </w:p>
        </w:tc>
        <w:tc>
          <w:tcPr>
            <w:tcW w:w="4876" w:type="dxa"/>
          </w:tcPr>
          <w:p w:rsidR="00F148F4" w:rsidRPr="00A05CD9" w:rsidRDefault="00F148F4" w:rsidP="0079201B">
            <w:pPr>
              <w:pStyle w:val="Normal6"/>
              <w:rPr>
                <w:szCs w:val="24"/>
              </w:rPr>
            </w:pPr>
            <w:r w:rsidRPr="00A05CD9">
              <w:rPr>
                <w:b/>
                <w:i/>
              </w:rPr>
              <w:t>1a)</w:t>
            </w:r>
            <w:r w:rsidRPr="00A05CD9">
              <w:rPr>
                <w:b/>
                <w:i/>
              </w:rPr>
              <w:tab/>
              <w:t xml:space="preserve">V bodě 3 v poznámkách vysvětlujících vzorec pro </w:t>
            </w:r>
            <w:proofErr w:type="spellStart"/>
            <w:r w:rsidRPr="00A05CD9">
              <w:rPr>
                <w:b/>
                <w:i/>
              </w:rPr>
              <w:t>SEEg</w:t>
            </w:r>
            <w:proofErr w:type="spellEnd"/>
            <w:r w:rsidRPr="00A05CD9">
              <w:rPr>
                <w:b/>
                <w:i/>
              </w:rPr>
              <w:t xml:space="preserve"> v prvním odstavci se poznámka pro </w:t>
            </w:r>
            <w:proofErr w:type="spellStart"/>
            <w:r w:rsidR="0093719A" w:rsidRPr="0011704C">
              <w:rPr>
                <w:b/>
                <w:i/>
              </w:rPr>
              <w:t>EEInpMat</w:t>
            </w:r>
            <w:proofErr w:type="spellEnd"/>
            <w:r w:rsidRPr="00A05CD9">
              <w:rPr>
                <w:b/>
                <w:i/>
              </w:rPr>
              <w:t xml:space="preserve"> nahrazuje tímto:</w:t>
            </w:r>
          </w:p>
        </w:tc>
      </w:tr>
      <w:tr w:rsidR="00F148F4" w:rsidRPr="00A05CD9" w:rsidTr="0079201B">
        <w:trPr>
          <w:jc w:val="center"/>
        </w:trPr>
        <w:tc>
          <w:tcPr>
            <w:tcW w:w="4876" w:type="dxa"/>
          </w:tcPr>
          <w:p w:rsidR="00F148F4" w:rsidRPr="00A05CD9" w:rsidRDefault="00F148F4" w:rsidP="0079201B">
            <w:pPr>
              <w:pStyle w:val="Normal6"/>
            </w:pPr>
            <w:proofErr w:type="spellStart"/>
            <w:r w:rsidRPr="00A05CD9">
              <w:rPr>
                <w:sz w:val="27"/>
                <w:shd w:val="clear" w:color="auto" w:fill="FFFFFF"/>
              </w:rPr>
              <w:t>EE</w:t>
            </w:r>
            <w:r w:rsidRPr="00A05CD9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F148F4" w:rsidRPr="00A05CD9" w:rsidRDefault="00F148F4" w:rsidP="0079201B">
            <w:pPr>
              <w:pStyle w:val="Normal6"/>
              <w:rPr>
                <w:szCs w:val="24"/>
              </w:rPr>
            </w:pPr>
            <w:proofErr w:type="spellStart"/>
            <w:r w:rsidRPr="00A05CD9">
              <w:rPr>
                <w:sz w:val="27"/>
                <w:shd w:val="clear" w:color="auto" w:fill="FFFFFF"/>
              </w:rPr>
              <w:t>EE</w:t>
            </w:r>
            <w:r w:rsidRPr="00A05CD9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F148F4" w:rsidRPr="00A05CD9" w:rsidTr="0079201B">
        <w:trPr>
          <w:jc w:val="center"/>
        </w:trPr>
        <w:tc>
          <w:tcPr>
            <w:tcW w:w="4876" w:type="dxa"/>
          </w:tcPr>
          <w:p w:rsidR="00F148F4" w:rsidRPr="00A05CD9" w:rsidRDefault="00F148F4" w:rsidP="0079201B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A05CD9">
              <w:t>jsou obsažené emise vztahující se ke vstupním materiálům (prekurzorům) spotřebovaným při výrobním procesu. Zohlednit je třeba pouze vstupní materiály (prekurzory)</w:t>
            </w:r>
            <w:r w:rsidRPr="00A05CD9">
              <w:rPr>
                <w:b/>
                <w:i/>
              </w:rPr>
              <w:t>, které jsou relevantní pro hranice systému výrobního procesu, jak je stanoveno v prováděcím aktu přijatém</w:t>
            </w:r>
            <w:r w:rsidRPr="00A05CD9">
              <w:t xml:space="preserve"> podle </w:t>
            </w:r>
            <w:r w:rsidRPr="00A05CD9">
              <w:rPr>
                <w:b/>
                <w:i/>
              </w:rPr>
              <w:t>čl. 7 odst. 7</w:t>
            </w:r>
            <w:r w:rsidRPr="00A05CD9">
              <w:t xml:space="preserve">. Příslušné </w:t>
            </w:r>
            <w:proofErr w:type="spellStart"/>
            <w:r w:rsidRPr="00A05CD9">
              <w:t>EE</w:t>
            </w:r>
            <w:r w:rsidRPr="00A05CD9">
              <w:rPr>
                <w:vertAlign w:val="subscript"/>
              </w:rPr>
              <w:t>InpMat</w:t>
            </w:r>
            <w:proofErr w:type="spellEnd"/>
            <w:r w:rsidRPr="00A05CD9">
              <w:t xml:space="preserve"> se vypočítají takto:</w:t>
            </w:r>
          </w:p>
        </w:tc>
        <w:tc>
          <w:tcPr>
            <w:tcW w:w="4876" w:type="dxa"/>
          </w:tcPr>
          <w:p w:rsidR="00F148F4" w:rsidRPr="00A05CD9" w:rsidRDefault="00F148F4" w:rsidP="0093719A">
            <w:pPr>
              <w:pStyle w:val="Normal6"/>
            </w:pPr>
            <w:r w:rsidRPr="00A05CD9">
              <w:t>jsou obsažené emise vztahující se ke vstupním materiálům (prekurzorům) spotřebovaným při výrobním procesu. Zohlednit je třeba pouze vstupní materiály (prekurzory)</w:t>
            </w:r>
            <w:r w:rsidRPr="00A05CD9">
              <w:rPr>
                <w:b/>
                <w:i/>
              </w:rPr>
              <w:t xml:space="preserve"> uvedené v příloze I, které pocházejí ze třetích zemí a území, jež nejsou vyňaty</w:t>
            </w:r>
            <w:r w:rsidRPr="00A05CD9">
              <w:t xml:space="preserve"> podle </w:t>
            </w:r>
            <w:r w:rsidRPr="00A05CD9">
              <w:rPr>
                <w:b/>
                <w:i/>
              </w:rPr>
              <w:t xml:space="preserve">přílohy III </w:t>
            </w:r>
            <w:r w:rsidR="0093719A">
              <w:rPr>
                <w:b/>
                <w:i/>
              </w:rPr>
              <w:t>bodu</w:t>
            </w:r>
            <w:r w:rsidR="0093719A" w:rsidRPr="00A05CD9">
              <w:rPr>
                <w:b/>
                <w:i/>
              </w:rPr>
              <w:t xml:space="preserve"> </w:t>
            </w:r>
            <w:r w:rsidRPr="00A05CD9">
              <w:rPr>
                <w:b/>
                <w:i/>
              </w:rPr>
              <w:t>1</w:t>
            </w:r>
            <w:r w:rsidRPr="00A05CD9">
              <w:t xml:space="preserve">. Příslušné </w:t>
            </w:r>
            <w:proofErr w:type="spellStart"/>
            <w:r w:rsidRPr="00A05CD9">
              <w:t>EE</w:t>
            </w:r>
            <w:r w:rsidRPr="00A05CD9">
              <w:rPr>
                <w:vertAlign w:val="subscript"/>
              </w:rPr>
              <w:t>InpMat</w:t>
            </w:r>
            <w:proofErr w:type="spellEnd"/>
            <w:r w:rsidRPr="00A05CD9">
              <w:t xml:space="preserve"> se vypočítají takto:</w:t>
            </w:r>
          </w:p>
        </w:tc>
      </w:tr>
    </w:tbl>
    <w:p w:rsidR="00E365E1" w:rsidRPr="00A05CD9" w:rsidRDefault="00E365E1" w:rsidP="000D774D"/>
    <w:sectPr w:rsidR="00E365E1" w:rsidRPr="00A05CD9" w:rsidSect="00A05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74D" w:rsidRPr="00A05CD9" w:rsidRDefault="000D774D">
      <w:r w:rsidRPr="00A05CD9">
        <w:separator/>
      </w:r>
    </w:p>
  </w:endnote>
  <w:endnote w:type="continuationSeparator" w:id="0">
    <w:p w:rsidR="000D774D" w:rsidRPr="00A05CD9" w:rsidRDefault="000D774D">
      <w:r w:rsidRPr="00A05C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5C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5C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5C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74D" w:rsidRPr="00A05CD9" w:rsidRDefault="000D774D">
      <w:r w:rsidRPr="00A05CD9">
        <w:separator/>
      </w:r>
    </w:p>
  </w:footnote>
  <w:footnote w:type="continuationSeparator" w:id="0">
    <w:p w:rsidR="000D774D" w:rsidRPr="00A05CD9" w:rsidRDefault="000D774D">
      <w:r w:rsidRPr="00A05CD9">
        <w:continuationSeparator/>
      </w:r>
    </w:p>
  </w:footnote>
  <w:footnote w:id="1">
    <w:p w:rsidR="00844F9D" w:rsidRPr="00B37CC7" w:rsidRDefault="00844F9D" w:rsidP="00844F9D">
      <w:pPr>
        <w:pStyle w:val="FootnoteText"/>
        <w:ind w:left="600" w:hanging="600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proofErr w:type="spellStart"/>
      <w:r w:rsidRPr="00B37CC7">
        <w:rPr>
          <w:sz w:val="24"/>
          <w:szCs w:val="24"/>
        </w:rPr>
        <w:t>Věc</w:t>
      </w:r>
      <w:proofErr w:type="spellEnd"/>
      <w:r w:rsidRPr="00B37CC7">
        <w:rPr>
          <w:sz w:val="24"/>
          <w:szCs w:val="24"/>
        </w:rPr>
        <w:t xml:space="preserve"> </w:t>
      </w:r>
      <w:proofErr w:type="spellStart"/>
      <w:r w:rsidRPr="00B37CC7">
        <w:rPr>
          <w:sz w:val="24"/>
          <w:szCs w:val="24"/>
        </w:rPr>
        <w:t>byla</w:t>
      </w:r>
      <w:proofErr w:type="spellEnd"/>
      <w:r w:rsidRPr="00B37CC7">
        <w:rPr>
          <w:sz w:val="24"/>
          <w:szCs w:val="24"/>
        </w:rPr>
        <w:t xml:space="preserve"> </w:t>
      </w:r>
      <w:proofErr w:type="spellStart"/>
      <w:r w:rsidRPr="00B37CC7">
        <w:rPr>
          <w:sz w:val="24"/>
          <w:szCs w:val="24"/>
        </w:rPr>
        <w:t>vrácena</w:t>
      </w:r>
      <w:proofErr w:type="spellEnd"/>
      <w:r w:rsidRPr="00B37CC7">
        <w:rPr>
          <w:sz w:val="24"/>
          <w:szCs w:val="24"/>
        </w:rPr>
        <w:t xml:space="preserve"> </w:t>
      </w:r>
      <w:proofErr w:type="spellStart"/>
      <w:r w:rsidRPr="00B37CC7">
        <w:rPr>
          <w:sz w:val="24"/>
          <w:szCs w:val="24"/>
        </w:rPr>
        <w:t>příslušnému</w:t>
      </w:r>
      <w:proofErr w:type="spellEnd"/>
      <w:r w:rsidRPr="00B37CC7">
        <w:rPr>
          <w:sz w:val="24"/>
          <w:szCs w:val="24"/>
        </w:rPr>
        <w:t xml:space="preserve"> </w:t>
      </w:r>
      <w:proofErr w:type="spellStart"/>
      <w:r w:rsidRPr="00B37CC7">
        <w:rPr>
          <w:sz w:val="24"/>
          <w:szCs w:val="24"/>
        </w:rPr>
        <w:t>výboru</w:t>
      </w:r>
      <w:proofErr w:type="spellEnd"/>
      <w:r w:rsidRPr="00B37CC7">
        <w:rPr>
          <w:sz w:val="24"/>
          <w:szCs w:val="24"/>
        </w:rPr>
        <w:t xml:space="preserve"> pro </w:t>
      </w:r>
      <w:proofErr w:type="spellStart"/>
      <w:r w:rsidRPr="00B37CC7">
        <w:rPr>
          <w:sz w:val="24"/>
          <w:szCs w:val="24"/>
        </w:rPr>
        <w:t>účely</w:t>
      </w:r>
      <w:proofErr w:type="spellEnd"/>
      <w:r w:rsidRPr="00B37CC7">
        <w:rPr>
          <w:sz w:val="24"/>
          <w:szCs w:val="24"/>
        </w:rPr>
        <w:t xml:space="preserve"> </w:t>
      </w:r>
      <w:proofErr w:type="spellStart"/>
      <w:r w:rsidRPr="00B37CC7">
        <w:rPr>
          <w:sz w:val="24"/>
          <w:szCs w:val="24"/>
        </w:rPr>
        <w:t>interinstitucionálních</w:t>
      </w:r>
      <w:proofErr w:type="spellEnd"/>
      <w:r w:rsidRPr="00B37CC7">
        <w:rPr>
          <w:sz w:val="24"/>
          <w:szCs w:val="24"/>
        </w:rPr>
        <w:t xml:space="preserve"> </w:t>
      </w:r>
      <w:proofErr w:type="spellStart"/>
      <w:r w:rsidRPr="00B37CC7">
        <w:rPr>
          <w:sz w:val="24"/>
          <w:szCs w:val="24"/>
        </w:rPr>
        <w:t>jednání</w:t>
      </w:r>
      <w:proofErr w:type="spellEnd"/>
      <w:r w:rsidRPr="00B37CC7">
        <w:rPr>
          <w:sz w:val="24"/>
          <w:szCs w:val="24"/>
        </w:rPr>
        <w:t xml:space="preserve"> </w:t>
      </w:r>
      <w:proofErr w:type="spellStart"/>
      <w:r w:rsidRPr="00B37CC7">
        <w:rPr>
          <w:sz w:val="24"/>
          <w:szCs w:val="24"/>
        </w:rPr>
        <w:t>podle</w:t>
      </w:r>
      <w:proofErr w:type="spellEnd"/>
      <w:r w:rsidRPr="00B37CC7">
        <w:rPr>
          <w:sz w:val="24"/>
          <w:szCs w:val="24"/>
        </w:rPr>
        <w:t xml:space="preserve"> </w:t>
      </w:r>
      <w:proofErr w:type="spellStart"/>
      <w:r w:rsidRPr="00B37CC7">
        <w:rPr>
          <w:sz w:val="24"/>
          <w:szCs w:val="24"/>
        </w:rPr>
        <w:t>čl</w:t>
      </w:r>
      <w:proofErr w:type="spellEnd"/>
      <w:r w:rsidRPr="00B37CC7">
        <w:rPr>
          <w:sz w:val="24"/>
          <w:szCs w:val="24"/>
        </w:rPr>
        <w:t xml:space="preserve">. </w:t>
      </w:r>
      <w:r w:rsidR="008B453C" w:rsidRPr="005F1393">
        <w:rPr>
          <w:sz w:val="24"/>
          <w:szCs w:val="24"/>
        </w:rPr>
        <w:t>60</w:t>
      </w:r>
      <w:r w:rsidRPr="005F1393">
        <w:rPr>
          <w:sz w:val="24"/>
          <w:szCs w:val="24"/>
        </w:rPr>
        <w:t xml:space="preserve"> </w:t>
      </w:r>
      <w:proofErr w:type="spellStart"/>
      <w:r w:rsidRPr="005F1393">
        <w:rPr>
          <w:sz w:val="24"/>
          <w:szCs w:val="24"/>
        </w:rPr>
        <w:t>odst</w:t>
      </w:r>
      <w:proofErr w:type="spellEnd"/>
      <w:r w:rsidRPr="005F1393">
        <w:rPr>
          <w:sz w:val="24"/>
          <w:szCs w:val="24"/>
        </w:rPr>
        <w:t xml:space="preserve">. 4 </w:t>
      </w:r>
      <w:proofErr w:type="spellStart"/>
      <w:r w:rsidRPr="005F1393">
        <w:rPr>
          <w:sz w:val="24"/>
          <w:szCs w:val="24"/>
        </w:rPr>
        <w:t>čtvrtého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pododstavce</w:t>
      </w:r>
      <w:proofErr w:type="spellEnd"/>
      <w:r>
        <w:rPr>
          <w:sz w:val="24"/>
          <w:szCs w:val="24"/>
        </w:rPr>
        <w:t xml:space="preserve"> (A10-0085/2025</w:t>
      </w:r>
      <w:r w:rsidRPr="00B37CC7">
        <w:rPr>
          <w:sz w:val="24"/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5C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5C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5C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CS"/>
    <w:docVar w:name="dvnumam" w:val="4"/>
    <w:docVar w:name="dvpe" w:val="773.301"/>
    <w:docVar w:name="dvrapporteur" w:val="Zpravodaj: "/>
    <w:docVar w:name="dvstar" w:val="***I"/>
    <w:docVar w:name="dvtitre" w:val="Legislativní usnesení Evropského parlamentu ze dne.... 2025 o návrhu nařízení Evropského parlamentu a Rady, kterým se mění nařízení (EU) 2023/956, pokud jde o zjednodušení a posílení mechanismu uhlíkového vyrovnání na hranicích(COM(2025)0087 – C10-0035/2025 – 2025/0039(COD))"/>
  </w:docVars>
  <w:rsids>
    <w:rsidRoot w:val="000D774D"/>
    <w:rsid w:val="00002272"/>
    <w:rsid w:val="00064002"/>
    <w:rsid w:val="000677B9"/>
    <w:rsid w:val="000831BA"/>
    <w:rsid w:val="000A42CC"/>
    <w:rsid w:val="000D156C"/>
    <w:rsid w:val="000D774D"/>
    <w:rsid w:val="000E7DD9"/>
    <w:rsid w:val="0010095E"/>
    <w:rsid w:val="0011704C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39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AC9"/>
    <w:rsid w:val="00786EC0"/>
    <w:rsid w:val="007D1690"/>
    <w:rsid w:val="007E22AD"/>
    <w:rsid w:val="00817416"/>
    <w:rsid w:val="00842779"/>
    <w:rsid w:val="00844F9D"/>
    <w:rsid w:val="00865F67"/>
    <w:rsid w:val="00881A7B"/>
    <w:rsid w:val="008840E5"/>
    <w:rsid w:val="00887B3E"/>
    <w:rsid w:val="008B453C"/>
    <w:rsid w:val="008C2AC6"/>
    <w:rsid w:val="00930C23"/>
    <w:rsid w:val="0093193B"/>
    <w:rsid w:val="0093719A"/>
    <w:rsid w:val="009509D8"/>
    <w:rsid w:val="00950B64"/>
    <w:rsid w:val="00981893"/>
    <w:rsid w:val="00A05CD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3DC"/>
    <w:rsid w:val="00F075DC"/>
    <w:rsid w:val="00F148F4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FAD7C"/>
  <w15:chartTrackingRefBased/>
  <w15:docId w15:val="{A97EED6D-C5F2-4797-A3E8-C70CE65A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148F4"/>
    <w:rPr>
      <w:b/>
    </w:rPr>
  </w:style>
  <w:style w:type="paragraph" w:customStyle="1" w:styleId="NormalHanging12a">
    <w:name w:val="NormalHanging12a"/>
    <w:basedOn w:val="Normal"/>
    <w:link w:val="NormalHanging12aChar"/>
    <w:rsid w:val="00F148F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148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148F4"/>
    <w:pPr>
      <w:spacing w:before="240"/>
    </w:pPr>
    <w:rPr>
      <w:b/>
    </w:rPr>
  </w:style>
  <w:style w:type="paragraph" w:customStyle="1" w:styleId="EPComma">
    <w:name w:val="EPComma"/>
    <w:basedOn w:val="Normal"/>
    <w:rsid w:val="00F148F4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F148F4"/>
    <w:rPr>
      <w:b/>
      <w:sz w:val="24"/>
      <w:lang w:val="cs-CZ"/>
    </w:rPr>
  </w:style>
  <w:style w:type="paragraph" w:customStyle="1" w:styleId="Normal6">
    <w:name w:val="Normal6"/>
    <w:basedOn w:val="Normal"/>
    <w:link w:val="Normal6Char"/>
    <w:rsid w:val="00F148F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F148F4"/>
    <w:rPr>
      <w:sz w:val="24"/>
      <w:lang w:val="cs-CZ"/>
    </w:rPr>
  </w:style>
  <w:style w:type="paragraph" w:customStyle="1" w:styleId="ColumnHeading">
    <w:name w:val="ColumnHeading"/>
    <w:basedOn w:val="Normal"/>
    <w:rsid w:val="00F148F4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F148F4"/>
    <w:rPr>
      <w:b/>
      <w:sz w:val="24"/>
      <w:lang w:val="cs-CZ"/>
    </w:rPr>
  </w:style>
  <w:style w:type="character" w:customStyle="1" w:styleId="oj-sub">
    <w:name w:val="oj-sub"/>
    <w:rsid w:val="00F148F4"/>
  </w:style>
  <w:style w:type="character" w:customStyle="1" w:styleId="NormalHanging12aChar">
    <w:name w:val="NormalHanging12a Char"/>
    <w:basedOn w:val="DefaultParagraphFont"/>
    <w:link w:val="NormalHanging12a"/>
    <w:locked/>
    <w:rsid w:val="00F148F4"/>
    <w:rPr>
      <w:sz w:val="24"/>
      <w:lang w:val="cs-CZ"/>
    </w:rPr>
  </w:style>
  <w:style w:type="paragraph" w:styleId="BalloonText">
    <w:name w:val="Balloon Text"/>
    <w:basedOn w:val="Normal"/>
    <w:link w:val="BalloonTextChar"/>
    <w:rsid w:val="009371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3719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BDBEC-1AFB-4610-BDD0-A19AB84AB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2025-05-22T11:43:00Z</dcterms:created>
  <dcterms:modified xsi:type="dcterms:W3CDTF">2025-05-22T11:43:00Z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