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D3A34" w14:paraId="07BFCCB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AAD36CF" w14:textId="77777777" w:rsidR="00751A4A" w:rsidRPr="006D3A34" w:rsidRDefault="00A63FD4" w:rsidP="0010095E">
            <w:pPr>
              <w:pStyle w:val="EPName"/>
            </w:pPr>
            <w:r w:rsidRPr="006D3A34">
              <w:t>Europa-Parlamentet</w:t>
            </w:r>
          </w:p>
          <w:p w14:paraId="021C5B79" w14:textId="77777777" w:rsidR="00751A4A" w:rsidRPr="006D3A3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D3A34">
              <w:t>2024</w:t>
            </w:r>
            <w:r w:rsidR="00817416" w:rsidRPr="006D3A34">
              <w:t>-202</w:t>
            </w:r>
            <w:r w:rsidRPr="006D3A34">
              <w:t>9</w:t>
            </w:r>
          </w:p>
        </w:tc>
        <w:tc>
          <w:tcPr>
            <w:tcW w:w="2268" w:type="dxa"/>
            <w:shd w:val="clear" w:color="auto" w:fill="auto"/>
          </w:tcPr>
          <w:p w14:paraId="14EDF43F" w14:textId="77777777" w:rsidR="00751A4A" w:rsidRPr="006D3A34" w:rsidRDefault="00187494" w:rsidP="0010095E">
            <w:pPr>
              <w:pStyle w:val="EPLogo"/>
            </w:pPr>
            <w:r w:rsidRPr="006D3A34">
              <w:rPr>
                <w:noProof/>
                <w:lang w:eastAsia="da-DK"/>
              </w:rPr>
              <w:drawing>
                <wp:inline distT="0" distB="0" distL="0" distR="0" wp14:anchorId="1EC0D23F" wp14:editId="664E85A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1D38F5" w14:textId="77777777" w:rsidR="00D058B8" w:rsidRPr="006D3A34" w:rsidRDefault="00D058B8" w:rsidP="004C5D52">
      <w:pPr>
        <w:pStyle w:val="LineTop"/>
      </w:pPr>
    </w:p>
    <w:p w14:paraId="501EFCD9" w14:textId="77777777" w:rsidR="00680577" w:rsidRPr="006D3A34" w:rsidRDefault="00A63FD4" w:rsidP="00680577">
      <w:pPr>
        <w:pStyle w:val="EPBodyTA1"/>
      </w:pPr>
      <w:r w:rsidRPr="006D3A34">
        <w:t>VEDTAGNE TEKSTER</w:t>
      </w:r>
    </w:p>
    <w:p w14:paraId="4FD6F59C" w14:textId="77777777" w:rsidR="00D058B8" w:rsidRPr="006D3A34" w:rsidRDefault="00D058B8" w:rsidP="00D058B8">
      <w:pPr>
        <w:pStyle w:val="LineBottom"/>
      </w:pPr>
    </w:p>
    <w:p w14:paraId="04994747" w14:textId="2873F7A2" w:rsidR="00A63FD4" w:rsidRPr="006D3A34" w:rsidRDefault="00A63FD4" w:rsidP="00A63FD4">
      <w:pPr>
        <w:pStyle w:val="ATHeading1"/>
      </w:pPr>
      <w:bookmarkStart w:id="0" w:name="TANumber"/>
      <w:r w:rsidRPr="006D3A34">
        <w:t>P10_</w:t>
      </w:r>
      <w:proofErr w:type="gramStart"/>
      <w:r w:rsidRPr="006D3A34">
        <w:t>TA(</w:t>
      </w:r>
      <w:proofErr w:type="gramEnd"/>
      <w:r w:rsidRPr="006D3A34">
        <w:t>2025)0</w:t>
      </w:r>
      <w:bookmarkEnd w:id="0"/>
      <w:r w:rsidR="00402AE8">
        <w:t>108</w:t>
      </w:r>
    </w:p>
    <w:p w14:paraId="07502DF6" w14:textId="2B428201" w:rsidR="00A63FD4" w:rsidRPr="006D3A34" w:rsidRDefault="00EC0EA6" w:rsidP="00A63FD4">
      <w:pPr>
        <w:pStyle w:val="ATHeading2"/>
      </w:pPr>
      <w:r>
        <w:t>Æ</w:t>
      </w:r>
      <w:r w:rsidRPr="006D3A34">
        <w:t>ndring af forordning (EU) 2023/956 for så vidt angår forenkling og styrkelse af kulstofgrænsetilpasningsmekanismen</w:t>
      </w:r>
    </w:p>
    <w:p w14:paraId="29FFEE91" w14:textId="77777777" w:rsidR="00A63FD4" w:rsidRPr="006D3A34" w:rsidRDefault="00A63FD4" w:rsidP="00A63FD4">
      <w:pPr>
        <w:rPr>
          <w:i/>
          <w:vanish/>
        </w:rPr>
      </w:pPr>
      <w:r w:rsidRPr="006D3A34">
        <w:rPr>
          <w:i/>
        </w:rPr>
        <w:fldChar w:fldCharType="begin"/>
      </w:r>
      <w:r w:rsidRPr="006D3A34">
        <w:rPr>
          <w:i/>
        </w:rPr>
        <w:instrText xml:space="preserve"> TC"(</w:instrText>
      </w:r>
      <w:bookmarkStart w:id="1" w:name="DocNumber"/>
      <w:r w:rsidRPr="006D3A34">
        <w:rPr>
          <w:i/>
        </w:rPr>
        <w:instrText>A10-0085/2025</w:instrText>
      </w:r>
      <w:bookmarkEnd w:id="1"/>
      <w:r w:rsidRPr="006D3A34">
        <w:rPr>
          <w:i/>
        </w:rPr>
        <w:instrText xml:space="preserve"> - Ordfører: Antonio </w:instrText>
      </w:r>
      <w:proofErr w:type="spellStart"/>
      <w:r w:rsidRPr="006D3A34">
        <w:rPr>
          <w:i/>
        </w:rPr>
        <w:instrText>Decaro</w:instrText>
      </w:r>
      <w:proofErr w:type="spellEnd"/>
      <w:r w:rsidRPr="006D3A34">
        <w:rPr>
          <w:i/>
        </w:rPr>
        <w:instrText xml:space="preserve">)"\l3 \n&gt; \* MERGEFORMAT </w:instrText>
      </w:r>
      <w:r w:rsidRPr="006D3A34">
        <w:rPr>
          <w:i/>
        </w:rPr>
        <w:fldChar w:fldCharType="end"/>
      </w:r>
    </w:p>
    <w:p w14:paraId="5A6FECFE" w14:textId="77777777" w:rsidR="00A63FD4" w:rsidRPr="006D3A34" w:rsidRDefault="00A63FD4" w:rsidP="00A63FD4">
      <w:pPr>
        <w:rPr>
          <w:vanish/>
        </w:rPr>
      </w:pPr>
      <w:bookmarkStart w:id="2" w:name="Commission"/>
      <w:r w:rsidRPr="006D3A34">
        <w:rPr>
          <w:vanish/>
        </w:rPr>
        <w:t>Udvalget om Miljø, Klima og Fødevaresikkerhed</w:t>
      </w:r>
      <w:bookmarkEnd w:id="2"/>
    </w:p>
    <w:p w14:paraId="12E3AE95" w14:textId="77777777" w:rsidR="00A63FD4" w:rsidRPr="006D3A34" w:rsidRDefault="00A63FD4" w:rsidP="00A63FD4">
      <w:pPr>
        <w:rPr>
          <w:vanish/>
        </w:rPr>
      </w:pPr>
      <w:bookmarkStart w:id="3" w:name="PE"/>
      <w:r w:rsidRPr="006D3A34">
        <w:rPr>
          <w:vanish/>
        </w:rPr>
        <w:t>PE773.301</w:t>
      </w:r>
      <w:bookmarkEnd w:id="3"/>
    </w:p>
    <w:p w14:paraId="43AD4998" w14:textId="6796FD55" w:rsidR="00A63FD4" w:rsidRPr="006D3A34" w:rsidRDefault="00402AE8" w:rsidP="00A63FD4">
      <w:pPr>
        <w:pStyle w:val="ATHeading3"/>
      </w:pPr>
      <w:bookmarkStart w:id="4" w:name="Sujet"/>
      <w:r w:rsidRPr="00CF1440">
        <w:t xml:space="preserve">Ændringer vedtaget af </w:t>
      </w:r>
      <w:r w:rsidR="00A63FD4" w:rsidRPr="006D3A34">
        <w:t>Europa-Parlamentet</w:t>
      </w:r>
      <w:r>
        <w:t xml:space="preserve"> den</w:t>
      </w:r>
      <w:r w:rsidR="00A63FD4" w:rsidRPr="006D3A34">
        <w:t xml:space="preserve"> </w:t>
      </w:r>
      <w:bookmarkStart w:id="5" w:name="_GoBack"/>
      <w:bookmarkEnd w:id="5"/>
      <w:r w:rsidR="00A87D3A">
        <w:t>22.</w:t>
      </w:r>
      <w:r w:rsidR="00EC0EA6">
        <w:t xml:space="preserve"> </w:t>
      </w:r>
      <w:r w:rsidR="00A87D3A">
        <w:t>maj</w:t>
      </w:r>
      <w:r w:rsidR="00A63FD4" w:rsidRPr="006D3A34">
        <w:t xml:space="preserve"> 2025 om forslag til Europa-Parlamentets og Rådets forordning om ændring af forordning (EU) 2023/956 for så vidt angår forenkling og styrkelse af kulstofgrænsetilpasningsmekanismen</w:t>
      </w:r>
      <w:bookmarkEnd w:id="4"/>
      <w:r w:rsidR="00A63FD4" w:rsidRPr="006D3A34">
        <w:t xml:space="preserve"> </w:t>
      </w:r>
      <w:bookmarkStart w:id="6" w:name="References"/>
      <w:r w:rsidR="00A63FD4" w:rsidRPr="006D3A34">
        <w:t>(COM(2025)0087 – C10-0035/2025 – 2025/0039(COD))</w:t>
      </w:r>
      <w:bookmarkEnd w:id="6"/>
      <w:r w:rsidRPr="00CF1440">
        <w:rPr>
          <w:rStyle w:val="FootnoteReference"/>
        </w:rPr>
        <w:footnoteReference w:id="1"/>
      </w:r>
    </w:p>
    <w:p w14:paraId="69ED2049" w14:textId="77777777" w:rsidR="0024791B" w:rsidRPr="006D3A34" w:rsidRDefault="0024791B" w:rsidP="0024791B">
      <w:pPr>
        <w:pStyle w:val="NormalBold"/>
      </w:pPr>
      <w:r w:rsidRPr="006D3A34">
        <w:t>(Almindelig lovgivningsprocedure: førstebehandling)</w:t>
      </w:r>
    </w:p>
    <w:p w14:paraId="77E76CDD" w14:textId="77777777" w:rsidR="0024791B" w:rsidRPr="006D3A34" w:rsidRDefault="0024791B" w:rsidP="0024791B"/>
    <w:p w14:paraId="04485732" w14:textId="48EC06B3" w:rsidR="0069202A" w:rsidRPr="006D3A34" w:rsidRDefault="00995DED" w:rsidP="0069202A">
      <w:pPr>
        <w:pStyle w:val="AmNumberTabs"/>
      </w:pPr>
      <w:r>
        <w:t>Ændring</w:t>
      </w:r>
      <w:r w:rsidR="0069202A" w:rsidRPr="006D3A34">
        <w:tab/>
      </w:r>
      <w:r w:rsidR="0069202A" w:rsidRPr="006D3A34">
        <w:tab/>
      </w:r>
      <w:r w:rsidR="0069202A">
        <w:t>1</w:t>
      </w:r>
    </w:p>
    <w:p w14:paraId="6645C4D8" w14:textId="77777777" w:rsidR="0024791B" w:rsidRPr="006D3A34" w:rsidRDefault="0024791B" w:rsidP="0024791B">
      <w:pPr>
        <w:pStyle w:val="NormalBold12b"/>
      </w:pPr>
      <w:r w:rsidRPr="006D3A34">
        <w:t>Forslag til forordning</w:t>
      </w:r>
    </w:p>
    <w:p w14:paraId="1D9D8EB4" w14:textId="77777777" w:rsidR="0024791B" w:rsidRPr="006D3A34" w:rsidRDefault="0024791B" w:rsidP="0024791B">
      <w:pPr>
        <w:pStyle w:val="NormalBold"/>
      </w:pPr>
      <w:r w:rsidRPr="006D3A34">
        <w:t>Betragtning 25 a (ny)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4791B" w:rsidRPr="006D3A34" w14:paraId="6195C5B7" w14:textId="77777777" w:rsidTr="00485DCA">
        <w:trPr>
          <w:jc w:val="center"/>
        </w:trPr>
        <w:tc>
          <w:tcPr>
            <w:tcW w:w="9752" w:type="dxa"/>
            <w:gridSpan w:val="2"/>
          </w:tcPr>
          <w:p w14:paraId="40784903" w14:textId="77777777" w:rsidR="0024791B" w:rsidRPr="006D3A34" w:rsidRDefault="0024791B" w:rsidP="00485DCA">
            <w:pPr>
              <w:keepNext/>
            </w:pPr>
          </w:p>
        </w:tc>
      </w:tr>
      <w:tr w:rsidR="0024791B" w:rsidRPr="006D3A34" w14:paraId="5FAF3432" w14:textId="77777777" w:rsidTr="00485DCA">
        <w:trPr>
          <w:jc w:val="center"/>
        </w:trPr>
        <w:tc>
          <w:tcPr>
            <w:tcW w:w="4876" w:type="dxa"/>
          </w:tcPr>
          <w:p w14:paraId="49CEDE36" w14:textId="77777777" w:rsidR="0024791B" w:rsidRPr="006D3A34" w:rsidRDefault="0024791B" w:rsidP="00485DCA">
            <w:pPr>
              <w:pStyle w:val="ColumnHeading"/>
              <w:keepNext/>
            </w:pPr>
            <w:r w:rsidRPr="006D3A34">
              <w:t>Kommissionens forslag</w:t>
            </w:r>
          </w:p>
        </w:tc>
        <w:tc>
          <w:tcPr>
            <w:tcW w:w="4876" w:type="dxa"/>
          </w:tcPr>
          <w:p w14:paraId="202FAA91" w14:textId="59CF91F2" w:rsidR="0024791B" w:rsidRPr="006D3A34" w:rsidRDefault="00995DED" w:rsidP="00485DCA">
            <w:pPr>
              <w:pStyle w:val="ColumnHeading"/>
              <w:keepNext/>
            </w:pPr>
            <w:r>
              <w:t>Ændring</w:t>
            </w:r>
          </w:p>
        </w:tc>
      </w:tr>
      <w:tr w:rsidR="0024791B" w:rsidRPr="006D3A34" w14:paraId="48758F50" w14:textId="77777777" w:rsidTr="00485DCA">
        <w:trPr>
          <w:jc w:val="center"/>
        </w:trPr>
        <w:tc>
          <w:tcPr>
            <w:tcW w:w="4876" w:type="dxa"/>
          </w:tcPr>
          <w:p w14:paraId="5F7252DB" w14:textId="77777777" w:rsidR="0024791B" w:rsidRPr="006D3A34" w:rsidRDefault="0024791B" w:rsidP="00485DCA">
            <w:pPr>
              <w:pStyle w:val="Normal6"/>
            </w:pPr>
          </w:p>
        </w:tc>
        <w:tc>
          <w:tcPr>
            <w:tcW w:w="4876" w:type="dxa"/>
          </w:tcPr>
          <w:p w14:paraId="3FE17C97" w14:textId="77777777" w:rsidR="0024791B" w:rsidRPr="006D3A34" w:rsidRDefault="0024791B" w:rsidP="00485DCA">
            <w:pPr>
              <w:pStyle w:val="Normal6"/>
              <w:rPr>
                <w:szCs w:val="24"/>
              </w:rPr>
            </w:pPr>
            <w:r w:rsidRPr="006D3A34">
              <w:rPr>
                <w:b/>
                <w:i/>
              </w:rPr>
              <w:t>(25a)</w:t>
            </w:r>
            <w:r w:rsidRPr="006D3A34">
              <w:rPr>
                <w:b/>
                <w:i/>
              </w:rPr>
              <w:tab/>
              <w:t>CBAM finder anvendelse på import af elektricitet, men bør ikke finde anvendelse på elektricitet, der produceres udelukkende i en EØS-medlemsstats eksklusive økonomiske zone og importeres direkte til Unionens toldområde.</w:t>
            </w:r>
          </w:p>
        </w:tc>
      </w:tr>
    </w:tbl>
    <w:p w14:paraId="6107BD76" w14:textId="77777777" w:rsidR="0024791B" w:rsidRPr="006D3A34" w:rsidRDefault="0024791B" w:rsidP="0024791B"/>
    <w:p w14:paraId="00FC4A10" w14:textId="39A82504" w:rsidR="0024791B" w:rsidRPr="006D3A34" w:rsidRDefault="00995DED" w:rsidP="0024791B">
      <w:pPr>
        <w:pStyle w:val="AmNumberTabs"/>
      </w:pPr>
      <w:r>
        <w:t>Ændring</w:t>
      </w:r>
      <w:r w:rsidR="0024791B" w:rsidRPr="006D3A34">
        <w:tab/>
      </w:r>
      <w:r w:rsidR="0024791B" w:rsidRPr="006D3A34">
        <w:tab/>
        <w:t>2</w:t>
      </w:r>
    </w:p>
    <w:p w14:paraId="69B1F465" w14:textId="77777777" w:rsidR="0024791B" w:rsidRPr="006D3A34" w:rsidRDefault="0024791B" w:rsidP="0024791B">
      <w:pPr>
        <w:pStyle w:val="NormalBold12b"/>
      </w:pPr>
      <w:r w:rsidRPr="006D3A34">
        <w:t>Forslag til forordning</w:t>
      </w:r>
    </w:p>
    <w:p w14:paraId="6AF9A374" w14:textId="77777777" w:rsidR="0024791B" w:rsidRPr="006D3A34" w:rsidRDefault="0024791B" w:rsidP="0024791B">
      <w:pPr>
        <w:pStyle w:val="NormalBold"/>
      </w:pPr>
      <w:r w:rsidRPr="006D3A34">
        <w:t>Artikel 1 – stk. 1 – nr. 1 – litra b a (nyt)</w:t>
      </w:r>
    </w:p>
    <w:p w14:paraId="06007981" w14:textId="77777777" w:rsidR="0024791B" w:rsidRPr="006D3A34" w:rsidRDefault="0024791B" w:rsidP="0024791B">
      <w:pPr>
        <w:keepNext/>
      </w:pPr>
      <w:r w:rsidRPr="006D3A34">
        <w:t>Forordning (EU) 2023/956</w:t>
      </w:r>
    </w:p>
    <w:p w14:paraId="5B41EDC1" w14:textId="77777777" w:rsidR="0024791B" w:rsidRPr="006D3A34" w:rsidRDefault="0024791B" w:rsidP="0024791B">
      <w:r w:rsidRPr="006D3A34">
        <w:t>Artikel 2 – stk. 3 b (nyt)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4791B" w:rsidRPr="006D3A34" w14:paraId="5260A7EC" w14:textId="77777777" w:rsidTr="00485DCA">
        <w:trPr>
          <w:jc w:val="center"/>
        </w:trPr>
        <w:tc>
          <w:tcPr>
            <w:tcW w:w="9752" w:type="dxa"/>
            <w:gridSpan w:val="2"/>
          </w:tcPr>
          <w:p w14:paraId="0B4ADF2E" w14:textId="77777777" w:rsidR="0024791B" w:rsidRPr="006D3A34" w:rsidRDefault="0024791B" w:rsidP="00485DCA">
            <w:pPr>
              <w:keepNext/>
            </w:pPr>
          </w:p>
        </w:tc>
      </w:tr>
      <w:tr w:rsidR="0024791B" w:rsidRPr="006D3A34" w14:paraId="448B0602" w14:textId="77777777" w:rsidTr="00485DCA">
        <w:trPr>
          <w:jc w:val="center"/>
        </w:trPr>
        <w:tc>
          <w:tcPr>
            <w:tcW w:w="4876" w:type="dxa"/>
          </w:tcPr>
          <w:p w14:paraId="6116FC1F" w14:textId="77777777" w:rsidR="0024791B" w:rsidRPr="006D3A34" w:rsidRDefault="0024791B" w:rsidP="00485DCA">
            <w:pPr>
              <w:pStyle w:val="ColumnHeading"/>
              <w:keepNext/>
            </w:pPr>
            <w:r w:rsidRPr="006D3A34">
              <w:t>Kommissionens forslag</w:t>
            </w:r>
          </w:p>
        </w:tc>
        <w:tc>
          <w:tcPr>
            <w:tcW w:w="4876" w:type="dxa"/>
          </w:tcPr>
          <w:p w14:paraId="49D326F9" w14:textId="6FF5D357" w:rsidR="0024791B" w:rsidRPr="006D3A34" w:rsidRDefault="00995DED" w:rsidP="00485DCA">
            <w:pPr>
              <w:pStyle w:val="ColumnHeading"/>
              <w:keepNext/>
            </w:pPr>
            <w:r>
              <w:t>Ændring</w:t>
            </w:r>
          </w:p>
        </w:tc>
      </w:tr>
      <w:tr w:rsidR="0024791B" w:rsidRPr="006D3A34" w14:paraId="5110CA31" w14:textId="77777777" w:rsidTr="00485DCA">
        <w:trPr>
          <w:jc w:val="center"/>
        </w:trPr>
        <w:tc>
          <w:tcPr>
            <w:tcW w:w="4876" w:type="dxa"/>
          </w:tcPr>
          <w:p w14:paraId="2472559E" w14:textId="77777777" w:rsidR="0024791B" w:rsidRPr="006D3A34" w:rsidRDefault="0024791B" w:rsidP="00485DCA">
            <w:pPr>
              <w:pStyle w:val="Normal6"/>
            </w:pPr>
          </w:p>
        </w:tc>
        <w:tc>
          <w:tcPr>
            <w:tcW w:w="4876" w:type="dxa"/>
          </w:tcPr>
          <w:p w14:paraId="514B4E89" w14:textId="77777777" w:rsidR="0024791B" w:rsidRPr="006D3A34" w:rsidRDefault="0024791B" w:rsidP="00485DCA">
            <w:pPr>
              <w:pStyle w:val="Normal6"/>
              <w:rPr>
                <w:szCs w:val="24"/>
              </w:rPr>
            </w:pPr>
            <w:proofErr w:type="spellStart"/>
            <w:r w:rsidRPr="006D3A34">
              <w:rPr>
                <w:b/>
                <w:i/>
              </w:rPr>
              <w:t>ba</w:t>
            </w:r>
            <w:proofErr w:type="spellEnd"/>
            <w:r w:rsidRPr="006D3A34">
              <w:rPr>
                <w:b/>
                <w:i/>
              </w:rPr>
              <w:t>)</w:t>
            </w:r>
            <w:r w:rsidRPr="006D3A34">
              <w:rPr>
                <w:b/>
                <w:i/>
              </w:rPr>
              <w:tab/>
              <w:t>Som stk. 3b indsættes:</w:t>
            </w:r>
          </w:p>
        </w:tc>
      </w:tr>
      <w:tr w:rsidR="0024791B" w:rsidRPr="006D3A34" w14:paraId="527463EF" w14:textId="77777777" w:rsidTr="00485DCA">
        <w:trPr>
          <w:jc w:val="center"/>
        </w:trPr>
        <w:tc>
          <w:tcPr>
            <w:tcW w:w="4876" w:type="dxa"/>
          </w:tcPr>
          <w:p w14:paraId="0C298D46" w14:textId="77777777" w:rsidR="0024791B" w:rsidRPr="006D3A34" w:rsidRDefault="0024791B" w:rsidP="00485DCA">
            <w:pPr>
              <w:pStyle w:val="Normal6"/>
            </w:pPr>
          </w:p>
        </w:tc>
        <w:tc>
          <w:tcPr>
            <w:tcW w:w="4876" w:type="dxa"/>
          </w:tcPr>
          <w:p w14:paraId="311D773E" w14:textId="77777777" w:rsidR="0024791B" w:rsidRPr="006D3A34" w:rsidRDefault="0024791B" w:rsidP="00485DCA">
            <w:pPr>
              <w:pStyle w:val="Normal6"/>
              <w:rPr>
                <w:szCs w:val="24"/>
              </w:rPr>
            </w:pPr>
            <w:r w:rsidRPr="006D3A34">
              <w:rPr>
                <w:b/>
                <w:i/>
              </w:rPr>
              <w:t>3b.</w:t>
            </w:r>
            <w:r w:rsidRPr="006D3A34">
              <w:tab/>
            </w:r>
            <w:r w:rsidRPr="006D3A34">
              <w:rPr>
                <w:b/>
                <w:i/>
              </w:rPr>
              <w:t>Uanset stk. 1 og 2 finder denne forordning ikke anvendelse på elektricitet, der produceres udelukkende i en EØS-medlemsstats eksklusive økonomiske zone og importeres direkte til Unionens toldområde.</w:t>
            </w:r>
          </w:p>
        </w:tc>
      </w:tr>
    </w:tbl>
    <w:p w14:paraId="562A9C91" w14:textId="77777777" w:rsidR="0024791B" w:rsidRPr="006D3A34" w:rsidRDefault="0024791B" w:rsidP="0024791B"/>
    <w:p w14:paraId="3BC55139" w14:textId="20A19665" w:rsidR="0024791B" w:rsidRPr="006D3A34" w:rsidRDefault="00995DED" w:rsidP="0024791B">
      <w:pPr>
        <w:pStyle w:val="AmNumberTabs"/>
      </w:pPr>
      <w:r>
        <w:t>Ændring</w:t>
      </w:r>
      <w:r w:rsidR="0024791B" w:rsidRPr="006D3A34">
        <w:tab/>
      </w:r>
      <w:r w:rsidR="0024791B" w:rsidRPr="006D3A34">
        <w:tab/>
        <w:t>3</w:t>
      </w:r>
    </w:p>
    <w:p w14:paraId="1BC9DCCA" w14:textId="77777777" w:rsidR="0024791B" w:rsidRPr="006D3A34" w:rsidRDefault="0024791B" w:rsidP="0024791B">
      <w:pPr>
        <w:pStyle w:val="NormalBold12b"/>
      </w:pPr>
      <w:r w:rsidRPr="006D3A34">
        <w:t>Forslag til forordning</w:t>
      </w:r>
    </w:p>
    <w:p w14:paraId="2A27E622" w14:textId="77777777" w:rsidR="0024791B" w:rsidRPr="006D3A34" w:rsidRDefault="0024791B" w:rsidP="0024791B">
      <w:pPr>
        <w:pStyle w:val="NormalBold"/>
      </w:pPr>
      <w:r w:rsidRPr="006D3A34">
        <w:t>Bilag I – punkt 1 – nr. 1 a (nyt)</w:t>
      </w:r>
    </w:p>
    <w:p w14:paraId="57B47B65" w14:textId="77777777" w:rsidR="0024791B" w:rsidRPr="006D3A34" w:rsidRDefault="0024791B" w:rsidP="0024791B">
      <w:pPr>
        <w:keepNext/>
      </w:pPr>
      <w:r w:rsidRPr="006D3A34">
        <w:t>Forordning (EU) 2023/956</w:t>
      </w:r>
    </w:p>
    <w:p w14:paraId="41EEB1C0" w14:textId="77777777" w:rsidR="0024791B" w:rsidRPr="006D3A34" w:rsidRDefault="0024791B" w:rsidP="0024791B">
      <w:r w:rsidRPr="006D3A34">
        <w:t xml:space="preserve">Bilag IV – punkt 3 – stk. 1 – afsnit 5 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4791B" w:rsidRPr="006D3A34" w14:paraId="3228F795" w14:textId="77777777" w:rsidTr="00485DCA">
        <w:trPr>
          <w:jc w:val="center"/>
        </w:trPr>
        <w:tc>
          <w:tcPr>
            <w:tcW w:w="9752" w:type="dxa"/>
            <w:gridSpan w:val="2"/>
          </w:tcPr>
          <w:p w14:paraId="7D25E757" w14:textId="77777777" w:rsidR="0024791B" w:rsidRPr="006D3A34" w:rsidRDefault="0024791B" w:rsidP="00485DCA">
            <w:pPr>
              <w:keepNext/>
            </w:pPr>
          </w:p>
        </w:tc>
      </w:tr>
      <w:tr w:rsidR="0024791B" w:rsidRPr="006D3A34" w14:paraId="44E05325" w14:textId="77777777" w:rsidTr="00485DCA">
        <w:trPr>
          <w:jc w:val="center"/>
        </w:trPr>
        <w:tc>
          <w:tcPr>
            <w:tcW w:w="4876" w:type="dxa"/>
          </w:tcPr>
          <w:p w14:paraId="68AED615" w14:textId="77777777" w:rsidR="0024791B" w:rsidRPr="006D3A34" w:rsidRDefault="0024791B" w:rsidP="00485DCA">
            <w:pPr>
              <w:pStyle w:val="ColumnHeading"/>
              <w:keepNext/>
            </w:pPr>
            <w:r w:rsidRPr="006D3A34">
              <w:t>Gældende ordlyd</w:t>
            </w:r>
          </w:p>
        </w:tc>
        <w:tc>
          <w:tcPr>
            <w:tcW w:w="4876" w:type="dxa"/>
          </w:tcPr>
          <w:p w14:paraId="1657E45C" w14:textId="6BEC97A4" w:rsidR="0024791B" w:rsidRPr="006D3A34" w:rsidRDefault="00995DED" w:rsidP="00485DCA">
            <w:pPr>
              <w:pStyle w:val="ColumnHeading"/>
              <w:keepNext/>
            </w:pPr>
            <w:r>
              <w:t>Ændring</w:t>
            </w:r>
          </w:p>
        </w:tc>
      </w:tr>
      <w:tr w:rsidR="0024791B" w:rsidRPr="006D3A34" w14:paraId="4645E640" w14:textId="77777777" w:rsidTr="00485DCA">
        <w:trPr>
          <w:jc w:val="center"/>
        </w:trPr>
        <w:tc>
          <w:tcPr>
            <w:tcW w:w="4876" w:type="dxa"/>
          </w:tcPr>
          <w:p w14:paraId="6CE29558" w14:textId="77777777" w:rsidR="0024791B" w:rsidRPr="006D3A34" w:rsidRDefault="0024791B" w:rsidP="00485DCA">
            <w:pPr>
              <w:pStyle w:val="Normal6"/>
            </w:pPr>
          </w:p>
        </w:tc>
        <w:tc>
          <w:tcPr>
            <w:tcW w:w="4876" w:type="dxa"/>
          </w:tcPr>
          <w:p w14:paraId="4B88482E" w14:textId="4101915F" w:rsidR="0024791B" w:rsidRPr="006D3A34" w:rsidRDefault="0024791B" w:rsidP="00DF6CBD">
            <w:pPr>
              <w:pStyle w:val="EPComma"/>
              <w:spacing w:before="0" w:after="120"/>
              <w:rPr>
                <w:szCs w:val="24"/>
              </w:rPr>
            </w:pPr>
            <w:r w:rsidRPr="006D3A34">
              <w:rPr>
                <w:b/>
                <w:i/>
              </w:rPr>
              <w:t>1a)</w:t>
            </w:r>
            <w:r w:rsidRPr="006D3A34">
              <w:rPr>
                <w:b/>
                <w:i/>
              </w:rPr>
              <w:tab/>
              <w:t xml:space="preserve">I den note i punkt 3, hvori formularen for </w:t>
            </w:r>
            <w:proofErr w:type="spellStart"/>
            <w:r w:rsidRPr="006D3A34">
              <w:rPr>
                <w:b/>
                <w:i/>
              </w:rPr>
              <w:t>SEEg</w:t>
            </w:r>
            <w:proofErr w:type="spellEnd"/>
            <w:r w:rsidRPr="006D3A34">
              <w:rPr>
                <w:b/>
                <w:i/>
              </w:rPr>
              <w:t xml:space="preserve"> i første afsnit er blevet forklaret, affattes noten for </w:t>
            </w:r>
            <w:proofErr w:type="spellStart"/>
            <w:r w:rsidR="00A87D3A" w:rsidRPr="00DF6CBD">
              <w:rPr>
                <w:b/>
                <w:i/>
              </w:rPr>
              <w:t>EEInpMat</w:t>
            </w:r>
            <w:proofErr w:type="spellEnd"/>
            <w:r w:rsidRPr="006D3A34">
              <w:rPr>
                <w:b/>
                <w:i/>
              </w:rPr>
              <w:t xml:space="preserve"> således:</w:t>
            </w:r>
          </w:p>
        </w:tc>
      </w:tr>
      <w:tr w:rsidR="0024791B" w:rsidRPr="006D3A34" w14:paraId="66AEA38B" w14:textId="77777777" w:rsidTr="00485DCA">
        <w:trPr>
          <w:jc w:val="center"/>
        </w:trPr>
        <w:tc>
          <w:tcPr>
            <w:tcW w:w="4876" w:type="dxa"/>
          </w:tcPr>
          <w:p w14:paraId="029F016A" w14:textId="77777777" w:rsidR="0024791B" w:rsidRPr="006D3A34" w:rsidRDefault="0024791B" w:rsidP="00485DCA">
            <w:pPr>
              <w:pStyle w:val="Normal6"/>
            </w:pPr>
            <w:proofErr w:type="spellStart"/>
            <w:r w:rsidRPr="006D3A34">
              <w:rPr>
                <w:sz w:val="27"/>
                <w:shd w:val="clear" w:color="auto" w:fill="FFFFFF"/>
              </w:rPr>
              <w:t>EE</w:t>
            </w:r>
            <w:r w:rsidRPr="006D3A34">
              <w:rPr>
                <w:rStyle w:val="oj-sub"/>
                <w:sz w:val="17"/>
                <w:shd w:val="clear" w:color="auto" w:fill="FFFFFF"/>
                <w:vertAlign w:val="subscript"/>
              </w:rPr>
              <w:t>InpMat</w:t>
            </w:r>
            <w:proofErr w:type="spellEnd"/>
          </w:p>
        </w:tc>
        <w:tc>
          <w:tcPr>
            <w:tcW w:w="4876" w:type="dxa"/>
          </w:tcPr>
          <w:p w14:paraId="29060305" w14:textId="77777777" w:rsidR="0024791B" w:rsidRPr="006D3A34" w:rsidRDefault="0024791B" w:rsidP="00485DCA">
            <w:pPr>
              <w:pStyle w:val="Normal6"/>
              <w:rPr>
                <w:szCs w:val="24"/>
              </w:rPr>
            </w:pPr>
            <w:proofErr w:type="spellStart"/>
            <w:r w:rsidRPr="006D3A34">
              <w:rPr>
                <w:sz w:val="27"/>
                <w:shd w:val="clear" w:color="auto" w:fill="FFFFFF"/>
              </w:rPr>
              <w:t>EE</w:t>
            </w:r>
            <w:r w:rsidRPr="006D3A34">
              <w:rPr>
                <w:rStyle w:val="oj-sub"/>
                <w:sz w:val="17"/>
                <w:shd w:val="clear" w:color="auto" w:fill="FFFFFF"/>
                <w:vertAlign w:val="subscript"/>
              </w:rPr>
              <w:t>InpMat</w:t>
            </w:r>
            <w:proofErr w:type="spellEnd"/>
          </w:p>
        </w:tc>
      </w:tr>
      <w:tr w:rsidR="0024791B" w:rsidRPr="006D3A34" w14:paraId="495817D5" w14:textId="77777777" w:rsidTr="00485DCA">
        <w:trPr>
          <w:jc w:val="center"/>
        </w:trPr>
        <w:tc>
          <w:tcPr>
            <w:tcW w:w="4876" w:type="dxa"/>
          </w:tcPr>
          <w:p w14:paraId="54C4FC56" w14:textId="77777777" w:rsidR="0024791B" w:rsidRPr="006D3A34" w:rsidRDefault="0024791B" w:rsidP="00485DCA">
            <w:pPr>
              <w:pStyle w:val="Normal6"/>
              <w:rPr>
                <w:color w:val="333333"/>
                <w:sz w:val="27"/>
                <w:szCs w:val="27"/>
                <w:shd w:val="clear" w:color="auto" w:fill="FFFFFF"/>
              </w:rPr>
            </w:pPr>
            <w:r w:rsidRPr="006D3A34">
              <w:t>er de indlejrede emissioner fra de inputmaterialer (</w:t>
            </w:r>
            <w:proofErr w:type="spellStart"/>
            <w:r w:rsidRPr="006D3A34">
              <w:t>prækursorer</w:t>
            </w:r>
            <w:proofErr w:type="spellEnd"/>
            <w:r w:rsidRPr="006D3A34">
              <w:t>), der forbruges i produktionsprocessen. Kun inputmaterialer (</w:t>
            </w:r>
            <w:proofErr w:type="spellStart"/>
            <w:r w:rsidRPr="006D3A34">
              <w:t>prækursorer</w:t>
            </w:r>
            <w:proofErr w:type="spellEnd"/>
            <w:r w:rsidRPr="006D3A34">
              <w:t xml:space="preserve">), der er opført </w:t>
            </w:r>
            <w:r w:rsidRPr="006D3A34">
              <w:rPr>
                <w:b/>
                <w:i/>
              </w:rPr>
              <w:t>som relevante for produktionsprocessens systemgrænser</w:t>
            </w:r>
            <w:r w:rsidRPr="006D3A34">
              <w:t xml:space="preserve"> som </w:t>
            </w:r>
            <w:r w:rsidRPr="006D3A34">
              <w:rPr>
                <w:b/>
                <w:i/>
              </w:rPr>
              <w:t>angivet</w:t>
            </w:r>
            <w:r w:rsidRPr="006D3A34">
              <w:t xml:space="preserve"> i </w:t>
            </w:r>
            <w:r w:rsidRPr="006D3A34">
              <w:rPr>
                <w:b/>
                <w:i/>
              </w:rPr>
              <w:t>den gennemførelsesretsakt</w:t>
            </w:r>
            <w:r w:rsidRPr="006D3A34">
              <w:t xml:space="preserve">, der er </w:t>
            </w:r>
            <w:r w:rsidRPr="006D3A34">
              <w:rPr>
                <w:b/>
                <w:i/>
              </w:rPr>
              <w:t>vedtaget</w:t>
            </w:r>
            <w:r w:rsidRPr="006D3A34">
              <w:t xml:space="preserve"> i henhold til </w:t>
            </w:r>
            <w:r w:rsidRPr="006D3A34">
              <w:rPr>
                <w:b/>
                <w:i/>
              </w:rPr>
              <w:t>artikel 7</w:t>
            </w:r>
            <w:r w:rsidRPr="006D3A34">
              <w:t xml:space="preserve">, </w:t>
            </w:r>
            <w:r w:rsidRPr="006D3A34">
              <w:rPr>
                <w:b/>
                <w:i/>
              </w:rPr>
              <w:t>stk. 7</w:t>
            </w:r>
            <w:r w:rsidRPr="006D3A34">
              <w:t xml:space="preserve">, skal tages i betragtning. De relevante </w:t>
            </w:r>
            <w:proofErr w:type="spellStart"/>
            <w:r w:rsidRPr="006D3A34">
              <w:t>EE</w:t>
            </w:r>
            <w:r w:rsidRPr="006D3A34">
              <w:rPr>
                <w:vertAlign w:val="subscript"/>
              </w:rPr>
              <w:t>InpMat</w:t>
            </w:r>
            <w:proofErr w:type="spellEnd"/>
            <w:r w:rsidRPr="006D3A34">
              <w:t xml:space="preserve"> beregnes som følger:</w:t>
            </w:r>
          </w:p>
        </w:tc>
        <w:tc>
          <w:tcPr>
            <w:tcW w:w="4876" w:type="dxa"/>
          </w:tcPr>
          <w:p w14:paraId="24115E37" w14:textId="77777777" w:rsidR="0024791B" w:rsidRPr="006D3A34" w:rsidRDefault="0024791B" w:rsidP="00485DCA">
            <w:pPr>
              <w:pStyle w:val="Normal6"/>
            </w:pPr>
            <w:r w:rsidRPr="006D3A34">
              <w:t>er de indlejrede emissioner fra de inputmaterialer (</w:t>
            </w:r>
            <w:proofErr w:type="spellStart"/>
            <w:r w:rsidRPr="006D3A34">
              <w:t>prækursorer</w:t>
            </w:r>
            <w:proofErr w:type="spellEnd"/>
            <w:r w:rsidRPr="006D3A34">
              <w:t>), der forbruges i produktionsprocessen. Kun inputmaterialer (</w:t>
            </w:r>
            <w:proofErr w:type="spellStart"/>
            <w:r w:rsidRPr="006D3A34">
              <w:t>prækursorer</w:t>
            </w:r>
            <w:proofErr w:type="spellEnd"/>
            <w:r w:rsidRPr="006D3A34">
              <w:t xml:space="preserve">), der er opført </w:t>
            </w:r>
            <w:r w:rsidRPr="006D3A34">
              <w:rPr>
                <w:b/>
                <w:i/>
              </w:rPr>
              <w:t>i bilag I, og</w:t>
            </w:r>
            <w:r w:rsidRPr="006D3A34">
              <w:t xml:space="preserve"> som </w:t>
            </w:r>
            <w:r w:rsidRPr="006D3A34">
              <w:rPr>
                <w:b/>
                <w:i/>
              </w:rPr>
              <w:t>har oprindelse</w:t>
            </w:r>
            <w:r w:rsidRPr="006D3A34">
              <w:t xml:space="preserve"> i </w:t>
            </w:r>
            <w:r w:rsidRPr="006D3A34">
              <w:rPr>
                <w:b/>
                <w:i/>
              </w:rPr>
              <w:t>tredjelande og områder</w:t>
            </w:r>
            <w:r w:rsidRPr="006D3A34">
              <w:t xml:space="preserve">, der </w:t>
            </w:r>
            <w:r w:rsidRPr="006D3A34">
              <w:rPr>
                <w:b/>
                <w:i/>
              </w:rPr>
              <w:t xml:space="preserve">ikke </w:t>
            </w:r>
            <w:r w:rsidRPr="006D3A34">
              <w:t xml:space="preserve">er </w:t>
            </w:r>
            <w:r w:rsidRPr="006D3A34">
              <w:rPr>
                <w:b/>
                <w:i/>
              </w:rPr>
              <w:t>omfattet af en undtagelse</w:t>
            </w:r>
            <w:r w:rsidRPr="006D3A34">
              <w:t xml:space="preserve"> i henhold til </w:t>
            </w:r>
            <w:r w:rsidRPr="006D3A34">
              <w:rPr>
                <w:b/>
                <w:i/>
              </w:rPr>
              <w:t>bilag III</w:t>
            </w:r>
            <w:r w:rsidRPr="006D3A34">
              <w:t xml:space="preserve">, </w:t>
            </w:r>
            <w:r w:rsidRPr="006D3A34">
              <w:rPr>
                <w:b/>
                <w:i/>
              </w:rPr>
              <w:t>punkt 1</w:t>
            </w:r>
            <w:r w:rsidRPr="006D3A34">
              <w:t xml:space="preserve">, skal tages i betragtning. De relevante </w:t>
            </w:r>
            <w:proofErr w:type="spellStart"/>
            <w:r w:rsidRPr="006D3A34">
              <w:t>EE</w:t>
            </w:r>
            <w:r w:rsidRPr="006D3A34">
              <w:rPr>
                <w:vertAlign w:val="subscript"/>
              </w:rPr>
              <w:t>InpMat</w:t>
            </w:r>
            <w:proofErr w:type="spellEnd"/>
            <w:r w:rsidRPr="006D3A34">
              <w:t xml:space="preserve"> beregnes som følger:</w:t>
            </w:r>
          </w:p>
        </w:tc>
      </w:tr>
    </w:tbl>
    <w:p w14:paraId="53971487" w14:textId="77777777" w:rsidR="0024791B" w:rsidRPr="006D3A34" w:rsidRDefault="0024791B" w:rsidP="0024791B"/>
    <w:sectPr w:rsidR="0024791B" w:rsidRPr="006D3A34" w:rsidSect="006D3A3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88B4C6" w14:textId="77777777" w:rsidR="00A63FD4" w:rsidRPr="006D3A34" w:rsidRDefault="00A63FD4">
      <w:r w:rsidRPr="006D3A34">
        <w:separator/>
      </w:r>
    </w:p>
  </w:endnote>
  <w:endnote w:type="continuationSeparator" w:id="0">
    <w:p w14:paraId="0D43D6E2" w14:textId="77777777" w:rsidR="00A63FD4" w:rsidRPr="006D3A34" w:rsidRDefault="00A63FD4">
      <w:r w:rsidRPr="006D3A3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099FD0" w14:textId="77777777" w:rsidR="00064002" w:rsidRPr="006D3A3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616DC0" w14:textId="77777777" w:rsidR="00064002" w:rsidRPr="006D3A3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D5B7BA" w14:textId="77777777" w:rsidR="00064002" w:rsidRPr="006D3A3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4A7A79" w14:textId="77777777" w:rsidR="00A63FD4" w:rsidRPr="006D3A34" w:rsidRDefault="00A63FD4">
      <w:r w:rsidRPr="006D3A34">
        <w:separator/>
      </w:r>
    </w:p>
  </w:footnote>
  <w:footnote w:type="continuationSeparator" w:id="0">
    <w:p w14:paraId="4175B528" w14:textId="77777777" w:rsidR="00A63FD4" w:rsidRPr="006D3A34" w:rsidRDefault="00A63FD4">
      <w:r w:rsidRPr="006D3A34">
        <w:continuationSeparator/>
      </w:r>
    </w:p>
  </w:footnote>
  <w:footnote w:id="1">
    <w:p w14:paraId="61068273" w14:textId="58BB93D0" w:rsidR="00402AE8" w:rsidRPr="008F4BA2" w:rsidRDefault="00402AE8" w:rsidP="00402AE8">
      <w:pPr>
        <w:pStyle w:val="FootnoteText"/>
        <w:ind w:left="567" w:hanging="567"/>
        <w:rPr>
          <w:sz w:val="24"/>
          <w:szCs w:val="24"/>
          <w:lang w:val="da-DK"/>
        </w:rPr>
      </w:pPr>
      <w:r w:rsidRPr="008F4BA2">
        <w:rPr>
          <w:rStyle w:val="FootnoteReference"/>
          <w:sz w:val="24"/>
          <w:szCs w:val="24"/>
        </w:rPr>
        <w:footnoteRef/>
      </w:r>
      <w:r w:rsidRPr="008F4BA2">
        <w:rPr>
          <w:sz w:val="24"/>
          <w:szCs w:val="24"/>
          <w:lang w:val="da-DK"/>
        </w:rPr>
        <w:t xml:space="preserve"> </w:t>
      </w:r>
      <w:r w:rsidRPr="008F4BA2">
        <w:rPr>
          <w:sz w:val="24"/>
          <w:szCs w:val="24"/>
          <w:lang w:val="da-DK"/>
        </w:rPr>
        <w:tab/>
        <w:t xml:space="preserve">Sagen blev henvist til fornyet behandling i det kompetente udvalg med henblik på </w:t>
      </w:r>
      <w:proofErr w:type="spellStart"/>
      <w:r w:rsidRPr="008F4BA2">
        <w:rPr>
          <w:sz w:val="24"/>
          <w:szCs w:val="24"/>
          <w:lang w:val="da-DK"/>
        </w:rPr>
        <w:t>interinstitutionelle</w:t>
      </w:r>
      <w:proofErr w:type="spellEnd"/>
      <w:r w:rsidRPr="008F4BA2">
        <w:rPr>
          <w:sz w:val="24"/>
          <w:szCs w:val="24"/>
          <w:lang w:val="da-DK"/>
        </w:rPr>
        <w:t xml:space="preserve"> forhandlinger, jf. forretningsordenens artikel 60, stk. 4, fjerde afsnit (A10-</w:t>
      </w:r>
      <w:r>
        <w:rPr>
          <w:sz w:val="24"/>
          <w:szCs w:val="24"/>
          <w:lang w:val="da-DK"/>
        </w:rPr>
        <w:t>0085</w:t>
      </w:r>
      <w:r w:rsidRPr="008F4BA2">
        <w:rPr>
          <w:sz w:val="24"/>
          <w:szCs w:val="24"/>
          <w:lang w:val="da-DK"/>
        </w:rPr>
        <w:t>/2025).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812AAE" w14:textId="77777777" w:rsidR="00064002" w:rsidRPr="006D3A3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31F566" w14:textId="77777777" w:rsidR="00064002" w:rsidRPr="006D3A3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3F5650" w14:textId="77777777" w:rsidR="00064002" w:rsidRPr="006D3A3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85/2025"/>
    <w:docVar w:name="dvlangue" w:val="DA"/>
    <w:docVar w:name="dvnumam" w:val="4"/>
    <w:docVar w:name="dvpe" w:val="773.301"/>
    <w:docVar w:name="dvrapporteur" w:val="Ordfører: "/>
    <w:docVar w:name="dvstar" w:val="***I"/>
    <w:docVar w:name="dvtitre" w:val="Europa-Parlamentets lovgivningsmæssige beslutning af xx.xx 2025 om forslag til Europa-Parlamentets og Rådets forordning om ændring af forordning (EU) 2023/956 for så vidt angår forenkling og styrkelse af kulstofgrænsetilpasningsmekanismen(COM(2025)0087 – C10-0035/2025 – 2025/0039(COD))"/>
  </w:docVars>
  <w:rsids>
    <w:rsidRoot w:val="00A63FD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791B"/>
    <w:rsid w:val="00260434"/>
    <w:rsid w:val="002767FF"/>
    <w:rsid w:val="002B18FE"/>
    <w:rsid w:val="002B5493"/>
    <w:rsid w:val="00343214"/>
    <w:rsid w:val="00361C00"/>
    <w:rsid w:val="00395FA1"/>
    <w:rsid w:val="003E15D4"/>
    <w:rsid w:val="00402AE8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9202A"/>
    <w:rsid w:val="006D3A34"/>
    <w:rsid w:val="006F74FA"/>
    <w:rsid w:val="00701A30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5DED"/>
    <w:rsid w:val="00A1687D"/>
    <w:rsid w:val="00A43E52"/>
    <w:rsid w:val="00A4678D"/>
    <w:rsid w:val="00A63FD4"/>
    <w:rsid w:val="00A778C7"/>
    <w:rsid w:val="00A87D3A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6CBD"/>
    <w:rsid w:val="00E365E1"/>
    <w:rsid w:val="00E820A4"/>
    <w:rsid w:val="00EB006A"/>
    <w:rsid w:val="00EB4772"/>
    <w:rsid w:val="00EC0EA6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6BB93F"/>
  <w15:chartTrackingRefBased/>
  <w15:docId w15:val="{CD7391E7-BE6D-4635-9B39-59AC3D018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BVI fnr,Footnote Reference Superscript,Footnote symbol"/>
    <w:uiPriority w:val="99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24791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6a">
    <w:name w:val="Normal6a"/>
    <w:basedOn w:val="Normal"/>
    <w:rsid w:val="0024791B"/>
    <w:pPr>
      <w:spacing w:after="120"/>
    </w:pPr>
  </w:style>
  <w:style w:type="paragraph" w:customStyle="1" w:styleId="PageHeading">
    <w:name w:val="PageHeading"/>
    <w:basedOn w:val="Normal"/>
    <w:rsid w:val="0024791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24791B"/>
    <w:rPr>
      <w:b/>
    </w:rPr>
  </w:style>
  <w:style w:type="paragraph" w:customStyle="1" w:styleId="NormalHanging12a">
    <w:name w:val="NormalHanging12a"/>
    <w:basedOn w:val="Normal"/>
    <w:link w:val="NormalHanging12aChar"/>
    <w:rsid w:val="0024791B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24791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4791B"/>
    <w:rPr>
      <w:sz w:val="24"/>
      <w:lang w:val="da-DK"/>
    </w:rPr>
  </w:style>
  <w:style w:type="paragraph" w:customStyle="1" w:styleId="AmColumnHeading">
    <w:name w:val="AmColumnHeading"/>
    <w:basedOn w:val="Normal"/>
    <w:rsid w:val="0024791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24791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24791B"/>
    <w:pPr>
      <w:spacing w:before="240"/>
    </w:pPr>
    <w:rPr>
      <w:b/>
    </w:rPr>
  </w:style>
  <w:style w:type="paragraph" w:customStyle="1" w:styleId="EPFooter">
    <w:name w:val="EPFooter"/>
    <w:basedOn w:val="Normal"/>
    <w:rsid w:val="0024791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4791B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rsid w:val="0024791B"/>
    <w:rPr>
      <w:b/>
      <w:sz w:val="24"/>
      <w:lang w:val="da-DK"/>
    </w:rPr>
  </w:style>
  <w:style w:type="character" w:customStyle="1" w:styleId="NormalHanging12aChar">
    <w:name w:val="NormalHanging12a Char"/>
    <w:basedOn w:val="DefaultParagraphFont"/>
    <w:link w:val="NormalHanging12a"/>
    <w:locked/>
    <w:rsid w:val="0024791B"/>
    <w:rPr>
      <w:sz w:val="24"/>
      <w:lang w:val="da-DK"/>
    </w:rPr>
  </w:style>
  <w:style w:type="paragraph" w:customStyle="1" w:styleId="Normal6">
    <w:name w:val="Normal6"/>
    <w:basedOn w:val="Normal"/>
    <w:link w:val="Normal6Char"/>
    <w:rsid w:val="0024791B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24791B"/>
    <w:rPr>
      <w:sz w:val="24"/>
      <w:lang w:val="da-DK"/>
    </w:rPr>
  </w:style>
  <w:style w:type="paragraph" w:customStyle="1" w:styleId="ColumnHeading">
    <w:name w:val="ColumnHeading"/>
    <w:basedOn w:val="Normal"/>
    <w:rsid w:val="0024791B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24791B"/>
    <w:rPr>
      <w:b/>
      <w:sz w:val="24"/>
      <w:lang w:val="da-DK"/>
    </w:rPr>
  </w:style>
  <w:style w:type="character" w:customStyle="1" w:styleId="oj-sub">
    <w:name w:val="oj-sub"/>
    <w:rsid w:val="0024791B"/>
  </w:style>
  <w:style w:type="paragraph" w:customStyle="1" w:styleId="Normal24a">
    <w:name w:val="Normal24a"/>
    <w:basedOn w:val="Normal"/>
    <w:rsid w:val="0024791B"/>
    <w:pPr>
      <w:spacing w:after="480"/>
    </w:pPr>
  </w:style>
  <w:style w:type="paragraph" w:customStyle="1" w:styleId="Normal12a">
    <w:name w:val="Normal12a"/>
    <w:basedOn w:val="Normal"/>
    <w:rsid w:val="0024791B"/>
    <w:pPr>
      <w:spacing w:after="240"/>
    </w:pPr>
  </w:style>
  <w:style w:type="paragraph" w:customStyle="1" w:styleId="PageHeadingNotTOC">
    <w:name w:val="PageHeadingNotTOC"/>
    <w:basedOn w:val="Normal"/>
    <w:rsid w:val="0024791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RollCallSymbols14pt">
    <w:name w:val="RollCallSymbols14pt"/>
    <w:basedOn w:val="Normal"/>
    <w:rsid w:val="0024791B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24791B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24791B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24791B"/>
    <w:pPr>
      <w:spacing w:before="120" w:after="120"/>
    </w:pPr>
    <w:rPr>
      <w:snapToGrid w:val="0"/>
      <w:sz w:val="16"/>
      <w:lang w:eastAsia="en-US"/>
    </w:rPr>
  </w:style>
  <w:style w:type="character" w:styleId="Hyperlink">
    <w:name w:val="Hyperlink"/>
    <w:basedOn w:val="DefaultParagraphFont"/>
    <w:rsid w:val="0024791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A87D3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87D3A"/>
    <w:rPr>
      <w:rFonts w:ascii="Segoe UI" w:hAnsi="Segoe UI" w:cs="Segoe UI"/>
      <w:sz w:val="18"/>
      <w:szCs w:val="18"/>
      <w:lang w:val="da-DK"/>
    </w:rPr>
  </w:style>
  <w:style w:type="character" w:styleId="CommentReference">
    <w:name w:val="annotation reference"/>
    <w:basedOn w:val="DefaultParagraphFont"/>
    <w:rsid w:val="00A87D3A"/>
    <w:rPr>
      <w:sz w:val="16"/>
      <w:szCs w:val="16"/>
    </w:rPr>
  </w:style>
  <w:style w:type="paragraph" w:styleId="CommentText">
    <w:name w:val="annotation text"/>
    <w:basedOn w:val="Normal"/>
    <w:link w:val="CommentTextChar"/>
    <w:rsid w:val="00A87D3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87D3A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A87D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87D3A"/>
    <w:rPr>
      <w:b/>
      <w:bCs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90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6D7DAE-B219-4906-933C-C47B5E8AF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BENDIXEN Majbritt</cp:lastModifiedBy>
  <cp:revision>2</cp:revision>
  <cp:lastPrinted>2004-11-19T15:42:00Z</cp:lastPrinted>
  <dcterms:created xsi:type="dcterms:W3CDTF">2025-06-17T08:11:00Z</dcterms:created>
  <dcterms:modified xsi:type="dcterms:W3CDTF">2025-06-17T08:11:00Z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P10_TA(2025)0108_</vt:lpwstr>
  </property>
  <property fmtid="{D5CDD505-2E9C-101B-9397-08002B2CF9AE}" pid="4" name="&lt;Type&gt;">
    <vt:lpwstr>RR</vt:lpwstr>
  </property>
</Properties>
</file>