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16B6E" w:rsidTr="0010095E">
        <w:trPr>
          <w:trHeight w:hRule="exact" w:val="1418"/>
        </w:trPr>
        <w:tc>
          <w:tcPr>
            <w:tcW w:w="6804" w:type="dxa"/>
            <w:shd w:val="clear" w:color="auto" w:fill="auto"/>
            <w:vAlign w:val="center"/>
          </w:tcPr>
          <w:p w:rsidR="00751A4A" w:rsidRPr="00E16B6E" w:rsidRDefault="00C51D6C" w:rsidP="0010095E">
            <w:pPr>
              <w:pStyle w:val="EPName"/>
            </w:pPr>
            <w:bookmarkStart w:id="0" w:name="_GoBack"/>
            <w:bookmarkEnd w:id="0"/>
            <w:r w:rsidRPr="00E16B6E">
              <w:t>Ευρωπαϊκό Κοινοβούλιο</w:t>
            </w:r>
          </w:p>
          <w:p w:rsidR="00751A4A" w:rsidRPr="00E16B6E" w:rsidRDefault="005F1B17" w:rsidP="005F1B17">
            <w:pPr>
              <w:pStyle w:val="EPTerm"/>
              <w:rPr>
                <w:rStyle w:val="HideTWBExt"/>
                <w:noProof w:val="0"/>
                <w:vanish w:val="0"/>
                <w:color w:val="auto"/>
              </w:rPr>
            </w:pPr>
            <w:r w:rsidRPr="00E16B6E">
              <w:t>2024</w:t>
            </w:r>
            <w:r w:rsidR="00817416" w:rsidRPr="00E16B6E">
              <w:t>-202</w:t>
            </w:r>
            <w:r w:rsidRPr="00E16B6E">
              <w:t>9</w:t>
            </w:r>
          </w:p>
        </w:tc>
        <w:tc>
          <w:tcPr>
            <w:tcW w:w="2268" w:type="dxa"/>
            <w:shd w:val="clear" w:color="auto" w:fill="auto"/>
          </w:tcPr>
          <w:p w:rsidR="00751A4A" w:rsidRPr="00E16B6E" w:rsidRDefault="00187494" w:rsidP="0010095E">
            <w:pPr>
              <w:pStyle w:val="EPLogo"/>
            </w:pPr>
            <w:r w:rsidRPr="00E16B6E">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16B6E" w:rsidRDefault="00D058B8" w:rsidP="004C5D52">
      <w:pPr>
        <w:pStyle w:val="LineTop"/>
      </w:pPr>
    </w:p>
    <w:p w:rsidR="00680577" w:rsidRPr="00E16B6E" w:rsidRDefault="00C51D6C" w:rsidP="00680577">
      <w:pPr>
        <w:pStyle w:val="EPBodyTA1"/>
      </w:pPr>
      <w:r w:rsidRPr="00E16B6E">
        <w:t>ΚΕΙΜΕΝΑ ΠΟΥ ΕΓΚΡΙΘΗΚΑΝ</w:t>
      </w:r>
    </w:p>
    <w:p w:rsidR="00D058B8" w:rsidRPr="00E16B6E" w:rsidRDefault="00D058B8" w:rsidP="00D058B8">
      <w:pPr>
        <w:pStyle w:val="LineBottom"/>
      </w:pPr>
    </w:p>
    <w:p w:rsidR="00C51D6C" w:rsidRPr="00E16B6E" w:rsidRDefault="00C51D6C" w:rsidP="00C51D6C">
      <w:pPr>
        <w:pStyle w:val="ATHeading1"/>
      </w:pPr>
      <w:bookmarkStart w:id="1" w:name="TANumber"/>
      <w:r w:rsidRPr="00E16B6E">
        <w:t>P10_TA(2025)0</w:t>
      </w:r>
      <w:r w:rsidR="00E16B6E" w:rsidRPr="00E16B6E">
        <w:t>108</w:t>
      </w:r>
      <w:bookmarkEnd w:id="1"/>
    </w:p>
    <w:p w:rsidR="00C51D6C" w:rsidRPr="00E16B6E" w:rsidRDefault="002476E8" w:rsidP="002476E8">
      <w:pPr>
        <w:pStyle w:val="ATHeading2"/>
      </w:pPr>
      <w:bookmarkStart w:id="2" w:name="title"/>
      <w:r w:rsidRPr="00E16B6E">
        <w:t>Τροποποίηση του κανονισμού (ΕΕ) 2023/956 όσον αφορά την απλούστευση και την ενίσχυση του μηχανισμού συνοριακής προσαρμογής άνθρακα</w:t>
      </w:r>
      <w:bookmarkEnd w:id="2"/>
    </w:p>
    <w:p w:rsidR="00C51D6C" w:rsidRPr="00E16B6E" w:rsidRDefault="00C51D6C" w:rsidP="00C51D6C">
      <w:pPr>
        <w:rPr>
          <w:i/>
          <w:vanish/>
        </w:rPr>
      </w:pPr>
      <w:r w:rsidRPr="00E16B6E">
        <w:rPr>
          <w:i/>
        </w:rPr>
        <w:fldChar w:fldCharType="begin"/>
      </w:r>
      <w:r w:rsidRPr="00E16B6E">
        <w:rPr>
          <w:i/>
        </w:rPr>
        <w:instrText xml:space="preserve"> TC"(</w:instrText>
      </w:r>
      <w:bookmarkStart w:id="3" w:name="DocNumber"/>
      <w:r w:rsidRPr="00E16B6E">
        <w:rPr>
          <w:i/>
        </w:rPr>
        <w:instrText>A10-0085/2025</w:instrText>
      </w:r>
      <w:bookmarkEnd w:id="3"/>
      <w:r w:rsidRPr="00E16B6E">
        <w:rPr>
          <w:i/>
        </w:rPr>
        <w:instrText xml:space="preserve"> - Εισηγητής: Antonio Decaro)"\l3 \n&gt; \* MERGEFORMAT </w:instrText>
      </w:r>
      <w:r w:rsidRPr="00E16B6E">
        <w:rPr>
          <w:i/>
        </w:rPr>
        <w:fldChar w:fldCharType="end"/>
      </w:r>
    </w:p>
    <w:p w:rsidR="00C51D6C" w:rsidRPr="00E16B6E" w:rsidRDefault="00C51D6C" w:rsidP="00C51D6C">
      <w:pPr>
        <w:rPr>
          <w:vanish/>
        </w:rPr>
      </w:pPr>
      <w:bookmarkStart w:id="4" w:name="Commission"/>
      <w:r w:rsidRPr="00E16B6E">
        <w:rPr>
          <w:vanish/>
        </w:rPr>
        <w:t>Επιτροπή Περιβάλλοντος, Κλίματος και Ασφάλειας των Τροφίμων</w:t>
      </w:r>
      <w:bookmarkEnd w:id="4"/>
    </w:p>
    <w:p w:rsidR="00C51D6C" w:rsidRPr="00E16B6E" w:rsidRDefault="00C51D6C" w:rsidP="00C51D6C">
      <w:pPr>
        <w:rPr>
          <w:vanish/>
        </w:rPr>
      </w:pPr>
      <w:bookmarkStart w:id="5" w:name="PE"/>
      <w:r w:rsidRPr="00E16B6E">
        <w:rPr>
          <w:vanish/>
        </w:rPr>
        <w:t>PE773.301</w:t>
      </w:r>
      <w:bookmarkEnd w:id="5"/>
    </w:p>
    <w:p w:rsidR="00C51D6C" w:rsidRPr="00E16B6E" w:rsidRDefault="00FC300E" w:rsidP="00C51D6C">
      <w:pPr>
        <w:pStyle w:val="ATHeading3"/>
      </w:pPr>
      <w:bookmarkStart w:id="6" w:name="Sujet"/>
      <w:r w:rsidRPr="00E16B6E">
        <w:t xml:space="preserve">Τροπολογίες </w:t>
      </w:r>
      <w:r w:rsidR="00C51D6C" w:rsidRPr="00E16B6E">
        <w:t xml:space="preserve">του Ευρωπαϊκού Κοινοβουλίου </w:t>
      </w:r>
      <w:r w:rsidR="002476E8" w:rsidRPr="00E16B6E">
        <w:t xml:space="preserve">της 22ας Μαΐου 2025 </w:t>
      </w:r>
      <w:r w:rsidR="00C51D6C" w:rsidRPr="00E16B6E">
        <w:t>στην πρόταση κανονισμού του Ευρωπαϊκού Κοινοβουλίου και του Συμβουλίου για την τροποποίηση του κανονισμού (ΕΕ) 2023/956 όσον αφορά την απλούστευση και την ενίσχυση του μηχανισμού συνοριακής προσαρμογής άνθρακα</w:t>
      </w:r>
      <w:bookmarkEnd w:id="6"/>
      <w:r w:rsidR="00C51D6C" w:rsidRPr="00E16B6E">
        <w:t xml:space="preserve"> </w:t>
      </w:r>
      <w:bookmarkStart w:id="7" w:name="References"/>
      <w:r w:rsidR="00C51D6C" w:rsidRPr="00E16B6E">
        <w:t>(COM(2025)0087 – C10-0035/2025 – 2025/0039(COD))</w:t>
      </w:r>
      <w:bookmarkEnd w:id="7"/>
      <w:r w:rsidRPr="00E16B6E">
        <w:rPr>
          <w:rStyle w:val="FootnoteReference"/>
        </w:rPr>
        <w:footnoteReference w:id="1"/>
      </w:r>
    </w:p>
    <w:p w:rsidR="002476E8" w:rsidRPr="00E16B6E" w:rsidRDefault="002476E8" w:rsidP="00BF3B92">
      <w:pPr>
        <w:pStyle w:val="NormalBold"/>
      </w:pPr>
      <w:bookmarkStart w:id="8" w:name="TextBodyBegin"/>
      <w:bookmarkEnd w:id="8"/>
    </w:p>
    <w:p w:rsidR="00BF3B92" w:rsidRPr="00E16B6E" w:rsidRDefault="00BF3B92" w:rsidP="00BF3B92">
      <w:pPr>
        <w:pStyle w:val="NormalBold"/>
      </w:pPr>
      <w:r w:rsidRPr="00E16B6E">
        <w:t>(Συνήθης νομοθετική διαδικασία: πρώτη ανάγνωση))</w:t>
      </w:r>
    </w:p>
    <w:p w:rsidR="00DC14DB" w:rsidRPr="00E16B6E" w:rsidRDefault="00DC14DB">
      <w:pPr>
        <w:widowControl/>
      </w:pPr>
    </w:p>
    <w:p w:rsidR="00BF3B92" w:rsidRPr="00E16B6E" w:rsidRDefault="00BF3B92" w:rsidP="00BF3B92"/>
    <w:p w:rsidR="00BF3B92" w:rsidRPr="00E16B6E" w:rsidRDefault="00BF3B92" w:rsidP="00BF3B92">
      <w:pPr>
        <w:pStyle w:val="AmNumberTabs"/>
        <w:spacing w:after="240"/>
      </w:pPr>
      <w:r w:rsidRPr="00E16B6E">
        <w:t>Τροπολογία</w:t>
      </w:r>
      <w:r w:rsidRPr="00E16B6E">
        <w:tab/>
      </w:r>
      <w:r w:rsidRPr="00E16B6E">
        <w:tab/>
        <w:t>1</w:t>
      </w:r>
    </w:p>
    <w:p w:rsidR="00BF3B92" w:rsidRPr="00E16B6E" w:rsidRDefault="00BF3B92" w:rsidP="00BF3B92">
      <w:r w:rsidRPr="00E16B6E">
        <w:rPr>
          <w:b/>
        </w:rPr>
        <w:t>Πρόταση κανονισμού</w:t>
      </w:r>
    </w:p>
    <w:p w:rsidR="00BF3B92" w:rsidRPr="00E16B6E" w:rsidRDefault="00BF3B92" w:rsidP="00BF3B92">
      <w:pPr>
        <w:pStyle w:val="NormalBold"/>
      </w:pPr>
      <w:r w:rsidRPr="00E16B6E">
        <w:t>Αιτιολογική σκέψη 25 α (νέα)</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F3B92" w:rsidRPr="00E16B6E" w:rsidTr="00C95B4E">
        <w:trPr>
          <w:jc w:val="center"/>
        </w:trPr>
        <w:tc>
          <w:tcPr>
            <w:tcW w:w="9752" w:type="dxa"/>
            <w:gridSpan w:val="2"/>
          </w:tcPr>
          <w:p w:rsidR="00BF3B92" w:rsidRPr="00E16B6E" w:rsidRDefault="00BF3B92" w:rsidP="00C95B4E">
            <w:pPr>
              <w:keepNext/>
            </w:pPr>
          </w:p>
        </w:tc>
      </w:tr>
      <w:tr w:rsidR="00BF3B92" w:rsidRPr="00E16B6E" w:rsidTr="00C95B4E">
        <w:trPr>
          <w:jc w:val="center"/>
        </w:trPr>
        <w:tc>
          <w:tcPr>
            <w:tcW w:w="4876" w:type="dxa"/>
          </w:tcPr>
          <w:p w:rsidR="00BF3B92" w:rsidRPr="00E16B6E" w:rsidRDefault="00BF3B92" w:rsidP="00C95B4E">
            <w:pPr>
              <w:pStyle w:val="ColumnHeading"/>
              <w:keepNext/>
            </w:pPr>
            <w:r w:rsidRPr="00E16B6E">
              <w:t>Κείμενο που προτείνει η Επιτροπή</w:t>
            </w:r>
          </w:p>
        </w:tc>
        <w:tc>
          <w:tcPr>
            <w:tcW w:w="4876" w:type="dxa"/>
          </w:tcPr>
          <w:p w:rsidR="00BF3B92" w:rsidRPr="00E16B6E" w:rsidRDefault="00BF3B92" w:rsidP="00C95B4E">
            <w:pPr>
              <w:pStyle w:val="ColumnHeading"/>
              <w:keepNext/>
            </w:pPr>
            <w:r w:rsidRPr="00E16B6E">
              <w:t>Τροπολογία</w:t>
            </w:r>
          </w:p>
        </w:tc>
      </w:tr>
      <w:tr w:rsidR="00BF3B92" w:rsidRPr="00E16B6E" w:rsidTr="00C95B4E">
        <w:trPr>
          <w:jc w:val="center"/>
        </w:trPr>
        <w:tc>
          <w:tcPr>
            <w:tcW w:w="4876" w:type="dxa"/>
          </w:tcPr>
          <w:p w:rsidR="00BF3B92" w:rsidRPr="00E16B6E" w:rsidRDefault="00BF3B92" w:rsidP="00C95B4E">
            <w:pPr>
              <w:pStyle w:val="Normal6"/>
            </w:pPr>
          </w:p>
        </w:tc>
        <w:tc>
          <w:tcPr>
            <w:tcW w:w="4876" w:type="dxa"/>
          </w:tcPr>
          <w:p w:rsidR="00BF3B92" w:rsidRPr="00E16B6E" w:rsidRDefault="00BF3B92" w:rsidP="00C95B4E">
            <w:pPr>
              <w:pStyle w:val="Normal6"/>
              <w:rPr>
                <w:szCs w:val="24"/>
              </w:rPr>
            </w:pPr>
            <w:r w:rsidRPr="00E16B6E">
              <w:rPr>
                <w:b/>
                <w:i/>
              </w:rPr>
              <w:t>(25a)</w:t>
            </w:r>
            <w:r w:rsidRPr="00E16B6E">
              <w:rPr>
                <w:b/>
                <w:i/>
              </w:rPr>
              <w:tab/>
              <w:t>Ο ΜΣΠΑ εφαρμόζεται στην εισαγωγή ηλεκτρικής ενέργειας, αλλά δεν θα πρέπει να εφαρμόζεται στην ηλεκτρική ενέργεια που παράγεται εξ ολοκλήρου στην αποκλειστική οικονομική ζώνη κράτους μέλους του ΕΟΧ και εισάγεται απευθείας στο τελωνειακό έδαφος της Ένωσης</w:t>
            </w:r>
            <w:r w:rsidR="00E56709" w:rsidRPr="00E16B6E">
              <w:rPr>
                <w:b/>
                <w:i/>
              </w:rPr>
              <w:t>.</w:t>
            </w:r>
          </w:p>
        </w:tc>
      </w:tr>
    </w:tbl>
    <w:p w:rsidR="00BF3B92" w:rsidRPr="00E16B6E" w:rsidRDefault="00BF3B92" w:rsidP="00BF3B92"/>
    <w:p w:rsidR="00BF3B92" w:rsidRPr="00E16B6E" w:rsidRDefault="00BF3B92" w:rsidP="00BF3B92">
      <w:pPr>
        <w:pStyle w:val="AmNumberTabs"/>
      </w:pPr>
      <w:r w:rsidRPr="00E16B6E">
        <w:t>Τροπολογία</w:t>
      </w:r>
      <w:r w:rsidRPr="00E16B6E">
        <w:tab/>
      </w:r>
      <w:r w:rsidRPr="00E16B6E">
        <w:tab/>
        <w:t>2</w:t>
      </w:r>
    </w:p>
    <w:p w:rsidR="00BF3B92" w:rsidRPr="00E16B6E" w:rsidRDefault="00BF3B92" w:rsidP="00BF3B92">
      <w:pPr>
        <w:pStyle w:val="NormalBold12b"/>
      </w:pPr>
      <w:r w:rsidRPr="00E16B6E">
        <w:t>Πρόταση κανονισμού</w:t>
      </w:r>
    </w:p>
    <w:p w:rsidR="00BF3B92" w:rsidRPr="00E16B6E" w:rsidRDefault="00BF3B92" w:rsidP="00BF3B92">
      <w:pPr>
        <w:pStyle w:val="NormalBold"/>
      </w:pPr>
      <w:r w:rsidRPr="00E16B6E">
        <w:t>Άρθρο 1 – παράγραφος 1 – σημείο 1 – στοιχείο β α (νέο)</w:t>
      </w:r>
    </w:p>
    <w:p w:rsidR="00BF3B92" w:rsidRPr="00E16B6E" w:rsidRDefault="00BF3B92" w:rsidP="00BF3B92">
      <w:pPr>
        <w:keepNext/>
      </w:pPr>
      <w:r w:rsidRPr="00E16B6E">
        <w:t>Κανονισμός (ΕΕ) 2023/956</w:t>
      </w:r>
    </w:p>
    <w:p w:rsidR="00BF3B92" w:rsidRPr="00E16B6E" w:rsidRDefault="00BF3B92" w:rsidP="00BF3B92">
      <w:r w:rsidRPr="00E16B6E">
        <w:t>Άρθρο 2 – παράγραφος 3 β (νέα)</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F3B92" w:rsidRPr="00E16B6E" w:rsidTr="00C95B4E">
        <w:trPr>
          <w:jc w:val="center"/>
        </w:trPr>
        <w:tc>
          <w:tcPr>
            <w:tcW w:w="9752" w:type="dxa"/>
            <w:gridSpan w:val="2"/>
          </w:tcPr>
          <w:p w:rsidR="00BF3B92" w:rsidRPr="00E16B6E" w:rsidRDefault="00BF3B92" w:rsidP="00C95B4E">
            <w:pPr>
              <w:keepNext/>
            </w:pPr>
          </w:p>
        </w:tc>
      </w:tr>
      <w:tr w:rsidR="00BF3B92" w:rsidRPr="00E16B6E" w:rsidTr="00C95B4E">
        <w:trPr>
          <w:jc w:val="center"/>
        </w:trPr>
        <w:tc>
          <w:tcPr>
            <w:tcW w:w="4876" w:type="dxa"/>
          </w:tcPr>
          <w:p w:rsidR="00BF3B92" w:rsidRPr="00E16B6E" w:rsidRDefault="00BF3B92" w:rsidP="00C95B4E">
            <w:pPr>
              <w:pStyle w:val="ColumnHeading"/>
              <w:keepNext/>
            </w:pPr>
            <w:r w:rsidRPr="00E16B6E">
              <w:t>Κείμενο που προτείνει η Επιτροπή</w:t>
            </w:r>
          </w:p>
        </w:tc>
        <w:tc>
          <w:tcPr>
            <w:tcW w:w="4876" w:type="dxa"/>
          </w:tcPr>
          <w:p w:rsidR="00BF3B92" w:rsidRPr="00E16B6E" w:rsidRDefault="00BF3B92" w:rsidP="00C95B4E">
            <w:pPr>
              <w:pStyle w:val="ColumnHeading"/>
              <w:keepNext/>
            </w:pPr>
            <w:r w:rsidRPr="00E16B6E">
              <w:t>Τροπολογία</w:t>
            </w:r>
          </w:p>
        </w:tc>
      </w:tr>
      <w:tr w:rsidR="00BF3B92" w:rsidRPr="00E16B6E" w:rsidTr="00C95B4E">
        <w:trPr>
          <w:jc w:val="center"/>
        </w:trPr>
        <w:tc>
          <w:tcPr>
            <w:tcW w:w="4876" w:type="dxa"/>
          </w:tcPr>
          <w:p w:rsidR="00BF3B92" w:rsidRPr="00E16B6E" w:rsidRDefault="00BF3B92" w:rsidP="00C95B4E">
            <w:pPr>
              <w:pStyle w:val="Normal6"/>
            </w:pPr>
          </w:p>
        </w:tc>
        <w:tc>
          <w:tcPr>
            <w:tcW w:w="4876" w:type="dxa"/>
          </w:tcPr>
          <w:p w:rsidR="00BF3B92" w:rsidRPr="00E16B6E" w:rsidRDefault="00BF3B92" w:rsidP="00C95B4E">
            <w:pPr>
              <w:pStyle w:val="Normal6"/>
              <w:rPr>
                <w:szCs w:val="24"/>
              </w:rPr>
            </w:pPr>
            <w:r w:rsidRPr="00E16B6E">
              <w:rPr>
                <w:b/>
                <w:i/>
              </w:rPr>
              <w:t>βα)</w:t>
            </w:r>
            <w:r w:rsidRPr="00E16B6E">
              <w:rPr>
                <w:b/>
                <w:i/>
              </w:rPr>
              <w:tab/>
              <w:t>προστίθεται η ακόλουθη παράγραφος 3β:</w:t>
            </w:r>
          </w:p>
        </w:tc>
      </w:tr>
      <w:tr w:rsidR="00BF3B92" w:rsidRPr="00E16B6E" w:rsidTr="00C95B4E">
        <w:trPr>
          <w:jc w:val="center"/>
        </w:trPr>
        <w:tc>
          <w:tcPr>
            <w:tcW w:w="4876" w:type="dxa"/>
          </w:tcPr>
          <w:p w:rsidR="00BF3B92" w:rsidRPr="00E16B6E" w:rsidRDefault="00BF3B92" w:rsidP="00C95B4E">
            <w:pPr>
              <w:pStyle w:val="Normal6"/>
            </w:pPr>
          </w:p>
        </w:tc>
        <w:tc>
          <w:tcPr>
            <w:tcW w:w="4876" w:type="dxa"/>
          </w:tcPr>
          <w:p w:rsidR="00BF3B92" w:rsidRPr="00E16B6E" w:rsidRDefault="00DC14DB" w:rsidP="00C95B4E">
            <w:pPr>
              <w:pStyle w:val="Normal6"/>
              <w:rPr>
                <w:szCs w:val="24"/>
              </w:rPr>
            </w:pPr>
            <w:r w:rsidRPr="00E16B6E">
              <w:rPr>
                <w:b/>
                <w:i/>
              </w:rPr>
              <w:t>«</w:t>
            </w:r>
            <w:r w:rsidR="00BF3B92" w:rsidRPr="00E16B6E">
              <w:rPr>
                <w:b/>
                <w:i/>
              </w:rPr>
              <w:t>3β.</w:t>
            </w:r>
            <w:r w:rsidR="00BF3B92" w:rsidRPr="00E16B6E">
              <w:tab/>
            </w:r>
            <w:r w:rsidR="00BF3B92" w:rsidRPr="00E16B6E">
              <w:rPr>
                <w:b/>
                <w:i/>
              </w:rPr>
              <w:t>Κατά παρέκκλιση από τις παραγράφους 1 και 2, ο παρών κανονισμός δεν εφαρμόζεται στην ηλεκτρική ενέργεια που παράγεται εξ ολοκλήρου στην αποκλειστική οικονομική ζώνη κράτους μέλους του ΕΟΧ και εισάγεται απευθείας στο τελωνειακό έδαφος της Ένωσης.</w:t>
            </w:r>
            <w:r w:rsidRPr="00E16B6E">
              <w:rPr>
                <w:b/>
                <w:i/>
              </w:rPr>
              <w:t>»</w:t>
            </w:r>
            <w:r w:rsidR="00E56709" w:rsidRPr="00E16B6E">
              <w:rPr>
                <w:b/>
                <w:i/>
              </w:rPr>
              <w:t>.</w:t>
            </w:r>
          </w:p>
        </w:tc>
      </w:tr>
    </w:tbl>
    <w:p w:rsidR="00BF3B92" w:rsidRPr="00E16B6E" w:rsidRDefault="00BF3B92" w:rsidP="00BF3B92"/>
    <w:p w:rsidR="00BF3B92" w:rsidRPr="00E16B6E" w:rsidRDefault="00BF3B92" w:rsidP="00BF3B92">
      <w:pPr>
        <w:pStyle w:val="AmNumberTabs"/>
      </w:pPr>
      <w:r w:rsidRPr="00E16B6E">
        <w:t>Τροπολογία</w:t>
      </w:r>
      <w:r w:rsidRPr="00E16B6E">
        <w:tab/>
      </w:r>
      <w:r w:rsidRPr="00E16B6E">
        <w:tab/>
        <w:t>3</w:t>
      </w:r>
    </w:p>
    <w:p w:rsidR="00BF3B92" w:rsidRPr="00E16B6E" w:rsidRDefault="00BF3B92" w:rsidP="00BF3B92">
      <w:pPr>
        <w:pStyle w:val="NormalBold12b"/>
      </w:pPr>
      <w:r w:rsidRPr="00E16B6E">
        <w:t>Πρόταση κανονισμού</w:t>
      </w:r>
    </w:p>
    <w:p w:rsidR="00BF3B92" w:rsidRPr="00E16B6E" w:rsidRDefault="00BF3B92" w:rsidP="00BF3B92">
      <w:pPr>
        <w:pStyle w:val="NormalBold"/>
      </w:pPr>
      <w:r w:rsidRPr="00E16B6E">
        <w:t>Παράρτημα I – παράγραφος 1 – σημείο 1 α (νέο)</w:t>
      </w:r>
    </w:p>
    <w:p w:rsidR="00BF3B92" w:rsidRPr="00E16B6E" w:rsidRDefault="00BF3B92" w:rsidP="00BF3B92">
      <w:pPr>
        <w:keepNext/>
      </w:pPr>
      <w:r w:rsidRPr="00E16B6E">
        <w:t>Κανονισμός (ΕΕ) 2023/956</w:t>
      </w:r>
    </w:p>
    <w:p w:rsidR="00BF3B92" w:rsidRPr="00E16B6E" w:rsidRDefault="00BF3B92" w:rsidP="00BF3B92">
      <w:r w:rsidRPr="00E16B6E">
        <w:t xml:space="preserve">Παράρτημα IV – σημείο 3 – παράγραφος 1 – εδάφιο 5 </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F3B92" w:rsidRPr="00E16B6E" w:rsidTr="00C95B4E">
        <w:trPr>
          <w:jc w:val="center"/>
        </w:trPr>
        <w:tc>
          <w:tcPr>
            <w:tcW w:w="9752" w:type="dxa"/>
            <w:gridSpan w:val="2"/>
          </w:tcPr>
          <w:p w:rsidR="00BF3B92" w:rsidRPr="00E16B6E" w:rsidRDefault="00BF3B92" w:rsidP="00C95B4E">
            <w:pPr>
              <w:keepNext/>
            </w:pPr>
          </w:p>
        </w:tc>
      </w:tr>
      <w:tr w:rsidR="00BF3B92" w:rsidRPr="00E16B6E" w:rsidTr="00C95B4E">
        <w:trPr>
          <w:jc w:val="center"/>
        </w:trPr>
        <w:tc>
          <w:tcPr>
            <w:tcW w:w="4876" w:type="dxa"/>
          </w:tcPr>
          <w:p w:rsidR="00BF3B92" w:rsidRPr="00E16B6E" w:rsidRDefault="00BF3B92" w:rsidP="00C95B4E">
            <w:pPr>
              <w:pStyle w:val="ColumnHeading"/>
              <w:keepNext/>
            </w:pPr>
            <w:r w:rsidRPr="00E16B6E">
              <w:t>Ισχύον κείμενο</w:t>
            </w:r>
          </w:p>
        </w:tc>
        <w:tc>
          <w:tcPr>
            <w:tcW w:w="4876" w:type="dxa"/>
          </w:tcPr>
          <w:p w:rsidR="00BF3B92" w:rsidRPr="00E16B6E" w:rsidRDefault="00BF3B92" w:rsidP="00C95B4E">
            <w:pPr>
              <w:pStyle w:val="ColumnHeading"/>
              <w:keepNext/>
            </w:pPr>
            <w:r w:rsidRPr="00E16B6E">
              <w:t>Τροπολογία</w:t>
            </w:r>
          </w:p>
        </w:tc>
      </w:tr>
      <w:tr w:rsidR="00BF3B92" w:rsidRPr="00E16B6E" w:rsidTr="00C95B4E">
        <w:trPr>
          <w:jc w:val="center"/>
        </w:trPr>
        <w:tc>
          <w:tcPr>
            <w:tcW w:w="4876" w:type="dxa"/>
          </w:tcPr>
          <w:p w:rsidR="00BF3B92" w:rsidRPr="00E16B6E" w:rsidRDefault="00BF3B92" w:rsidP="00C95B4E">
            <w:pPr>
              <w:pStyle w:val="Normal6"/>
            </w:pPr>
          </w:p>
        </w:tc>
        <w:tc>
          <w:tcPr>
            <w:tcW w:w="4876" w:type="dxa"/>
          </w:tcPr>
          <w:p w:rsidR="00BF3B92" w:rsidRPr="00E16B6E" w:rsidRDefault="00BF3B92" w:rsidP="00C95B4E">
            <w:pPr>
              <w:pStyle w:val="Normal6"/>
              <w:rPr>
                <w:szCs w:val="24"/>
              </w:rPr>
            </w:pPr>
            <w:r w:rsidRPr="00E16B6E">
              <w:rPr>
                <w:b/>
                <w:i/>
              </w:rPr>
              <w:t>1α)</w:t>
            </w:r>
            <w:r w:rsidRPr="00E16B6E">
              <w:rPr>
                <w:b/>
                <w:i/>
              </w:rPr>
              <w:tab/>
              <w:t>Στο σημείο 3, στις σημειώσεις που επεξηγούν τον τύπο για τις SEEg στην πρώτη παράγραφο, η σημείωση για τις EEInpMat αντικαθίσταται από το ακόλουθο κείμενο:</w:t>
            </w:r>
          </w:p>
        </w:tc>
      </w:tr>
      <w:tr w:rsidR="00BF3B92" w:rsidRPr="00E16B6E" w:rsidTr="00C95B4E">
        <w:trPr>
          <w:jc w:val="center"/>
        </w:trPr>
        <w:tc>
          <w:tcPr>
            <w:tcW w:w="4876" w:type="dxa"/>
          </w:tcPr>
          <w:p w:rsidR="00BF3B92" w:rsidRPr="00E16B6E" w:rsidRDefault="00BF3B92" w:rsidP="00C95B4E">
            <w:pPr>
              <w:pStyle w:val="Normal6"/>
            </w:pPr>
            <w:r w:rsidRPr="00E16B6E">
              <w:rPr>
                <w:sz w:val="27"/>
                <w:shd w:val="clear" w:color="auto" w:fill="FFFFFF"/>
              </w:rPr>
              <w:t>EE</w:t>
            </w:r>
            <w:r w:rsidRPr="00E16B6E">
              <w:rPr>
                <w:rStyle w:val="oj-sub"/>
                <w:sz w:val="17"/>
                <w:shd w:val="clear" w:color="auto" w:fill="FFFFFF"/>
                <w:vertAlign w:val="subscript"/>
              </w:rPr>
              <w:t>InpMat</w:t>
            </w:r>
          </w:p>
        </w:tc>
        <w:tc>
          <w:tcPr>
            <w:tcW w:w="4876" w:type="dxa"/>
          </w:tcPr>
          <w:p w:rsidR="00BF3B92" w:rsidRPr="00E16B6E" w:rsidRDefault="00DC14DB" w:rsidP="00C95B4E">
            <w:pPr>
              <w:pStyle w:val="Normal6"/>
              <w:rPr>
                <w:szCs w:val="24"/>
              </w:rPr>
            </w:pPr>
            <w:r w:rsidRPr="00E16B6E">
              <w:rPr>
                <w:sz w:val="27"/>
                <w:shd w:val="clear" w:color="auto" w:fill="FFFFFF"/>
              </w:rPr>
              <w:t>«</w:t>
            </w:r>
            <w:r w:rsidR="00BF3B92" w:rsidRPr="00E16B6E">
              <w:rPr>
                <w:sz w:val="27"/>
                <w:shd w:val="clear" w:color="auto" w:fill="FFFFFF"/>
              </w:rPr>
              <w:t>EE</w:t>
            </w:r>
            <w:r w:rsidR="00BF3B92" w:rsidRPr="00E16B6E">
              <w:rPr>
                <w:rStyle w:val="oj-sub"/>
                <w:sz w:val="17"/>
                <w:shd w:val="clear" w:color="auto" w:fill="FFFFFF"/>
                <w:vertAlign w:val="subscript"/>
              </w:rPr>
              <w:t>InpMat</w:t>
            </w:r>
          </w:p>
        </w:tc>
      </w:tr>
      <w:tr w:rsidR="00BF3B92" w:rsidRPr="00E16B6E" w:rsidTr="00C95B4E">
        <w:trPr>
          <w:jc w:val="center"/>
        </w:trPr>
        <w:tc>
          <w:tcPr>
            <w:tcW w:w="4876" w:type="dxa"/>
          </w:tcPr>
          <w:p w:rsidR="00BF3B92" w:rsidRPr="00E16B6E" w:rsidRDefault="00BF3B92" w:rsidP="00C95B4E">
            <w:pPr>
              <w:pStyle w:val="Normal6"/>
              <w:rPr>
                <w:color w:val="333333"/>
                <w:sz w:val="27"/>
                <w:szCs w:val="27"/>
                <w:shd w:val="clear" w:color="auto" w:fill="FFFFFF"/>
              </w:rPr>
            </w:pPr>
            <w:r w:rsidRPr="00E16B6E">
              <w:t xml:space="preserve">είναι οι ενσωματωμένες εκπομπές των υλικών εισροής (πρόδρομων υλών) που καταναλώνονται στην παραγωγική διαδικασία. Λαμβάνονται υπόψη μόνο </w:t>
            </w:r>
            <w:r w:rsidRPr="00E16B6E">
              <w:rPr>
                <w:b/>
                <w:i/>
              </w:rPr>
              <w:t xml:space="preserve">τα </w:t>
            </w:r>
            <w:r w:rsidRPr="00E16B6E">
              <w:t xml:space="preserve">υλικά εισροής (πρόδρομες ύλες) που απαριθμούνται </w:t>
            </w:r>
            <w:r w:rsidRPr="00E16B6E">
              <w:rPr>
                <w:b/>
                <w:i/>
              </w:rPr>
              <w:t>ως συναφή</w:t>
            </w:r>
            <w:r w:rsidRPr="00E16B6E">
              <w:t xml:space="preserve"> με </w:t>
            </w:r>
            <w:r w:rsidRPr="00E16B6E">
              <w:rPr>
                <w:b/>
                <w:i/>
              </w:rPr>
              <w:t>τα όρια συστήματος της παραγωγικής διαδικασίας, όπως αυτά ορίζονται στην εκτελεστική πράξη που εκδίδεται</w:t>
            </w:r>
            <w:r w:rsidRPr="00E16B6E">
              <w:t xml:space="preserve"> σύμφωνα με το </w:t>
            </w:r>
            <w:r w:rsidRPr="00E16B6E">
              <w:rPr>
                <w:b/>
                <w:i/>
              </w:rPr>
              <w:t>άρθρο 7 παράγραφος 7</w:t>
            </w:r>
            <w:r w:rsidRPr="00E16B6E">
              <w:t>. Οι σχετικές ΕΕ</w:t>
            </w:r>
            <w:r w:rsidRPr="00E16B6E">
              <w:rPr>
                <w:vertAlign w:val="subscript"/>
              </w:rPr>
              <w:t>InpMat</w:t>
            </w:r>
            <w:r w:rsidRPr="00E16B6E">
              <w:t xml:space="preserve"> υπολογίζονται ως εξής:</w:t>
            </w:r>
          </w:p>
        </w:tc>
        <w:tc>
          <w:tcPr>
            <w:tcW w:w="4876" w:type="dxa"/>
          </w:tcPr>
          <w:p w:rsidR="00BF3B92" w:rsidRPr="00E16B6E" w:rsidRDefault="00BF3B92" w:rsidP="00DC14DB">
            <w:pPr>
              <w:pStyle w:val="Normal6"/>
            </w:pPr>
            <w:r w:rsidRPr="00E16B6E">
              <w:t xml:space="preserve">είναι οι ενσωματωμένες εκπομπές των υλικών εισροής (πρόδρομων υλών) που καταναλώνονται στην παραγωγική διαδικασία. Λαμβάνονται υπόψη μόνο υλικά εισροής (πρόδρομες ύλες) που απαριθμούνται </w:t>
            </w:r>
            <w:r w:rsidRPr="00E16B6E">
              <w:rPr>
                <w:b/>
                <w:i/>
              </w:rPr>
              <w:t>στο παράρτημα I</w:t>
            </w:r>
            <w:r w:rsidRPr="00E16B6E">
              <w:t xml:space="preserve"> με </w:t>
            </w:r>
            <w:r w:rsidRPr="00E16B6E">
              <w:rPr>
                <w:b/>
                <w:i/>
              </w:rPr>
              <w:t>προέλευση από τρίτες χώρες και εδάφη που δεν εξαιρούνται</w:t>
            </w:r>
            <w:r w:rsidRPr="00E16B6E">
              <w:t xml:space="preserve"> σύμφωνα με το </w:t>
            </w:r>
            <w:r w:rsidRPr="00E16B6E">
              <w:rPr>
                <w:b/>
                <w:i/>
              </w:rPr>
              <w:t xml:space="preserve">παράρτημα III </w:t>
            </w:r>
            <w:r w:rsidR="00DC14DB" w:rsidRPr="00E16B6E">
              <w:rPr>
                <w:b/>
                <w:i/>
              </w:rPr>
              <w:t xml:space="preserve">σημείο </w:t>
            </w:r>
            <w:r w:rsidRPr="00E16B6E">
              <w:rPr>
                <w:b/>
                <w:i/>
              </w:rPr>
              <w:t>1</w:t>
            </w:r>
            <w:r w:rsidRPr="00E16B6E">
              <w:t>. Οι σχετικές ΕΕ</w:t>
            </w:r>
            <w:r w:rsidRPr="00E16B6E">
              <w:rPr>
                <w:vertAlign w:val="subscript"/>
              </w:rPr>
              <w:t>InpMat</w:t>
            </w:r>
            <w:r w:rsidRPr="00E16B6E">
              <w:t xml:space="preserve"> υπολογίζονται ως εξής:</w:t>
            </w:r>
            <w:r w:rsidR="00DC14DB" w:rsidRPr="00E16B6E">
              <w:t>»</w:t>
            </w:r>
            <w:r w:rsidR="00E56709" w:rsidRPr="00E16B6E">
              <w:t>.</w:t>
            </w:r>
          </w:p>
        </w:tc>
      </w:tr>
    </w:tbl>
    <w:p w:rsidR="00E365E1" w:rsidRPr="00E16B6E" w:rsidRDefault="00E365E1" w:rsidP="00C51D6C"/>
    <w:sectPr w:rsidR="00E365E1" w:rsidRPr="00E16B6E" w:rsidSect="000E70D0">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1D6C" w:rsidRPr="000E70D0" w:rsidRDefault="00C51D6C">
      <w:r w:rsidRPr="000E70D0">
        <w:separator/>
      </w:r>
    </w:p>
  </w:endnote>
  <w:endnote w:type="continuationSeparator" w:id="0">
    <w:p w:rsidR="00C51D6C" w:rsidRPr="000E70D0" w:rsidRDefault="00C51D6C">
      <w:r w:rsidRPr="000E70D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E70D0"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E70D0"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E70D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1D6C" w:rsidRPr="000E70D0" w:rsidRDefault="00C51D6C">
      <w:r w:rsidRPr="000E70D0">
        <w:separator/>
      </w:r>
    </w:p>
  </w:footnote>
  <w:footnote w:type="continuationSeparator" w:id="0">
    <w:p w:rsidR="00C51D6C" w:rsidRPr="000E70D0" w:rsidRDefault="00C51D6C">
      <w:r w:rsidRPr="000E70D0">
        <w:continuationSeparator/>
      </w:r>
    </w:p>
  </w:footnote>
  <w:footnote w:id="1">
    <w:p w:rsidR="00FC300E" w:rsidRPr="009B4E59" w:rsidRDefault="00FC300E" w:rsidP="00FC300E">
      <w:pPr>
        <w:pStyle w:val="FootnoteText"/>
        <w:ind w:left="567" w:hanging="567"/>
        <w:rPr>
          <w:sz w:val="24"/>
          <w:lang w:val="el-GR"/>
        </w:rPr>
      </w:pPr>
      <w:r w:rsidRPr="009B4E59">
        <w:rPr>
          <w:rStyle w:val="FootnoteReference"/>
          <w:sz w:val="24"/>
        </w:rPr>
        <w:footnoteRef/>
      </w:r>
      <w:r w:rsidRPr="009B4E59">
        <w:rPr>
          <w:sz w:val="24"/>
          <w:lang w:val="el-GR"/>
        </w:rPr>
        <w:t xml:space="preserve"> </w:t>
      </w:r>
      <w:r w:rsidRPr="009B4E59">
        <w:rPr>
          <w:sz w:val="24"/>
          <w:lang w:val="el-GR"/>
        </w:rPr>
        <w:tab/>
      </w:r>
      <w:r w:rsidRPr="003844DB">
        <w:rPr>
          <w:sz w:val="24"/>
          <w:lang w:val="el-GR"/>
        </w:rPr>
        <w:t>Το θέμα α</w:t>
      </w:r>
      <w:r w:rsidRPr="00FC300E">
        <w:rPr>
          <w:sz w:val="24"/>
          <w:lang w:val="el-GR"/>
        </w:rPr>
        <w:t xml:space="preserve">ναπέμφθηκε για διοργανικές διαπραγματεύσεις στην αρμόδια επιτροπή, σύμφωνα με το </w:t>
      </w:r>
      <w:r w:rsidRPr="00E16B6E">
        <w:rPr>
          <w:sz w:val="24"/>
          <w:lang w:val="el-GR"/>
        </w:rPr>
        <w:t>άρθρο 60 παράγραφος 4 τέταρτο εδάφιο</w:t>
      </w:r>
      <w:r w:rsidRPr="00FC300E">
        <w:rPr>
          <w:sz w:val="24"/>
          <w:lang w:val="el-GR"/>
        </w:rPr>
        <w:t xml:space="preserve"> του Κανονισμού (</w:t>
      </w:r>
      <w:r w:rsidRPr="00E16B6E">
        <w:rPr>
          <w:sz w:val="24"/>
          <w:lang w:val="el-GR"/>
        </w:rPr>
        <w:t>Α10-00</w:t>
      </w:r>
      <w:r>
        <w:rPr>
          <w:sz w:val="24"/>
          <w:lang w:val="el-GR"/>
        </w:rPr>
        <w:t>85</w:t>
      </w:r>
      <w:r w:rsidRPr="00E16B6E">
        <w:rPr>
          <w:sz w:val="24"/>
          <w:lang w:val="el-GR"/>
        </w:rPr>
        <w:t>/20</w:t>
      </w:r>
      <w:r>
        <w:rPr>
          <w:sz w:val="24"/>
          <w:lang w:val="el-GR"/>
        </w:rPr>
        <w:t>25</w:t>
      </w:r>
      <w:r w:rsidRPr="00E16B6E">
        <w:rPr>
          <w:sz w:val="24"/>
          <w:lang w:val="el-G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E70D0"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E70D0"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E70D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85/2025"/>
    <w:docVar w:name="dvlangue" w:val="EL"/>
    <w:docVar w:name="dvnumam" w:val="0"/>
    <w:docVar w:name="dvpe" w:val="773.301"/>
    <w:docVar w:name="dvrapporteur" w:val="Εισηγητής: "/>
    <w:docVar w:name="dvstar" w:val="***I"/>
    <w:docVar w:name="dvtitre" w:val="Νομοθετικό ψήφισμα του Ευρωπαϊκού Κοινοβουλίου σχετικά με την πρόταση κανονισμού του Ευρωπαϊκού Κοινοβουλίου και του Συμβουλίου για την τροποποίηση του κανονισμού (ΕΕ) 2023/956 όσον αφορά την απλούστευση και την ενίσχυση του μηχανισμού συνοριακής προσαρμογής άνθρακα(COM(2025)0087 – C10-0035/2025 – 2025/0039(COD))"/>
  </w:docVars>
  <w:rsids>
    <w:rsidRoot w:val="00C51D6C"/>
    <w:rsid w:val="00002272"/>
    <w:rsid w:val="00064002"/>
    <w:rsid w:val="000677B9"/>
    <w:rsid w:val="000831BA"/>
    <w:rsid w:val="000A42CC"/>
    <w:rsid w:val="000E70D0"/>
    <w:rsid w:val="000E7DD9"/>
    <w:rsid w:val="0010095E"/>
    <w:rsid w:val="00125B37"/>
    <w:rsid w:val="00187494"/>
    <w:rsid w:val="001F32AE"/>
    <w:rsid w:val="002476E8"/>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B3192"/>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610ED"/>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BF3B92"/>
    <w:rsid w:val="00C05BFE"/>
    <w:rsid w:val="00C23CD4"/>
    <w:rsid w:val="00C51D6C"/>
    <w:rsid w:val="00C61C0C"/>
    <w:rsid w:val="00C941CB"/>
    <w:rsid w:val="00CC2357"/>
    <w:rsid w:val="00CF071A"/>
    <w:rsid w:val="00D058B8"/>
    <w:rsid w:val="00D56C11"/>
    <w:rsid w:val="00D834A0"/>
    <w:rsid w:val="00D872DF"/>
    <w:rsid w:val="00D91E21"/>
    <w:rsid w:val="00DA7FCD"/>
    <w:rsid w:val="00DB53E4"/>
    <w:rsid w:val="00DC14DB"/>
    <w:rsid w:val="00E16B6E"/>
    <w:rsid w:val="00E365E1"/>
    <w:rsid w:val="00E56709"/>
    <w:rsid w:val="00E820A4"/>
    <w:rsid w:val="00EB006A"/>
    <w:rsid w:val="00EB4772"/>
    <w:rsid w:val="00ED169E"/>
    <w:rsid w:val="00ED4235"/>
    <w:rsid w:val="00F04346"/>
    <w:rsid w:val="00F075DC"/>
    <w:rsid w:val="00F149E9"/>
    <w:rsid w:val="00F5134D"/>
    <w:rsid w:val="00F74202"/>
    <w:rsid w:val="00F87713"/>
    <w:rsid w:val="00FB4360"/>
    <w:rsid w:val="00FC300E"/>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9001D2D"/>
  <w15:chartTrackingRefBased/>
  <w15:docId w15:val="{2621A970-203D-4AB0-85C9-F2509D54FC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qFormat="1"/>
    <w:lsdException w:name="caption" w:semiHidden="1" w:unhideWhenUsed="1" w:qFormat="1"/>
    <w:lsdException w:name="footnote reference"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Superscript 6 Point,Footnote Reference Number,Footnote Reference_LVL6,Footnote Reference_LVL61,Footnote Reference_LVL62,Footnote Reference_LVL63,Footnote Reference_LVL64,Footnote call,BVI fnr,SUPERS,Footnote symbol,note TESI"/>
    <w:link w:val="BVIfnrZnak"/>
    <w:qFormat/>
    <w:rsid w:val="00395FA1"/>
    <w:rPr>
      <w:b w:val="0"/>
      <w:vertAlign w:val="superscript"/>
    </w:rPr>
  </w:style>
  <w:style w:type="paragraph" w:styleId="FootnoteText">
    <w:name w:val="footnote text"/>
    <w:aliases w:val="Footnote Text Char2,Footnote Text Char Char,Footnote text,Footnote Text Char1,Footnote Text Char2 Char,Footnote Text Char1 Char1 Char,Footnote Text Char2 Char Char Char,Footnote Text Char1 Char1 Char Char Char,Plonk,fn,fn Char Char,Fußnote"/>
    <w:basedOn w:val="Normal"/>
    <w:link w:val="FootnoteTextChar"/>
    <w:qFormat/>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2 Char1,Footnote Text Char Char Char,Footnote text Char,Footnote Text Char1 Char,Footnote Text Char2 Char Char,Footnote Text Char1 Char1 Char Char,Footnote Text Char2 Char Char Char Char,Plonk Char,fn Char"/>
    <w:link w:val="FootnoteText"/>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link w:val="NormalBoldChar"/>
    <w:rsid w:val="00BF3B92"/>
    <w:rPr>
      <w:b/>
    </w:rPr>
  </w:style>
  <w:style w:type="paragraph" w:customStyle="1" w:styleId="NormalBold12a">
    <w:name w:val="NormalBold12a"/>
    <w:basedOn w:val="Normal"/>
    <w:rsid w:val="00BF3B92"/>
    <w:pPr>
      <w:spacing w:after="240"/>
    </w:pPr>
    <w:rPr>
      <w:b/>
    </w:rPr>
  </w:style>
  <w:style w:type="paragraph" w:customStyle="1" w:styleId="NormalHanging12a">
    <w:name w:val="NormalHanging12a"/>
    <w:basedOn w:val="Normal"/>
    <w:link w:val="NormalHanging12aChar"/>
    <w:rsid w:val="00BF3B92"/>
    <w:pPr>
      <w:spacing w:after="240"/>
      <w:ind w:left="567" w:hanging="567"/>
    </w:pPr>
  </w:style>
  <w:style w:type="paragraph" w:customStyle="1" w:styleId="AmNumberTabs">
    <w:name w:val="AmNumberTabs"/>
    <w:basedOn w:val="Normal"/>
    <w:rsid w:val="00BF3B9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BF3B92"/>
    <w:pPr>
      <w:spacing w:before="240"/>
    </w:pPr>
    <w:rPr>
      <w:b/>
    </w:rPr>
  </w:style>
  <w:style w:type="paragraph" w:customStyle="1" w:styleId="EPComma">
    <w:name w:val="EPComma"/>
    <w:basedOn w:val="Normal"/>
    <w:rsid w:val="00BF3B92"/>
    <w:pPr>
      <w:spacing w:before="480" w:after="240"/>
    </w:pPr>
  </w:style>
  <w:style w:type="character" w:customStyle="1" w:styleId="NormalBoldChar">
    <w:name w:val="NormalBold Char"/>
    <w:basedOn w:val="DefaultParagraphFont"/>
    <w:link w:val="NormalBold"/>
    <w:rsid w:val="00BF3B92"/>
    <w:rPr>
      <w:b/>
      <w:sz w:val="24"/>
      <w:lang w:val="el-GR"/>
    </w:rPr>
  </w:style>
  <w:style w:type="paragraph" w:customStyle="1" w:styleId="Normal6">
    <w:name w:val="Normal6"/>
    <w:basedOn w:val="Normal"/>
    <w:link w:val="Normal6Char"/>
    <w:rsid w:val="00BF3B92"/>
    <w:pPr>
      <w:spacing w:after="120"/>
    </w:pPr>
  </w:style>
  <w:style w:type="character" w:customStyle="1" w:styleId="Normal6Char">
    <w:name w:val="Normal6 Char"/>
    <w:basedOn w:val="DefaultParagraphFont"/>
    <w:link w:val="Normal6"/>
    <w:rsid w:val="00BF3B92"/>
    <w:rPr>
      <w:sz w:val="24"/>
      <w:lang w:val="el-GR"/>
    </w:rPr>
  </w:style>
  <w:style w:type="paragraph" w:customStyle="1" w:styleId="ColumnHeading">
    <w:name w:val="ColumnHeading"/>
    <w:basedOn w:val="Normal"/>
    <w:rsid w:val="00BF3B92"/>
    <w:pPr>
      <w:spacing w:after="240"/>
      <w:jc w:val="center"/>
    </w:pPr>
    <w:rPr>
      <w:i/>
    </w:rPr>
  </w:style>
  <w:style w:type="character" w:customStyle="1" w:styleId="NormalBold12bChar">
    <w:name w:val="NormalBold12b Char"/>
    <w:basedOn w:val="DefaultParagraphFont"/>
    <w:link w:val="NormalBold12b"/>
    <w:rsid w:val="00BF3B92"/>
    <w:rPr>
      <w:b/>
      <w:sz w:val="24"/>
      <w:lang w:val="el-GR"/>
    </w:rPr>
  </w:style>
  <w:style w:type="character" w:customStyle="1" w:styleId="oj-sub">
    <w:name w:val="oj-sub"/>
    <w:rsid w:val="00BF3B92"/>
  </w:style>
  <w:style w:type="character" w:customStyle="1" w:styleId="NormalHanging12aChar">
    <w:name w:val="NormalHanging12a Char"/>
    <w:basedOn w:val="DefaultParagraphFont"/>
    <w:link w:val="NormalHanging12a"/>
    <w:locked/>
    <w:rsid w:val="00BF3B92"/>
    <w:rPr>
      <w:sz w:val="24"/>
      <w:lang w:val="el-GR"/>
    </w:rPr>
  </w:style>
  <w:style w:type="paragraph" w:styleId="BalloonText">
    <w:name w:val="Balloon Text"/>
    <w:basedOn w:val="Normal"/>
    <w:link w:val="BalloonTextChar"/>
    <w:rsid w:val="002476E8"/>
    <w:rPr>
      <w:rFonts w:ascii="Segoe UI" w:hAnsi="Segoe UI" w:cs="Segoe UI"/>
      <w:sz w:val="18"/>
      <w:szCs w:val="18"/>
    </w:rPr>
  </w:style>
  <w:style w:type="character" w:customStyle="1" w:styleId="BalloonTextChar">
    <w:name w:val="Balloon Text Char"/>
    <w:basedOn w:val="DefaultParagraphFont"/>
    <w:link w:val="BalloonText"/>
    <w:rsid w:val="002476E8"/>
    <w:rPr>
      <w:rFonts w:ascii="Segoe UI" w:hAnsi="Segoe UI" w:cs="Segoe UI"/>
      <w:sz w:val="18"/>
      <w:szCs w:val="18"/>
      <w:lang w:val="el-GR"/>
    </w:rPr>
  </w:style>
  <w:style w:type="paragraph" w:customStyle="1" w:styleId="BVIfnrZnak">
    <w:name w:val="BVI fnr Знак Знак Znak"/>
    <w:aliases w:val="BVI fnr Car Car Знак Знак Znak,BVI fnr Char Car Car Car Знак Знак Znak,BVI fnr Char Car Car Car Char Знак Знак Znak,BVI fnr Car Знак Знак Znak,BVI fnr Car Car Car Car Знак Знак Znak,ftref Znak"/>
    <w:basedOn w:val="Normal"/>
    <w:link w:val="FootnoteReference"/>
    <w:rsid w:val="00FC300E"/>
    <w:pPr>
      <w:widowControl/>
      <w:spacing w:after="160" w:line="240" w:lineRule="exact"/>
    </w:pPr>
    <w:rPr>
      <w:sz w:val="20"/>
      <w:vertAlign w:val="superscript"/>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632A22-7A0B-4531-8372-0FF9A2EBD0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367</Words>
  <Characters>2324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Amalia</dc:creator>
  <cp:keywords/>
  <cp:lastModifiedBy>KOLOKYTHIA Amalia</cp:lastModifiedBy>
  <cp:revision>2</cp:revision>
  <cp:lastPrinted>2004-11-19T15:42:00Z</cp:lastPrinted>
  <dcterms:created xsi:type="dcterms:W3CDTF">2025-05-22T10:52:00Z</dcterms:created>
  <dcterms:modified xsi:type="dcterms:W3CDTF">2025-05-22T10:52:00Z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A10-0085/2025</vt:lpwstr>
  </property>
  <property fmtid="{D5CDD505-2E9C-101B-9397-08002B2CF9AE}" pid="4" name="&lt;Type&gt;">
    <vt:lpwstr>RR</vt:lpwstr>
  </property>
</Properties>
</file>