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1D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1D9F" w:rsidRDefault="00E77139" w:rsidP="0010095E">
            <w:pPr>
              <w:pStyle w:val="EPName"/>
            </w:pPr>
            <w:r w:rsidRPr="004A1D9F">
              <w:t>Parlamento Europeo</w:t>
            </w:r>
          </w:p>
          <w:p w:rsidR="00751A4A" w:rsidRPr="004A1D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1D9F">
              <w:t>2024</w:t>
            </w:r>
            <w:r w:rsidR="00817416" w:rsidRPr="004A1D9F">
              <w:t>-202</w:t>
            </w:r>
            <w:r w:rsidRPr="004A1D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1D9F" w:rsidRDefault="00187494" w:rsidP="0010095E">
            <w:pPr>
              <w:pStyle w:val="EPLogo"/>
            </w:pPr>
            <w:r w:rsidRPr="004A1D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1D9F" w:rsidRDefault="00D058B8" w:rsidP="004C5D52">
      <w:pPr>
        <w:pStyle w:val="LineTop"/>
      </w:pPr>
    </w:p>
    <w:p w:rsidR="00680577" w:rsidRPr="004A1D9F" w:rsidRDefault="00E77139" w:rsidP="00680577">
      <w:pPr>
        <w:pStyle w:val="EPBodyTA1"/>
      </w:pPr>
      <w:r w:rsidRPr="004A1D9F">
        <w:t>TEXTOS APROBADOS</w:t>
      </w:r>
    </w:p>
    <w:p w:rsidR="00D058B8" w:rsidRPr="004A1D9F" w:rsidRDefault="00D058B8" w:rsidP="00D058B8">
      <w:pPr>
        <w:pStyle w:val="LineBottom"/>
      </w:pPr>
    </w:p>
    <w:p w:rsidR="00E77139" w:rsidRPr="004A1D9F" w:rsidRDefault="00E77139" w:rsidP="00E77139">
      <w:pPr>
        <w:pStyle w:val="ATHeading1"/>
      </w:pPr>
      <w:bookmarkStart w:id="0" w:name="TANumber"/>
      <w:r w:rsidRPr="004A1D9F">
        <w:t>P10_</w:t>
      </w:r>
      <w:proofErr w:type="gramStart"/>
      <w:r w:rsidRPr="004A1D9F">
        <w:t>TA(</w:t>
      </w:r>
      <w:proofErr w:type="gramEnd"/>
      <w:r w:rsidRPr="004A1D9F">
        <w:t>2025)0</w:t>
      </w:r>
      <w:r w:rsidR="006D626A" w:rsidRPr="004A1D9F">
        <w:t>108</w:t>
      </w:r>
      <w:bookmarkEnd w:id="0"/>
    </w:p>
    <w:p w:rsidR="00E77139" w:rsidRPr="004A1D9F" w:rsidRDefault="00E77139" w:rsidP="00E77139">
      <w:pPr>
        <w:pStyle w:val="ATHeading2"/>
      </w:pPr>
      <w:bookmarkStart w:id="1" w:name="title"/>
      <w:r w:rsidRPr="004A1D9F">
        <w:t>Modificación del Reglamento (UE) 2023/956 en lo que respecta a la simplificación y el afianzamiento del Mecanismo de Ajuste en Frontera por Carbono</w:t>
      </w:r>
      <w:bookmarkEnd w:id="1"/>
    </w:p>
    <w:p w:rsidR="00E77139" w:rsidRPr="004A1D9F" w:rsidRDefault="00E77139" w:rsidP="00E77139">
      <w:pPr>
        <w:rPr>
          <w:i/>
          <w:vanish/>
        </w:rPr>
      </w:pPr>
      <w:r w:rsidRPr="004A1D9F">
        <w:rPr>
          <w:i/>
        </w:rPr>
        <w:fldChar w:fldCharType="begin"/>
      </w:r>
      <w:r w:rsidRPr="004A1D9F">
        <w:rPr>
          <w:i/>
        </w:rPr>
        <w:instrText xml:space="preserve"> TC"(</w:instrText>
      </w:r>
      <w:bookmarkStart w:id="2" w:name="DocNumber"/>
      <w:r w:rsidRPr="004A1D9F">
        <w:rPr>
          <w:i/>
        </w:rPr>
        <w:instrText>A10-0085/2025</w:instrText>
      </w:r>
      <w:bookmarkEnd w:id="2"/>
      <w:r w:rsidRPr="004A1D9F">
        <w:rPr>
          <w:i/>
        </w:rPr>
        <w:instrText xml:space="preserve"> - P</w:instrText>
      </w:r>
      <w:bookmarkStart w:id="3" w:name="_GoBack"/>
      <w:bookmarkEnd w:id="3"/>
      <w:r w:rsidRPr="004A1D9F">
        <w:rPr>
          <w:i/>
        </w:rPr>
        <w:instrText xml:space="preserve">onente: Antonio Decaro)"\l3 \n&gt; \* MERGEFORMAT </w:instrText>
      </w:r>
      <w:r w:rsidRPr="004A1D9F">
        <w:rPr>
          <w:i/>
        </w:rPr>
        <w:fldChar w:fldCharType="end"/>
      </w:r>
    </w:p>
    <w:p w:rsidR="00E77139" w:rsidRPr="004A1D9F" w:rsidRDefault="00E77139" w:rsidP="00E77139">
      <w:pPr>
        <w:rPr>
          <w:vanish/>
        </w:rPr>
      </w:pPr>
      <w:bookmarkStart w:id="4" w:name="Commission"/>
      <w:r w:rsidRPr="004A1D9F">
        <w:rPr>
          <w:vanish/>
        </w:rPr>
        <w:t>Comisión de Medio Ambiente, Clima y Seguridad Alimentaria</w:t>
      </w:r>
      <w:bookmarkEnd w:id="4"/>
    </w:p>
    <w:p w:rsidR="00E77139" w:rsidRPr="004A1D9F" w:rsidRDefault="00E77139" w:rsidP="00E77139">
      <w:pPr>
        <w:rPr>
          <w:vanish/>
        </w:rPr>
      </w:pPr>
      <w:bookmarkStart w:id="5" w:name="PE"/>
      <w:r w:rsidRPr="004A1D9F">
        <w:rPr>
          <w:vanish/>
        </w:rPr>
        <w:t>PE773.301</w:t>
      </w:r>
      <w:bookmarkEnd w:id="5"/>
    </w:p>
    <w:p w:rsidR="00E77139" w:rsidRPr="004A1D9F" w:rsidRDefault="006D626A" w:rsidP="00E77139">
      <w:pPr>
        <w:pStyle w:val="ATHeading3"/>
      </w:pPr>
      <w:bookmarkStart w:id="6" w:name="Sujet"/>
      <w:r w:rsidRPr="004A1D9F">
        <w:t xml:space="preserve">Enmiendas aprobadas por </w:t>
      </w:r>
      <w:r w:rsidR="00E77139" w:rsidRPr="004A1D9F">
        <w:t xml:space="preserve">el Parlamento Europeo </w:t>
      </w:r>
      <w:r w:rsidRPr="004A1D9F">
        <w:t>el</w:t>
      </w:r>
      <w:r w:rsidR="00E77139" w:rsidRPr="004A1D9F">
        <w:t xml:space="preserve"> 22 de mayo de 2025 sobre la propuesta de Reglamento del Parlamento Europeo y del Consejo por el que se modifica el Reglamento (UE) 2023/956 en lo que respecta a la simplificación y el afianzamiento del Mecanismo de Ajuste en Frontera por Carbono</w:t>
      </w:r>
      <w:bookmarkEnd w:id="6"/>
      <w:r w:rsidR="00E77139" w:rsidRPr="004A1D9F">
        <w:t xml:space="preserve"> </w:t>
      </w:r>
      <w:bookmarkStart w:id="7" w:name="References"/>
      <w:r w:rsidR="00E77139" w:rsidRPr="004A1D9F">
        <w:t>(COM(2025)0087 – C10-0035/2025 – 2025/0039(COD))</w:t>
      </w:r>
      <w:bookmarkEnd w:id="7"/>
      <w:r w:rsidRPr="004A1D9F">
        <w:rPr>
          <w:rStyle w:val="FootnoteReference"/>
        </w:rPr>
        <w:footnoteReference w:id="1"/>
      </w:r>
    </w:p>
    <w:p w:rsidR="00E77139" w:rsidRPr="004A1D9F" w:rsidRDefault="00E77139" w:rsidP="00E77139"/>
    <w:p w:rsidR="000C5449" w:rsidRPr="004A1D9F" w:rsidRDefault="000C5449" w:rsidP="000C5449">
      <w:pPr>
        <w:pStyle w:val="NormalBold"/>
      </w:pPr>
      <w:bookmarkStart w:id="8" w:name="TextBodyBegin"/>
      <w:bookmarkEnd w:id="8"/>
      <w:r w:rsidRPr="004A1D9F">
        <w:t>(Procedimiento legislativo ordinario: primera lectura)</w:t>
      </w:r>
    </w:p>
    <w:p w:rsidR="000C5449" w:rsidRPr="004A1D9F" w:rsidRDefault="000C5449" w:rsidP="000213C9">
      <w:pPr>
        <w:pStyle w:val="AmNumberTabs"/>
      </w:pPr>
      <w:r w:rsidRPr="004A1D9F">
        <w:t>Enmienda</w:t>
      </w:r>
      <w:r w:rsidRPr="004A1D9F">
        <w:tab/>
      </w:r>
      <w:r w:rsidRPr="004A1D9F">
        <w:tab/>
        <w:t>1</w:t>
      </w:r>
    </w:p>
    <w:p w:rsidR="000C5449" w:rsidRPr="004A1D9F" w:rsidRDefault="000C5449" w:rsidP="000C5449">
      <w:pPr>
        <w:pStyle w:val="NormalBold12b"/>
      </w:pPr>
      <w:r w:rsidRPr="004A1D9F">
        <w:t>Propuesta de Reglamento</w:t>
      </w:r>
    </w:p>
    <w:p w:rsidR="000C5449" w:rsidRPr="004A1D9F" w:rsidRDefault="000C5449" w:rsidP="000C5449">
      <w:pPr>
        <w:pStyle w:val="NormalBold"/>
      </w:pPr>
      <w:r w:rsidRPr="004A1D9F">
        <w:t>Considerando 25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C5449" w:rsidRPr="004A1D9F" w:rsidTr="00D01623">
        <w:trPr>
          <w:jc w:val="center"/>
        </w:trPr>
        <w:tc>
          <w:tcPr>
            <w:tcW w:w="9752" w:type="dxa"/>
            <w:gridSpan w:val="2"/>
          </w:tcPr>
          <w:p w:rsidR="000C5449" w:rsidRPr="004A1D9F" w:rsidRDefault="000C5449" w:rsidP="00D01623">
            <w:pPr>
              <w:keepNext/>
            </w:pP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Enmienda</w:t>
            </w: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szCs w:val="24"/>
                <w:lang w:val="es-ES_tradnl"/>
              </w:rPr>
            </w:pPr>
            <w:r w:rsidRPr="004A1D9F">
              <w:rPr>
                <w:b/>
                <w:i/>
                <w:lang w:val="es-ES_tradnl"/>
              </w:rPr>
              <w:t>(25 bis)</w:t>
            </w:r>
            <w:r w:rsidRPr="004A1D9F">
              <w:rPr>
                <w:b/>
                <w:i/>
                <w:lang w:val="es-ES_tradnl"/>
              </w:rPr>
              <w:tab/>
              <w:t>El MAFC se aplica a la importación de electricidad, pero no debe aplicarse a la electricidad generada en su totalidad en la zona económica exclusiva de un Estado miembro del EEE e importada directamente en el territorio aduanero de la Unión.</w:t>
            </w:r>
          </w:p>
        </w:tc>
      </w:tr>
    </w:tbl>
    <w:p w:rsidR="000C5449" w:rsidRPr="004A1D9F" w:rsidRDefault="000C5449" w:rsidP="000C5449"/>
    <w:p w:rsidR="000C5449" w:rsidRPr="004A1D9F" w:rsidRDefault="000C5449" w:rsidP="000C5449">
      <w:pPr>
        <w:pStyle w:val="AmNumberTabs"/>
      </w:pPr>
      <w:r w:rsidRPr="004A1D9F">
        <w:t>Enmienda</w:t>
      </w:r>
      <w:r w:rsidRPr="004A1D9F">
        <w:tab/>
      </w:r>
      <w:r w:rsidRPr="004A1D9F">
        <w:tab/>
        <w:t>2</w:t>
      </w:r>
    </w:p>
    <w:p w:rsidR="000C5449" w:rsidRPr="004A1D9F" w:rsidRDefault="000C5449" w:rsidP="000C5449">
      <w:pPr>
        <w:pStyle w:val="NormalBold12b"/>
      </w:pPr>
      <w:r w:rsidRPr="004A1D9F">
        <w:t>Propuesta de Reglamento</w:t>
      </w:r>
    </w:p>
    <w:p w:rsidR="000C5449" w:rsidRPr="004A1D9F" w:rsidRDefault="000C5449" w:rsidP="000C5449">
      <w:pPr>
        <w:pStyle w:val="NormalBold"/>
      </w:pPr>
      <w:r w:rsidRPr="004A1D9F">
        <w:t>Artículo 1 – párrafo 1 – punto 1 – letra b bis (nueva)</w:t>
      </w:r>
    </w:p>
    <w:p w:rsidR="000C5449" w:rsidRPr="004A1D9F" w:rsidRDefault="000C5449" w:rsidP="000C5449">
      <w:pPr>
        <w:keepNext/>
      </w:pPr>
      <w:r w:rsidRPr="004A1D9F">
        <w:t>Reglamento (UE) 2023/956</w:t>
      </w:r>
    </w:p>
    <w:p w:rsidR="000C5449" w:rsidRPr="004A1D9F" w:rsidRDefault="000C5449" w:rsidP="000C5449">
      <w:r w:rsidRPr="004A1D9F">
        <w:t>Artículo 2 – apartado 3 ter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C5449" w:rsidRPr="004A1D9F" w:rsidTr="00D01623">
        <w:trPr>
          <w:jc w:val="center"/>
        </w:trPr>
        <w:tc>
          <w:tcPr>
            <w:tcW w:w="9752" w:type="dxa"/>
            <w:gridSpan w:val="2"/>
          </w:tcPr>
          <w:p w:rsidR="000C5449" w:rsidRPr="004A1D9F" w:rsidRDefault="000C5449" w:rsidP="00D01623">
            <w:pPr>
              <w:keepNext/>
            </w:pP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Enmienda</w:t>
            </w: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szCs w:val="24"/>
                <w:lang w:val="es-ES_tradnl"/>
              </w:rPr>
            </w:pPr>
            <w:r w:rsidRPr="004A1D9F">
              <w:rPr>
                <w:b/>
                <w:i/>
                <w:lang w:val="es-ES_tradnl"/>
              </w:rPr>
              <w:t>b bis)</w:t>
            </w:r>
            <w:r w:rsidRPr="004A1D9F">
              <w:rPr>
                <w:b/>
                <w:i/>
                <w:lang w:val="es-ES_tradnl"/>
              </w:rPr>
              <w:tab/>
              <w:t>se inserta el apartado 3 ter siguiente:</w:t>
            </w: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szCs w:val="24"/>
                <w:lang w:val="es-ES_tradnl"/>
              </w:rPr>
            </w:pPr>
            <w:r w:rsidRPr="004A1D9F">
              <w:rPr>
                <w:b/>
                <w:i/>
                <w:lang w:val="es-ES_tradnl"/>
              </w:rPr>
              <w:t>3 ter.</w:t>
            </w:r>
            <w:r w:rsidRPr="004A1D9F">
              <w:rPr>
                <w:lang w:val="es-ES_tradnl"/>
              </w:rPr>
              <w:tab/>
            </w:r>
            <w:r w:rsidRPr="004A1D9F">
              <w:rPr>
                <w:b/>
                <w:i/>
                <w:lang w:val="es-ES_tradnl"/>
              </w:rPr>
              <w:t>Como excepción a lo dispuesto en los apartados 1 y 2, el presente Reglamento no se aplicará a la electricidad generada en su totalidad en la zona económica exclusiva de un Estado miembro del EEE e importada directamente en el territorio aduanero de la Unión.</w:t>
            </w:r>
          </w:p>
        </w:tc>
      </w:tr>
    </w:tbl>
    <w:p w:rsidR="000C5449" w:rsidRPr="004A1D9F" w:rsidRDefault="000C5449" w:rsidP="000C5449"/>
    <w:p w:rsidR="000C5449" w:rsidRPr="004A1D9F" w:rsidRDefault="000C5449" w:rsidP="000C5449">
      <w:pPr>
        <w:pStyle w:val="AmNumberTabs"/>
      </w:pPr>
      <w:r w:rsidRPr="004A1D9F">
        <w:t>Enmienda</w:t>
      </w:r>
      <w:r w:rsidRPr="004A1D9F">
        <w:tab/>
      </w:r>
      <w:r w:rsidRPr="004A1D9F">
        <w:tab/>
        <w:t>3</w:t>
      </w:r>
    </w:p>
    <w:p w:rsidR="000C5449" w:rsidRPr="004A1D9F" w:rsidRDefault="000C5449" w:rsidP="000C5449">
      <w:pPr>
        <w:pStyle w:val="NormalBold12b"/>
      </w:pPr>
      <w:r w:rsidRPr="004A1D9F">
        <w:t>Propuesta de Reglamento</w:t>
      </w:r>
    </w:p>
    <w:p w:rsidR="000C5449" w:rsidRPr="004A1D9F" w:rsidRDefault="000C5449" w:rsidP="000C5449">
      <w:pPr>
        <w:pStyle w:val="NormalBold"/>
      </w:pPr>
      <w:r w:rsidRPr="004A1D9F">
        <w:t>Anexo I – párrafo 1 – punto 1 bis (nuevo)</w:t>
      </w:r>
    </w:p>
    <w:p w:rsidR="000C5449" w:rsidRPr="004A1D9F" w:rsidRDefault="000C5449" w:rsidP="000C5449">
      <w:pPr>
        <w:keepNext/>
      </w:pPr>
      <w:r w:rsidRPr="004A1D9F">
        <w:t>Reglamento (UE) 2023/956</w:t>
      </w:r>
    </w:p>
    <w:p w:rsidR="000C5449" w:rsidRPr="004A1D9F" w:rsidRDefault="000C5449" w:rsidP="000C5449">
      <w:r w:rsidRPr="004A1D9F">
        <w:t xml:space="preserve">Anexo IV – punto 3 – párrafo 1 – subpárrafo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C5449" w:rsidRPr="004A1D9F" w:rsidTr="00D01623">
        <w:trPr>
          <w:jc w:val="center"/>
        </w:trPr>
        <w:tc>
          <w:tcPr>
            <w:tcW w:w="9752" w:type="dxa"/>
            <w:gridSpan w:val="2"/>
          </w:tcPr>
          <w:p w:rsidR="000C5449" w:rsidRPr="004A1D9F" w:rsidRDefault="000C5449" w:rsidP="00D01623">
            <w:pPr>
              <w:keepNext/>
            </w:pP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Texto en vigor</w:t>
            </w: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ColumnHeading"/>
              <w:keepNext/>
              <w:rPr>
                <w:lang w:val="es-ES_tradnl"/>
              </w:rPr>
            </w:pPr>
            <w:r w:rsidRPr="004A1D9F">
              <w:rPr>
                <w:lang w:val="es-ES_tradnl"/>
              </w:rPr>
              <w:t>Enmienda</w:t>
            </w: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szCs w:val="24"/>
                <w:lang w:val="es-ES_tradnl"/>
              </w:rPr>
            </w:pPr>
            <w:r w:rsidRPr="004A1D9F">
              <w:rPr>
                <w:b/>
                <w:i/>
                <w:lang w:val="es-ES_tradnl"/>
              </w:rPr>
              <w:t>1 bis)</w:t>
            </w:r>
            <w:r w:rsidRPr="004A1D9F">
              <w:rPr>
                <w:b/>
                <w:i/>
                <w:lang w:val="es-ES_tradnl"/>
              </w:rPr>
              <w:tab/>
              <w:t xml:space="preserve">En el punto 3, en las notas que explican la fórmula para </w:t>
            </w:r>
            <w:proofErr w:type="spellStart"/>
            <w:r w:rsidRPr="004A1D9F">
              <w:rPr>
                <w:b/>
                <w:i/>
                <w:lang w:val="es-ES_tradnl"/>
              </w:rPr>
              <w:t>SEEg</w:t>
            </w:r>
            <w:proofErr w:type="spellEnd"/>
            <w:r w:rsidRPr="004A1D9F">
              <w:rPr>
                <w:b/>
                <w:i/>
                <w:lang w:val="es-ES_tradnl"/>
              </w:rPr>
              <w:t xml:space="preserve"> en el párrafo primero, la nota relativa a </w:t>
            </w:r>
            <w:proofErr w:type="spellStart"/>
            <w:r w:rsidRPr="004A1D9F">
              <w:rPr>
                <w:b/>
                <w:i/>
                <w:lang w:val="es-ES_tradnl"/>
              </w:rPr>
              <w:t>EEInpMat</w:t>
            </w:r>
            <w:proofErr w:type="spellEnd"/>
            <w:r w:rsidRPr="004A1D9F">
              <w:rPr>
                <w:b/>
                <w:i/>
                <w:lang w:val="es-ES_tradnl"/>
              </w:rPr>
              <w:t xml:space="preserve"> se sustituye por el texto siguiente:</w:t>
            </w:r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lang w:val="es-ES_tradnl"/>
              </w:rPr>
            </w:pPr>
            <w:proofErr w:type="spellStart"/>
            <w:r w:rsidRPr="004A1D9F">
              <w:rPr>
                <w:sz w:val="27"/>
                <w:shd w:val="clear" w:color="auto" w:fill="FFFFFF"/>
                <w:lang w:val="es-ES_tradnl"/>
              </w:rPr>
              <w:t>EE</w:t>
            </w:r>
            <w:r w:rsidRPr="004A1D9F">
              <w:rPr>
                <w:rStyle w:val="oj-sub"/>
                <w:sz w:val="17"/>
                <w:shd w:val="clear" w:color="auto" w:fill="FFFFFF"/>
                <w:vertAlign w:val="subscript"/>
                <w:lang w:val="es-ES_tradnl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szCs w:val="24"/>
                <w:lang w:val="es-ES_tradnl"/>
              </w:rPr>
            </w:pPr>
            <w:proofErr w:type="spellStart"/>
            <w:r w:rsidRPr="004A1D9F">
              <w:rPr>
                <w:sz w:val="27"/>
                <w:shd w:val="clear" w:color="auto" w:fill="FFFFFF"/>
                <w:lang w:val="es-ES_tradnl"/>
              </w:rPr>
              <w:t>EE</w:t>
            </w:r>
            <w:r w:rsidRPr="004A1D9F">
              <w:rPr>
                <w:rStyle w:val="oj-sub"/>
                <w:sz w:val="17"/>
                <w:shd w:val="clear" w:color="auto" w:fill="FFFFFF"/>
                <w:vertAlign w:val="subscript"/>
                <w:lang w:val="es-ES_tradnl"/>
              </w:rPr>
              <w:t>InpMat</w:t>
            </w:r>
            <w:proofErr w:type="spellEnd"/>
          </w:p>
        </w:tc>
      </w:tr>
      <w:tr w:rsidR="000C5449" w:rsidRPr="004A1D9F" w:rsidTr="00D01623">
        <w:trPr>
          <w:jc w:val="center"/>
        </w:trPr>
        <w:tc>
          <w:tcPr>
            <w:tcW w:w="4876" w:type="dxa"/>
          </w:tcPr>
          <w:p w:rsidR="000C5449" w:rsidRPr="004A1D9F" w:rsidRDefault="000C5449" w:rsidP="00D01623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  <w:lang w:val="es-ES_tradnl"/>
              </w:rPr>
            </w:pPr>
            <w:r w:rsidRPr="004A1D9F">
              <w:rPr>
                <w:lang w:val="es-ES_tradnl"/>
              </w:rPr>
              <w:t xml:space="preserve">son las emisiones implícitas de los insumos (precursores) consumidos en el proceso de producción. Únicamente se tendrán en cuenta los insumos (precursores) indicados </w:t>
            </w:r>
            <w:r w:rsidRPr="004A1D9F">
              <w:rPr>
                <w:b/>
                <w:i/>
                <w:lang w:val="es-ES_tradnl"/>
              </w:rPr>
              <w:t>como pertinentes para los límites del sistema del proceso de producción que se especifiquen en el acto de ejecución adoptado</w:t>
            </w:r>
            <w:r w:rsidRPr="004A1D9F">
              <w:rPr>
                <w:lang w:val="es-ES_tradnl"/>
              </w:rPr>
              <w:t xml:space="preserve"> en virtud del </w:t>
            </w:r>
            <w:r w:rsidRPr="004A1D9F">
              <w:rPr>
                <w:b/>
                <w:i/>
                <w:lang w:val="es-ES_tradnl"/>
              </w:rPr>
              <w:t>artículo 7, apartado 7</w:t>
            </w:r>
            <w:r w:rsidRPr="004A1D9F">
              <w:rPr>
                <w:lang w:val="es-ES_tradnl"/>
              </w:rPr>
              <w:t xml:space="preserve">. Las </w:t>
            </w:r>
            <w:proofErr w:type="spellStart"/>
            <w:r w:rsidRPr="004A1D9F">
              <w:rPr>
                <w:lang w:val="es-ES_tradnl"/>
              </w:rPr>
              <w:t>EE</w:t>
            </w:r>
            <w:r w:rsidRPr="004A1D9F">
              <w:rPr>
                <w:vertAlign w:val="subscript"/>
                <w:lang w:val="es-ES_tradnl"/>
              </w:rPr>
              <w:t>InpMat</w:t>
            </w:r>
            <w:proofErr w:type="spellEnd"/>
            <w:r w:rsidRPr="004A1D9F">
              <w:rPr>
                <w:lang w:val="es-ES_tradnl"/>
              </w:rPr>
              <w:t xml:space="preserve"> pertinentes se calculan siguiendo la ecuación siguiente:</w:t>
            </w:r>
          </w:p>
        </w:tc>
        <w:tc>
          <w:tcPr>
            <w:tcW w:w="4876" w:type="dxa"/>
          </w:tcPr>
          <w:p w:rsidR="000C5449" w:rsidRPr="004A1D9F" w:rsidRDefault="000C5449" w:rsidP="00F51990">
            <w:pPr>
              <w:pStyle w:val="Normal6"/>
              <w:rPr>
                <w:lang w:val="es-ES_tradnl"/>
              </w:rPr>
            </w:pPr>
            <w:r w:rsidRPr="004A1D9F">
              <w:rPr>
                <w:lang w:val="es-ES_tradnl"/>
              </w:rPr>
              <w:t xml:space="preserve">son las emisiones implícitas de los insumos (precursores) consumidos en el proceso de producción. Únicamente se tendrán en cuenta los insumos (precursores) indicados </w:t>
            </w:r>
            <w:r w:rsidRPr="004A1D9F">
              <w:rPr>
                <w:b/>
                <w:i/>
                <w:lang w:val="es-ES_tradnl"/>
              </w:rPr>
              <w:t>en el anexo I y originarios de terceros países y territorios que no estén exentos</w:t>
            </w:r>
            <w:r w:rsidRPr="004A1D9F">
              <w:rPr>
                <w:lang w:val="es-ES_tradnl"/>
              </w:rPr>
              <w:t xml:space="preserve"> en virtud del </w:t>
            </w:r>
            <w:r w:rsidRPr="004A1D9F">
              <w:rPr>
                <w:b/>
                <w:i/>
                <w:lang w:val="es-ES_tradnl"/>
              </w:rPr>
              <w:t xml:space="preserve">anexo III, </w:t>
            </w:r>
            <w:r w:rsidR="00F51990" w:rsidRPr="004A1D9F">
              <w:rPr>
                <w:b/>
                <w:i/>
                <w:lang w:val="es-ES_tradnl"/>
              </w:rPr>
              <w:t>punto</w:t>
            </w:r>
            <w:r w:rsidRPr="004A1D9F">
              <w:rPr>
                <w:b/>
                <w:i/>
                <w:lang w:val="es-ES_tradnl"/>
              </w:rPr>
              <w:t> 1</w:t>
            </w:r>
            <w:r w:rsidRPr="004A1D9F">
              <w:rPr>
                <w:lang w:val="es-ES_tradnl"/>
              </w:rPr>
              <w:t xml:space="preserve">. Las </w:t>
            </w:r>
            <w:proofErr w:type="spellStart"/>
            <w:r w:rsidRPr="004A1D9F">
              <w:rPr>
                <w:lang w:val="es-ES_tradnl"/>
              </w:rPr>
              <w:t>EE</w:t>
            </w:r>
            <w:r w:rsidRPr="004A1D9F">
              <w:rPr>
                <w:vertAlign w:val="subscript"/>
                <w:lang w:val="es-ES_tradnl"/>
              </w:rPr>
              <w:t>InpMat</w:t>
            </w:r>
            <w:proofErr w:type="spellEnd"/>
            <w:r w:rsidRPr="004A1D9F">
              <w:rPr>
                <w:lang w:val="es-ES_tradnl"/>
              </w:rPr>
              <w:t xml:space="preserve"> pertinentes se calculan siguiendo la ecuación siguiente:</w:t>
            </w:r>
          </w:p>
        </w:tc>
      </w:tr>
    </w:tbl>
    <w:p w:rsidR="00E365E1" w:rsidRPr="004A1D9F" w:rsidRDefault="00E365E1" w:rsidP="00E77139"/>
    <w:sectPr w:rsidR="00E365E1" w:rsidRPr="004A1D9F" w:rsidSect="002376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139" w:rsidRPr="00237636" w:rsidRDefault="00E77139">
      <w:r w:rsidRPr="00237636">
        <w:separator/>
      </w:r>
    </w:p>
  </w:endnote>
  <w:endnote w:type="continuationSeparator" w:id="0">
    <w:p w:rsidR="00E77139" w:rsidRPr="00237636" w:rsidRDefault="00E77139">
      <w:r w:rsidRPr="002376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139" w:rsidRPr="00237636" w:rsidRDefault="00E77139">
      <w:r w:rsidRPr="00237636">
        <w:separator/>
      </w:r>
    </w:p>
  </w:footnote>
  <w:footnote w:type="continuationSeparator" w:id="0">
    <w:p w:rsidR="00E77139" w:rsidRPr="00237636" w:rsidRDefault="00E77139">
      <w:r w:rsidRPr="00237636">
        <w:continuationSeparator/>
      </w:r>
    </w:p>
  </w:footnote>
  <w:footnote w:id="1">
    <w:p w:rsidR="006D626A" w:rsidRPr="004A1D9F" w:rsidRDefault="006D626A" w:rsidP="004A1D9F">
      <w:pPr>
        <w:pStyle w:val="FootnoteText"/>
        <w:ind w:left="567" w:hanging="567"/>
        <w:rPr>
          <w:lang w:val="es-ES"/>
        </w:rPr>
      </w:pPr>
      <w:r>
        <w:rPr>
          <w:rStyle w:val="FootnoteReference"/>
        </w:rPr>
        <w:footnoteRef/>
      </w:r>
      <w:r w:rsidRPr="004A1D9F">
        <w:rPr>
          <w:lang w:val="es-ES"/>
        </w:rPr>
        <w:t xml:space="preserve"> </w:t>
      </w:r>
      <w:r w:rsidRPr="004A1D9F">
        <w:rPr>
          <w:lang w:val="es-ES"/>
        </w:rPr>
        <w:tab/>
      </w:r>
      <w:r w:rsidRPr="004A1D9F">
        <w:rPr>
          <w:sz w:val="24"/>
          <w:szCs w:val="24"/>
          <w:lang w:val="es-ES_tradnl"/>
        </w:rPr>
        <w:t>De conformidad con el artículo 60, apartado 4, párrafo cuarto, del Reglamento interno, el asunto se devuelve a la comisión competente con vistas a la celebración de negociaciones interinstitucionales (A10-0</w:t>
      </w:r>
      <w:r>
        <w:rPr>
          <w:sz w:val="24"/>
          <w:szCs w:val="24"/>
          <w:lang w:val="es-ES_tradnl"/>
        </w:rPr>
        <w:t>085</w:t>
      </w:r>
      <w:r w:rsidRPr="004A1D9F">
        <w:rPr>
          <w:sz w:val="24"/>
          <w:szCs w:val="24"/>
          <w:lang w:val="es-ES_tradnl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6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ES"/>
    <w:docVar w:name="dvnumam" w:val="4"/>
    <w:docVar w:name="dvpe" w:val="773.301"/>
    <w:docVar w:name="dvrapporteur" w:val="Ponente: "/>
    <w:docVar w:name="dvstar" w:val="***I"/>
    <w:docVar w:name="dvtitre" w:val="Resolución legislativa del Parlamento Europeo, de 22 de mayo de 2025, sobre la propuesta de Reglamento del Parlamento Europeo y del Consejo por el que se modifica el Reglamento (UE) 2023/956 en lo que respecta a la simplificación y el afianzamiento del Mecanismo de Ajuste en Frontera por Carbono(COM(2025)0087 – C10-0035/2025 – 2025/0039(COD))"/>
  </w:docVars>
  <w:rsids>
    <w:rsidRoot w:val="00E77139"/>
    <w:rsid w:val="00002272"/>
    <w:rsid w:val="000213C9"/>
    <w:rsid w:val="00064002"/>
    <w:rsid w:val="000677B9"/>
    <w:rsid w:val="000831BA"/>
    <w:rsid w:val="000A42CC"/>
    <w:rsid w:val="000C5449"/>
    <w:rsid w:val="000E7DD9"/>
    <w:rsid w:val="0010095E"/>
    <w:rsid w:val="00125B37"/>
    <w:rsid w:val="00187494"/>
    <w:rsid w:val="001909A6"/>
    <w:rsid w:val="001F32AE"/>
    <w:rsid w:val="0023763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D9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2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F7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13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99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9C081-5AC3-4348-AD56-5C828B9A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C5449"/>
    <w:rPr>
      <w:b/>
    </w:rPr>
  </w:style>
  <w:style w:type="paragraph" w:customStyle="1" w:styleId="NormalHanging12a">
    <w:name w:val="NormalHanging12a"/>
    <w:basedOn w:val="Normal"/>
    <w:link w:val="NormalHanging12aChar"/>
    <w:rsid w:val="000C544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C54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C5449"/>
    <w:pPr>
      <w:spacing w:before="240"/>
    </w:pPr>
    <w:rPr>
      <w:b/>
    </w:rPr>
  </w:style>
  <w:style w:type="paragraph" w:customStyle="1" w:styleId="EPComma">
    <w:name w:val="EPComma"/>
    <w:basedOn w:val="Normal"/>
    <w:rsid w:val="000C544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C5449"/>
    <w:rPr>
      <w:b/>
      <w:sz w:val="24"/>
      <w:lang w:val="es-ES_tradnl"/>
    </w:rPr>
  </w:style>
  <w:style w:type="paragraph" w:customStyle="1" w:styleId="Normal6">
    <w:name w:val="Normal6"/>
    <w:basedOn w:val="Normal"/>
    <w:link w:val="Normal6Char"/>
    <w:rsid w:val="000C5449"/>
    <w:pPr>
      <w:spacing w:after="120"/>
    </w:pPr>
    <w:rPr>
      <w:lang w:val="es-ES"/>
    </w:rPr>
  </w:style>
  <w:style w:type="character" w:customStyle="1" w:styleId="Normal6Char">
    <w:name w:val="Normal6 Char"/>
    <w:basedOn w:val="DefaultParagraphFont"/>
    <w:link w:val="Normal6"/>
    <w:rsid w:val="000C5449"/>
    <w:rPr>
      <w:sz w:val="24"/>
      <w:lang w:val="es-ES"/>
    </w:rPr>
  </w:style>
  <w:style w:type="paragraph" w:customStyle="1" w:styleId="ColumnHeading">
    <w:name w:val="ColumnHeading"/>
    <w:basedOn w:val="Normal"/>
    <w:rsid w:val="000C5449"/>
    <w:pPr>
      <w:spacing w:after="240"/>
      <w:jc w:val="center"/>
    </w:pPr>
    <w:rPr>
      <w:i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0C5449"/>
    <w:rPr>
      <w:b/>
      <w:sz w:val="24"/>
      <w:lang w:val="es-ES_tradnl"/>
    </w:rPr>
  </w:style>
  <w:style w:type="character" w:customStyle="1" w:styleId="oj-sub">
    <w:name w:val="oj-sub"/>
    <w:rsid w:val="000C5449"/>
  </w:style>
  <w:style w:type="character" w:customStyle="1" w:styleId="NormalHanging12aChar">
    <w:name w:val="NormalHanging12a Char"/>
    <w:basedOn w:val="DefaultParagraphFont"/>
    <w:link w:val="NormalHanging12a"/>
    <w:locked/>
    <w:rsid w:val="000C5449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F5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1990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77B33-45DE-4652-917F-04C764B28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2025-05-22T13:19:00Z</dcterms:created>
  <dcterms:modified xsi:type="dcterms:W3CDTF">2025-05-22T13:19:00Z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