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64F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B64F1" w:rsidRDefault="003C0771" w:rsidP="0010095E">
            <w:pPr>
              <w:pStyle w:val="EPName"/>
            </w:pPr>
            <w:r w:rsidRPr="00FB64F1">
              <w:t>Parlement européen</w:t>
            </w:r>
          </w:p>
          <w:p w:rsidR="00751A4A" w:rsidRPr="00FB64F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64F1">
              <w:t>2024</w:t>
            </w:r>
            <w:r w:rsidR="00817416" w:rsidRPr="00FB64F1">
              <w:t>-202</w:t>
            </w:r>
            <w:r w:rsidRPr="00FB64F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B64F1" w:rsidRDefault="00187494" w:rsidP="0010095E">
            <w:pPr>
              <w:pStyle w:val="EPLogo"/>
            </w:pPr>
            <w:r w:rsidRPr="00FB64F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B64F1" w:rsidRDefault="00D058B8" w:rsidP="004C5D52">
      <w:pPr>
        <w:pStyle w:val="LineTop"/>
      </w:pPr>
    </w:p>
    <w:p w:rsidR="00680577" w:rsidRPr="00FB64F1" w:rsidRDefault="003C0771" w:rsidP="00680577">
      <w:pPr>
        <w:pStyle w:val="EPBodyTA1"/>
      </w:pPr>
      <w:r w:rsidRPr="00FB64F1">
        <w:t>TEXTES ADOPTÉS</w:t>
      </w:r>
    </w:p>
    <w:p w:rsidR="00D058B8" w:rsidRPr="00FB64F1" w:rsidRDefault="00D058B8" w:rsidP="00D058B8">
      <w:pPr>
        <w:pStyle w:val="LineBottom"/>
      </w:pPr>
    </w:p>
    <w:p w:rsidR="003C0771" w:rsidRPr="00FB64F1" w:rsidRDefault="003C0771" w:rsidP="003C0771">
      <w:pPr>
        <w:pStyle w:val="ATHeading1"/>
      </w:pPr>
      <w:bookmarkStart w:id="0" w:name="TANumber"/>
      <w:r w:rsidRPr="00FB64F1">
        <w:t>P10_</w:t>
      </w:r>
      <w:proofErr w:type="gramStart"/>
      <w:r w:rsidRPr="00FB64F1">
        <w:t>TA(</w:t>
      </w:r>
      <w:proofErr w:type="gramEnd"/>
      <w:r w:rsidRPr="00FB64F1">
        <w:t>2025)0</w:t>
      </w:r>
      <w:r w:rsidR="003516B1">
        <w:t>108</w:t>
      </w:r>
      <w:bookmarkEnd w:id="0"/>
    </w:p>
    <w:p w:rsidR="003C0771" w:rsidRPr="00FB64F1" w:rsidRDefault="00FC746B" w:rsidP="003C0771">
      <w:pPr>
        <w:pStyle w:val="ATHeading2"/>
      </w:pPr>
      <w:bookmarkStart w:id="1" w:name="title"/>
      <w:r>
        <w:t>M</w:t>
      </w:r>
      <w:r w:rsidRPr="00FC746B">
        <w:t>odification du règlement (UE) 2023/956 en ce qui concerne la simplification et le renforcement du mécanisme d’ajustement carbone aux frontière</w:t>
      </w:r>
      <w:bookmarkEnd w:id="1"/>
    </w:p>
    <w:p w:rsidR="003C0771" w:rsidRPr="00F05EFD" w:rsidRDefault="003C0771" w:rsidP="003C0771">
      <w:pPr>
        <w:rPr>
          <w:b/>
          <w:vanish/>
        </w:rPr>
      </w:pPr>
      <w:r w:rsidRPr="00F05EFD">
        <w:rPr>
          <w:b/>
        </w:rPr>
        <w:fldChar w:fldCharType="begin"/>
      </w:r>
      <w:r w:rsidRPr="00F05EFD">
        <w:rPr>
          <w:b/>
        </w:rPr>
        <w:instrText xml:space="preserve"> TC"(</w:instrText>
      </w:r>
      <w:bookmarkStart w:id="2" w:name="DocNumber"/>
      <w:r w:rsidRPr="00F05EFD">
        <w:rPr>
          <w:b/>
        </w:rPr>
        <w:instrText>A10-0085/2025</w:instrText>
      </w:r>
      <w:bookmarkEnd w:id="2"/>
      <w:r w:rsidRPr="00F05EFD">
        <w:rPr>
          <w:b/>
        </w:rPr>
        <w:instrText xml:space="preserve"> - Rapporteur: Antonio Decaro)"\l3 \n&gt; \* MERGEFORMAT </w:instrText>
      </w:r>
      <w:r w:rsidRPr="00F05EFD">
        <w:rPr>
          <w:b/>
        </w:rPr>
        <w:fldChar w:fldCharType="end"/>
      </w:r>
    </w:p>
    <w:p w:rsidR="003C0771" w:rsidRPr="00F05EFD" w:rsidRDefault="003C0771" w:rsidP="003C0771">
      <w:pPr>
        <w:rPr>
          <w:b/>
          <w:vanish/>
        </w:rPr>
      </w:pPr>
      <w:bookmarkStart w:id="3" w:name="Commission"/>
      <w:r w:rsidRPr="00F05EFD">
        <w:rPr>
          <w:b/>
          <w:vanish/>
        </w:rPr>
        <w:t>Commission de l’environnement, du climat et de la sécurité alimentaire</w:t>
      </w:r>
      <w:bookmarkEnd w:id="3"/>
    </w:p>
    <w:p w:rsidR="003C0771" w:rsidRPr="00F05EFD" w:rsidRDefault="003C0771" w:rsidP="003C0771">
      <w:pPr>
        <w:rPr>
          <w:b/>
          <w:vanish/>
        </w:rPr>
      </w:pPr>
      <w:bookmarkStart w:id="4" w:name="PE"/>
      <w:r w:rsidRPr="00F05EFD">
        <w:rPr>
          <w:b/>
          <w:vanish/>
        </w:rPr>
        <w:t>PE773.301</w:t>
      </w:r>
      <w:bookmarkEnd w:id="4"/>
    </w:p>
    <w:p w:rsidR="003C0771" w:rsidRPr="00FB64F1" w:rsidRDefault="003516B1" w:rsidP="003C0771">
      <w:pPr>
        <w:pStyle w:val="ATHeading3"/>
      </w:pPr>
      <w:bookmarkStart w:id="5" w:name="Sujet"/>
      <w:r w:rsidRPr="00F05EFD">
        <w:rPr>
          <w:lang w:eastAsia="en-GB"/>
        </w:rPr>
        <w:t>Amendements du Parlement européen, adoptés le</w:t>
      </w:r>
      <w:r w:rsidRPr="003516B1">
        <w:rPr>
          <w:b w:val="0"/>
          <w:i/>
          <w:lang w:eastAsia="en-GB"/>
        </w:rPr>
        <w:t xml:space="preserve"> </w:t>
      </w:r>
      <w:r w:rsidR="00FC746B">
        <w:t>22 mai</w:t>
      </w:r>
      <w:r w:rsidR="003C0771" w:rsidRPr="00FB64F1">
        <w:t xml:space="preserve"> 2025</w:t>
      </w:r>
      <w:r>
        <w:t>, à</w:t>
      </w:r>
      <w:r w:rsidR="003C0771" w:rsidRPr="00FB64F1">
        <w:t xml:space="preserve"> la proposition de règlement du Parlement européen et du Conseil modifiant le règlement (UE) 2023/956 en ce qui concerne la simplification et le renforcement du mécanisme d’ajustement carbone aux frontières</w:t>
      </w:r>
      <w:bookmarkEnd w:id="5"/>
      <w:r w:rsidR="003C0771" w:rsidRPr="00FB64F1">
        <w:t xml:space="preserve"> </w:t>
      </w:r>
      <w:bookmarkStart w:id="6" w:name="References"/>
      <w:r w:rsidR="003C0771" w:rsidRPr="00FB64F1">
        <w:t>(COM(2025)0087 – C10-0035/2025 – 2025/0039(COD))</w:t>
      </w:r>
      <w:bookmarkEnd w:id="6"/>
      <w:r>
        <w:rPr>
          <w:rStyle w:val="FootnoteReference"/>
        </w:rPr>
        <w:footnoteReference w:id="1"/>
      </w:r>
    </w:p>
    <w:p w:rsidR="003C0771" w:rsidRPr="00FB64F1" w:rsidRDefault="003C0771" w:rsidP="003C0771"/>
    <w:p w:rsidR="00BC557E" w:rsidRPr="00FB64F1" w:rsidRDefault="00BC557E" w:rsidP="00BC557E">
      <w:pPr>
        <w:pStyle w:val="NormalBold"/>
      </w:pPr>
      <w:bookmarkStart w:id="7" w:name="TextBodyBegin"/>
      <w:bookmarkEnd w:id="7"/>
      <w:r w:rsidRPr="00FB64F1">
        <w:t>(Procédure législative ordinaire: première lecture)</w:t>
      </w:r>
    </w:p>
    <w:p w:rsidR="00BC557E" w:rsidRPr="00FB64F1" w:rsidRDefault="00BC557E" w:rsidP="00BC557E"/>
    <w:p w:rsidR="00BC557E" w:rsidRPr="00FB64F1" w:rsidRDefault="00BC557E" w:rsidP="00BC557E">
      <w:r w:rsidRPr="00FB64F1">
        <w:rPr>
          <w:b/>
        </w:rPr>
        <w:t>Amendement</w:t>
      </w:r>
      <w:r w:rsidRPr="00FB64F1">
        <w:tab/>
      </w:r>
      <w:r w:rsidRPr="00FB64F1">
        <w:rPr>
          <w:b/>
        </w:rPr>
        <w:t>1</w:t>
      </w:r>
    </w:p>
    <w:p w:rsidR="00BC557E" w:rsidRPr="00FB64F1" w:rsidRDefault="00BC557E" w:rsidP="00BC557E">
      <w:pPr>
        <w:pStyle w:val="NormalBold12b"/>
      </w:pPr>
      <w:r w:rsidRPr="00FB64F1">
        <w:t>Proposition de règlement</w:t>
      </w:r>
    </w:p>
    <w:p w:rsidR="00BC557E" w:rsidRPr="00FB64F1" w:rsidRDefault="00BC557E" w:rsidP="00BC557E">
      <w:pPr>
        <w:pStyle w:val="NormalBold"/>
      </w:pPr>
      <w:r w:rsidRPr="00FB64F1">
        <w:t>Considérant 25 bis (nouveau)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C557E" w:rsidRPr="00FB64F1" w:rsidTr="0059779A">
        <w:trPr>
          <w:jc w:val="center"/>
        </w:trPr>
        <w:tc>
          <w:tcPr>
            <w:tcW w:w="9752" w:type="dxa"/>
            <w:gridSpan w:val="2"/>
          </w:tcPr>
          <w:p w:rsidR="00BC557E" w:rsidRPr="00FB64F1" w:rsidRDefault="00BC557E" w:rsidP="0059779A">
            <w:pPr>
              <w:keepNext/>
            </w:pPr>
          </w:p>
        </w:tc>
      </w:tr>
      <w:tr w:rsidR="00BC557E" w:rsidRPr="00FB64F1" w:rsidTr="0059779A">
        <w:trPr>
          <w:jc w:val="center"/>
        </w:trPr>
        <w:tc>
          <w:tcPr>
            <w:tcW w:w="4876" w:type="dxa"/>
          </w:tcPr>
          <w:p w:rsidR="00BC557E" w:rsidRPr="00FB64F1" w:rsidRDefault="00BC557E" w:rsidP="0059779A">
            <w:pPr>
              <w:pStyle w:val="ColumnHeading"/>
              <w:keepNext/>
            </w:pPr>
            <w:r w:rsidRPr="00FB64F1">
              <w:t>Texte proposé par la Commission</w:t>
            </w:r>
          </w:p>
        </w:tc>
        <w:tc>
          <w:tcPr>
            <w:tcW w:w="4876" w:type="dxa"/>
          </w:tcPr>
          <w:p w:rsidR="00BC557E" w:rsidRPr="00FB64F1" w:rsidRDefault="00BC557E" w:rsidP="0059779A">
            <w:pPr>
              <w:pStyle w:val="ColumnHeading"/>
              <w:keepNext/>
            </w:pPr>
            <w:r w:rsidRPr="00FB64F1">
              <w:t>Amendement</w:t>
            </w:r>
          </w:p>
        </w:tc>
      </w:tr>
      <w:tr w:rsidR="00BC557E" w:rsidRPr="00FB64F1" w:rsidTr="0059779A">
        <w:trPr>
          <w:jc w:val="center"/>
        </w:trPr>
        <w:tc>
          <w:tcPr>
            <w:tcW w:w="4876" w:type="dxa"/>
          </w:tcPr>
          <w:p w:rsidR="00BC557E" w:rsidRPr="00FB64F1" w:rsidRDefault="00BC557E" w:rsidP="0059779A">
            <w:pPr>
              <w:pStyle w:val="Normal6"/>
            </w:pPr>
          </w:p>
        </w:tc>
        <w:tc>
          <w:tcPr>
            <w:tcW w:w="4876" w:type="dxa"/>
          </w:tcPr>
          <w:p w:rsidR="00BC557E" w:rsidRPr="00FB64F1" w:rsidRDefault="00BC557E" w:rsidP="0059779A">
            <w:pPr>
              <w:pStyle w:val="Normal6"/>
              <w:rPr>
                <w:szCs w:val="24"/>
              </w:rPr>
            </w:pPr>
            <w:r w:rsidRPr="00FB64F1">
              <w:rPr>
                <w:b/>
                <w:i/>
              </w:rPr>
              <w:t>(25 bis)</w:t>
            </w:r>
            <w:r w:rsidRPr="00FB64F1">
              <w:rPr>
                <w:b/>
                <w:i/>
              </w:rPr>
              <w:tab/>
              <w:t>Le MACF s’applique aux importations d’électricité, mais ne devrait pas s’appliquer à l’électricité entièrement produite dans la zone économique exclusive d’un État membre de l’Espace économique européen et importée directement dans le territoire douanier</w:t>
            </w:r>
            <w:r w:rsidRPr="00FB64F1">
              <w:t xml:space="preserve"> </w:t>
            </w:r>
            <w:r w:rsidRPr="00FB64F1">
              <w:rPr>
                <w:b/>
                <w:i/>
              </w:rPr>
              <w:t>de l’Union;</w:t>
            </w:r>
          </w:p>
        </w:tc>
      </w:tr>
    </w:tbl>
    <w:p w:rsidR="00BC557E" w:rsidRPr="00FB64F1" w:rsidRDefault="00BC557E" w:rsidP="00BC557E">
      <w:pPr>
        <w:pStyle w:val="AmNumberTabs"/>
      </w:pPr>
      <w:bookmarkStart w:id="8" w:name="_GoBack"/>
      <w:bookmarkEnd w:id="8"/>
      <w:r w:rsidRPr="00FB64F1">
        <w:t>Amendement</w:t>
      </w:r>
      <w:r w:rsidRPr="00FB64F1">
        <w:tab/>
      </w:r>
      <w:r w:rsidRPr="00FB64F1">
        <w:tab/>
        <w:t>2</w:t>
      </w:r>
    </w:p>
    <w:p w:rsidR="00BC557E" w:rsidRPr="00FB64F1" w:rsidRDefault="00BC557E" w:rsidP="00BC557E">
      <w:pPr>
        <w:pStyle w:val="NormalBold12b"/>
      </w:pPr>
      <w:r w:rsidRPr="00FB64F1">
        <w:t>Proposition de règlement</w:t>
      </w:r>
    </w:p>
    <w:p w:rsidR="00BC557E" w:rsidRPr="00FB64F1" w:rsidRDefault="00BC557E" w:rsidP="00BC557E">
      <w:pPr>
        <w:pStyle w:val="NormalBold"/>
      </w:pPr>
      <w:r w:rsidRPr="00FB64F1">
        <w:t>Article 1 – alinéa 1 – point 1 – sous-point b bis (nouveau)</w:t>
      </w:r>
    </w:p>
    <w:p w:rsidR="00BC557E" w:rsidRPr="00FB64F1" w:rsidRDefault="00BC557E" w:rsidP="00BC557E">
      <w:pPr>
        <w:keepNext/>
      </w:pPr>
      <w:r w:rsidRPr="00FB64F1">
        <w:t>Règlement (UE) 2023/956</w:t>
      </w:r>
    </w:p>
    <w:p w:rsidR="00BC557E" w:rsidRPr="00FB64F1" w:rsidRDefault="00BC557E" w:rsidP="00BC557E">
      <w:r w:rsidRPr="00FB64F1">
        <w:t>Article 2 – paragraphe 3 ter (nouveau)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C557E" w:rsidRPr="00FB64F1" w:rsidTr="0059779A">
        <w:trPr>
          <w:jc w:val="center"/>
        </w:trPr>
        <w:tc>
          <w:tcPr>
            <w:tcW w:w="9752" w:type="dxa"/>
            <w:gridSpan w:val="2"/>
          </w:tcPr>
          <w:p w:rsidR="00BC557E" w:rsidRPr="00FB64F1" w:rsidRDefault="00BC557E" w:rsidP="0059779A">
            <w:pPr>
              <w:keepNext/>
            </w:pPr>
          </w:p>
        </w:tc>
      </w:tr>
      <w:tr w:rsidR="00BC557E" w:rsidRPr="00FB64F1" w:rsidTr="0059779A">
        <w:trPr>
          <w:jc w:val="center"/>
        </w:trPr>
        <w:tc>
          <w:tcPr>
            <w:tcW w:w="4876" w:type="dxa"/>
          </w:tcPr>
          <w:p w:rsidR="00BC557E" w:rsidRPr="00FB64F1" w:rsidRDefault="00BC557E" w:rsidP="0059779A">
            <w:pPr>
              <w:pStyle w:val="ColumnHeading"/>
              <w:keepNext/>
            </w:pPr>
            <w:r w:rsidRPr="00FB64F1">
              <w:t>Texte proposé par la Commission</w:t>
            </w:r>
          </w:p>
        </w:tc>
        <w:tc>
          <w:tcPr>
            <w:tcW w:w="4876" w:type="dxa"/>
          </w:tcPr>
          <w:p w:rsidR="00BC557E" w:rsidRPr="00FB64F1" w:rsidRDefault="00BC557E" w:rsidP="0059779A">
            <w:pPr>
              <w:pStyle w:val="ColumnHeading"/>
              <w:keepNext/>
            </w:pPr>
            <w:r w:rsidRPr="00FB64F1">
              <w:t>Amendement</w:t>
            </w:r>
          </w:p>
        </w:tc>
      </w:tr>
      <w:tr w:rsidR="00BC557E" w:rsidRPr="00FB64F1" w:rsidTr="0059779A">
        <w:trPr>
          <w:jc w:val="center"/>
        </w:trPr>
        <w:tc>
          <w:tcPr>
            <w:tcW w:w="4876" w:type="dxa"/>
          </w:tcPr>
          <w:p w:rsidR="00BC557E" w:rsidRPr="00FB64F1" w:rsidRDefault="00BC557E" w:rsidP="0059779A">
            <w:pPr>
              <w:pStyle w:val="Normal6"/>
            </w:pPr>
          </w:p>
        </w:tc>
        <w:tc>
          <w:tcPr>
            <w:tcW w:w="4876" w:type="dxa"/>
          </w:tcPr>
          <w:p w:rsidR="00BC557E" w:rsidRPr="00FB64F1" w:rsidRDefault="00BC557E" w:rsidP="0059779A">
            <w:pPr>
              <w:pStyle w:val="Normal6"/>
              <w:rPr>
                <w:szCs w:val="24"/>
              </w:rPr>
            </w:pPr>
            <w:r w:rsidRPr="00FB64F1">
              <w:rPr>
                <w:b/>
                <w:i/>
              </w:rPr>
              <w:t>b bis)</w:t>
            </w:r>
            <w:r w:rsidRPr="00FB64F1">
              <w:rPr>
                <w:b/>
                <w:i/>
              </w:rPr>
              <w:tab/>
              <w:t>le paragraphe 3 ter suivant est ajouté:</w:t>
            </w:r>
          </w:p>
        </w:tc>
      </w:tr>
      <w:tr w:rsidR="00BC557E" w:rsidRPr="00FB64F1" w:rsidTr="0059779A">
        <w:trPr>
          <w:jc w:val="center"/>
        </w:trPr>
        <w:tc>
          <w:tcPr>
            <w:tcW w:w="4876" w:type="dxa"/>
          </w:tcPr>
          <w:p w:rsidR="00BC557E" w:rsidRPr="00FB64F1" w:rsidRDefault="00BC557E" w:rsidP="0059779A">
            <w:pPr>
              <w:pStyle w:val="Normal6"/>
            </w:pPr>
          </w:p>
        </w:tc>
        <w:tc>
          <w:tcPr>
            <w:tcW w:w="4876" w:type="dxa"/>
          </w:tcPr>
          <w:p w:rsidR="00BC557E" w:rsidRPr="00FB64F1" w:rsidRDefault="00BC557E" w:rsidP="0059779A">
            <w:pPr>
              <w:pStyle w:val="Normal6"/>
              <w:rPr>
                <w:szCs w:val="24"/>
              </w:rPr>
            </w:pPr>
            <w:r w:rsidRPr="00FB64F1">
              <w:rPr>
                <w:b/>
                <w:i/>
              </w:rPr>
              <w:t>3 ter.</w:t>
            </w:r>
            <w:r w:rsidRPr="00FB64F1">
              <w:tab/>
            </w:r>
            <w:r w:rsidRPr="00FB64F1">
              <w:rPr>
                <w:b/>
                <w:i/>
              </w:rPr>
              <w:t>Par dérogation aux paragraphes 1 et 2, ce règlement ne s’applique pas à l’électricité entièrement produite exclusivement dans la zone économique exclusive d’un État membre de l’Espace économique européen et importée directement dans le territoire douanier de l’Union.</w:t>
            </w:r>
          </w:p>
        </w:tc>
      </w:tr>
    </w:tbl>
    <w:p w:rsidR="00BC557E" w:rsidRPr="00FB64F1" w:rsidRDefault="00BC557E" w:rsidP="00BC557E"/>
    <w:p w:rsidR="00BC557E" w:rsidRPr="00FB64F1" w:rsidRDefault="00BC557E" w:rsidP="00BC557E">
      <w:pPr>
        <w:pStyle w:val="AmNumberTabs"/>
      </w:pPr>
      <w:r w:rsidRPr="00FB64F1">
        <w:t>Amendement</w:t>
      </w:r>
      <w:r w:rsidRPr="00FB64F1">
        <w:tab/>
      </w:r>
      <w:r w:rsidRPr="00FB64F1">
        <w:tab/>
        <w:t>3</w:t>
      </w:r>
    </w:p>
    <w:p w:rsidR="00BC557E" w:rsidRPr="00FB64F1" w:rsidRDefault="00BC557E" w:rsidP="00BC557E">
      <w:pPr>
        <w:pStyle w:val="NormalBold12b"/>
      </w:pPr>
      <w:r w:rsidRPr="00FB64F1">
        <w:t>Proposition de règlement</w:t>
      </w:r>
    </w:p>
    <w:p w:rsidR="00BC557E" w:rsidRPr="00FB64F1" w:rsidRDefault="00BC557E" w:rsidP="00BC557E">
      <w:pPr>
        <w:pStyle w:val="NormalBold"/>
      </w:pPr>
      <w:r w:rsidRPr="00FB64F1">
        <w:t>Annexe I – alinéa 1 – point 1 bis (nouveau)</w:t>
      </w:r>
    </w:p>
    <w:p w:rsidR="00BC557E" w:rsidRPr="00FB64F1" w:rsidRDefault="00BC557E" w:rsidP="00BC557E">
      <w:pPr>
        <w:keepNext/>
      </w:pPr>
      <w:r w:rsidRPr="00FB64F1">
        <w:t>Règlement (UE) 2023/956</w:t>
      </w:r>
    </w:p>
    <w:p w:rsidR="00BC557E" w:rsidRPr="00FB64F1" w:rsidRDefault="00BC557E" w:rsidP="00BC557E">
      <w:r w:rsidRPr="00FB64F1">
        <w:t xml:space="preserve">Annexe IV – point 3 – paragraphe 1 – alinéa 5 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C557E" w:rsidRPr="00FB64F1" w:rsidTr="0059779A">
        <w:trPr>
          <w:jc w:val="center"/>
        </w:trPr>
        <w:tc>
          <w:tcPr>
            <w:tcW w:w="9752" w:type="dxa"/>
            <w:gridSpan w:val="2"/>
          </w:tcPr>
          <w:p w:rsidR="00BC557E" w:rsidRPr="00FB64F1" w:rsidRDefault="00BC557E" w:rsidP="0059779A">
            <w:pPr>
              <w:keepNext/>
            </w:pPr>
          </w:p>
        </w:tc>
      </w:tr>
      <w:tr w:rsidR="00BC557E" w:rsidRPr="00FB64F1" w:rsidTr="0059779A">
        <w:trPr>
          <w:jc w:val="center"/>
        </w:trPr>
        <w:tc>
          <w:tcPr>
            <w:tcW w:w="4876" w:type="dxa"/>
          </w:tcPr>
          <w:p w:rsidR="00BC557E" w:rsidRPr="00FB64F1" w:rsidRDefault="00BC557E" w:rsidP="0059779A">
            <w:pPr>
              <w:pStyle w:val="ColumnHeading"/>
              <w:keepNext/>
            </w:pPr>
            <w:r w:rsidRPr="00FB64F1">
              <w:t>Texte en vigueur</w:t>
            </w:r>
          </w:p>
        </w:tc>
        <w:tc>
          <w:tcPr>
            <w:tcW w:w="4876" w:type="dxa"/>
          </w:tcPr>
          <w:p w:rsidR="00BC557E" w:rsidRPr="00FB64F1" w:rsidRDefault="00BC557E" w:rsidP="0059779A">
            <w:pPr>
              <w:pStyle w:val="ColumnHeading"/>
              <w:keepNext/>
            </w:pPr>
            <w:r w:rsidRPr="00FB64F1">
              <w:t>Amendement</w:t>
            </w:r>
          </w:p>
        </w:tc>
      </w:tr>
      <w:tr w:rsidR="00BC557E" w:rsidRPr="00FB64F1" w:rsidTr="0059779A">
        <w:trPr>
          <w:jc w:val="center"/>
        </w:trPr>
        <w:tc>
          <w:tcPr>
            <w:tcW w:w="4876" w:type="dxa"/>
          </w:tcPr>
          <w:p w:rsidR="00BC557E" w:rsidRPr="00FB64F1" w:rsidRDefault="00BC557E" w:rsidP="0059779A">
            <w:pPr>
              <w:pStyle w:val="Normal6"/>
            </w:pPr>
          </w:p>
        </w:tc>
        <w:tc>
          <w:tcPr>
            <w:tcW w:w="4876" w:type="dxa"/>
          </w:tcPr>
          <w:p w:rsidR="00BC557E" w:rsidRPr="00FB64F1" w:rsidRDefault="00BC557E" w:rsidP="00FC746B">
            <w:pPr>
              <w:pStyle w:val="Normal6"/>
              <w:rPr>
                <w:szCs w:val="24"/>
              </w:rPr>
            </w:pPr>
            <w:r w:rsidRPr="00FB64F1">
              <w:rPr>
                <w:b/>
                <w:i/>
              </w:rPr>
              <w:t>1 bis)</w:t>
            </w:r>
            <w:r w:rsidRPr="00FB64F1">
              <w:rPr>
                <w:b/>
                <w:i/>
              </w:rPr>
              <w:tab/>
              <w:t>Au point 3, dans les notes expliquant la formule concernant les </w:t>
            </w:r>
            <w:proofErr w:type="spellStart"/>
            <w:r w:rsidRPr="00FB64F1">
              <w:rPr>
                <w:b/>
                <w:i/>
              </w:rPr>
              <w:t>SEE</w:t>
            </w:r>
            <w:r w:rsidRPr="00FB64F1">
              <w:rPr>
                <w:b/>
                <w:i/>
                <w:vertAlign w:val="subscript"/>
              </w:rPr>
              <w:t>g</w:t>
            </w:r>
            <w:proofErr w:type="spellEnd"/>
            <w:r w:rsidRPr="00FB64F1">
              <w:rPr>
                <w:b/>
                <w:i/>
              </w:rPr>
              <w:t xml:space="preserve"> au premier alinéa, la note concernant les </w:t>
            </w:r>
            <w:proofErr w:type="spellStart"/>
            <w:r w:rsidRPr="00FB64F1">
              <w:rPr>
                <w:b/>
                <w:i/>
              </w:rPr>
              <w:t>EE</w:t>
            </w:r>
            <w:r w:rsidRPr="00FB64F1">
              <w:rPr>
                <w:b/>
                <w:i/>
                <w:vertAlign w:val="subscript"/>
              </w:rPr>
              <w:t>I</w:t>
            </w:r>
            <w:r w:rsidR="00FC746B">
              <w:rPr>
                <w:b/>
                <w:i/>
                <w:vertAlign w:val="subscript"/>
              </w:rPr>
              <w:t>n</w:t>
            </w:r>
            <w:r w:rsidRPr="00FB64F1">
              <w:rPr>
                <w:b/>
                <w:i/>
                <w:vertAlign w:val="subscript"/>
              </w:rPr>
              <w:t>pMat</w:t>
            </w:r>
            <w:proofErr w:type="spellEnd"/>
            <w:r w:rsidRPr="00FB64F1">
              <w:rPr>
                <w:b/>
                <w:i/>
              </w:rPr>
              <w:t xml:space="preserve"> est remplacée par le texte suivant:</w:t>
            </w:r>
          </w:p>
        </w:tc>
      </w:tr>
      <w:tr w:rsidR="00BC557E" w:rsidRPr="00FB64F1" w:rsidTr="0059779A">
        <w:trPr>
          <w:jc w:val="center"/>
        </w:trPr>
        <w:tc>
          <w:tcPr>
            <w:tcW w:w="4876" w:type="dxa"/>
          </w:tcPr>
          <w:p w:rsidR="00BC557E" w:rsidRPr="00FB64F1" w:rsidRDefault="00BC557E" w:rsidP="0059779A">
            <w:pPr>
              <w:pStyle w:val="Normal6"/>
            </w:pPr>
            <w:proofErr w:type="spellStart"/>
            <w:r w:rsidRPr="00FB64F1">
              <w:rPr>
                <w:sz w:val="27"/>
                <w:shd w:val="clear" w:color="auto" w:fill="FFFFFF"/>
              </w:rPr>
              <w:t>EE</w:t>
            </w:r>
            <w:r w:rsidRPr="00FB64F1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  <w:tc>
          <w:tcPr>
            <w:tcW w:w="4876" w:type="dxa"/>
          </w:tcPr>
          <w:p w:rsidR="00BC557E" w:rsidRPr="00FB64F1" w:rsidRDefault="00BC557E" w:rsidP="0059779A">
            <w:pPr>
              <w:pStyle w:val="Normal6"/>
              <w:rPr>
                <w:szCs w:val="24"/>
              </w:rPr>
            </w:pPr>
            <w:proofErr w:type="spellStart"/>
            <w:r w:rsidRPr="00FB64F1">
              <w:rPr>
                <w:sz w:val="27"/>
                <w:shd w:val="clear" w:color="auto" w:fill="FFFFFF"/>
              </w:rPr>
              <w:t>EE</w:t>
            </w:r>
            <w:r w:rsidRPr="00FB64F1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</w:tr>
      <w:tr w:rsidR="00BC557E" w:rsidRPr="00FB64F1" w:rsidTr="0059779A">
        <w:trPr>
          <w:jc w:val="center"/>
        </w:trPr>
        <w:tc>
          <w:tcPr>
            <w:tcW w:w="4876" w:type="dxa"/>
          </w:tcPr>
          <w:p w:rsidR="00BC557E" w:rsidRPr="00FB64F1" w:rsidRDefault="00BC557E" w:rsidP="0059779A">
            <w:pPr>
              <w:pStyle w:val="Normal6"/>
              <w:rPr>
                <w:color w:val="333333"/>
                <w:sz w:val="27"/>
                <w:szCs w:val="27"/>
                <w:shd w:val="clear" w:color="auto" w:fill="FFFFFF"/>
              </w:rPr>
            </w:pPr>
            <w:proofErr w:type="gramStart"/>
            <w:r w:rsidRPr="00FB64F1">
              <w:t>représente</w:t>
            </w:r>
            <w:proofErr w:type="gramEnd"/>
            <w:r w:rsidRPr="00FB64F1">
              <w:t xml:space="preserve"> les émissions intrinsèques des matières entrantes (précurseurs) consommées au cours du processus de production. Seules les matières entrantes (précurseurs) énumérées </w:t>
            </w:r>
            <w:r w:rsidRPr="00FB64F1">
              <w:rPr>
                <w:b/>
                <w:i/>
              </w:rPr>
              <w:t>comme pertinentes pour les limites du système du processus de production spécifiées dans l’acte d’exécution adopté</w:t>
            </w:r>
            <w:r w:rsidRPr="00FB64F1">
              <w:t xml:space="preserve"> en vertu de l’article 7, paragraphe 7, doivent être prises en considération. Les </w:t>
            </w:r>
            <w:proofErr w:type="spellStart"/>
            <w:r w:rsidRPr="00FB64F1">
              <w:t>EE</w:t>
            </w:r>
            <w:r w:rsidRPr="00FB64F1">
              <w:rPr>
                <w:vertAlign w:val="subscript"/>
              </w:rPr>
              <w:t>InpMat</w:t>
            </w:r>
            <w:proofErr w:type="spellEnd"/>
            <w:r w:rsidRPr="00FB64F1">
              <w:t xml:space="preserve"> pertinentes sont calculées comme suit:</w:t>
            </w:r>
          </w:p>
        </w:tc>
        <w:tc>
          <w:tcPr>
            <w:tcW w:w="4876" w:type="dxa"/>
          </w:tcPr>
          <w:p w:rsidR="00BC557E" w:rsidRPr="00FB64F1" w:rsidRDefault="00BC557E">
            <w:pPr>
              <w:pStyle w:val="Normal6"/>
            </w:pPr>
            <w:proofErr w:type="gramStart"/>
            <w:r w:rsidRPr="00FB64F1">
              <w:t>représente</w:t>
            </w:r>
            <w:proofErr w:type="gramEnd"/>
            <w:r w:rsidRPr="00FB64F1">
              <w:t xml:space="preserve"> les émissions intrinsèques des matières entrantes (précurseurs) consommées au cours du processus de production. Seules les matières entrantes (précurseurs) énumérées </w:t>
            </w:r>
            <w:r w:rsidRPr="00FB64F1">
              <w:rPr>
                <w:b/>
                <w:i/>
              </w:rPr>
              <w:t>à l’annexe I et provenant de pays et de territoires tiers qui ne sont pas exemptés</w:t>
            </w:r>
            <w:r w:rsidRPr="00FB64F1">
              <w:t xml:space="preserve"> en vertu</w:t>
            </w:r>
            <w:r w:rsidRPr="00FB64F1">
              <w:rPr>
                <w:b/>
                <w:i/>
              </w:rPr>
              <w:t xml:space="preserve"> </w:t>
            </w:r>
            <w:r w:rsidRPr="00FB64F1">
              <w:t xml:space="preserve">de </w:t>
            </w:r>
            <w:r w:rsidRPr="00FB64F1">
              <w:rPr>
                <w:b/>
                <w:i/>
              </w:rPr>
              <w:t xml:space="preserve">l’annexe III, </w:t>
            </w:r>
            <w:r w:rsidR="00FC746B">
              <w:rPr>
                <w:b/>
                <w:i/>
              </w:rPr>
              <w:t>point</w:t>
            </w:r>
            <w:r w:rsidRPr="00FB64F1">
              <w:rPr>
                <w:b/>
                <w:i/>
              </w:rPr>
              <w:t> 1</w:t>
            </w:r>
            <w:r w:rsidRPr="00FB64F1">
              <w:t xml:space="preserve">, doivent être prises en considération. Les </w:t>
            </w:r>
            <w:proofErr w:type="spellStart"/>
            <w:r w:rsidRPr="00FB64F1">
              <w:t>EE</w:t>
            </w:r>
            <w:r w:rsidRPr="00FB64F1">
              <w:rPr>
                <w:vertAlign w:val="subscript"/>
              </w:rPr>
              <w:t>InpMat</w:t>
            </w:r>
            <w:proofErr w:type="spellEnd"/>
            <w:r w:rsidRPr="00FB64F1">
              <w:t xml:space="preserve"> pertinentes sont calculées comme suit:</w:t>
            </w:r>
          </w:p>
        </w:tc>
      </w:tr>
    </w:tbl>
    <w:p w:rsidR="00E365E1" w:rsidRPr="00FB64F1" w:rsidRDefault="00E365E1" w:rsidP="003C0771"/>
    <w:sectPr w:rsidR="00E365E1" w:rsidRPr="00FB64F1" w:rsidSect="00FB64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771" w:rsidRPr="00FB64F1" w:rsidRDefault="003C0771">
      <w:r w:rsidRPr="00FB64F1">
        <w:separator/>
      </w:r>
    </w:p>
  </w:endnote>
  <w:endnote w:type="continuationSeparator" w:id="0">
    <w:p w:rsidR="003C0771" w:rsidRPr="00FB64F1" w:rsidRDefault="003C0771">
      <w:r w:rsidRPr="00FB64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64F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64F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64F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771" w:rsidRPr="00FB64F1" w:rsidRDefault="003C0771">
      <w:r w:rsidRPr="00FB64F1">
        <w:separator/>
      </w:r>
    </w:p>
  </w:footnote>
  <w:footnote w:type="continuationSeparator" w:id="0">
    <w:p w:rsidR="003C0771" w:rsidRPr="00FB64F1" w:rsidRDefault="003C0771">
      <w:r w:rsidRPr="00FB64F1">
        <w:continuationSeparator/>
      </w:r>
    </w:p>
  </w:footnote>
  <w:footnote w:id="1">
    <w:p w:rsidR="003516B1" w:rsidRDefault="003516B1" w:rsidP="00F05EFD">
      <w:pPr>
        <w:ind w:left="567" w:hanging="567"/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0B2E43">
        <w:t xml:space="preserve">La question a été renvoyée à la commission compétente, aux fins de négociations interinstitutionnelles, conformément à l’article </w:t>
      </w:r>
      <w:r>
        <w:t>60</w:t>
      </w:r>
      <w:r w:rsidRPr="000B2E43">
        <w:t>, paragraphe 4, quatrième alinéa, du règlement intérieur (A</w:t>
      </w:r>
      <w:r>
        <w:t>10</w:t>
      </w:r>
      <w:r w:rsidRPr="000B2E43">
        <w:t>-0</w:t>
      </w:r>
      <w:r>
        <w:t>085</w:t>
      </w:r>
      <w:r w:rsidRPr="000B2E43">
        <w:t>/202</w:t>
      </w:r>
      <w:r>
        <w:t>5</w:t>
      </w:r>
      <w:r w:rsidRPr="000B2E43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64F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64F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64F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5/2025"/>
    <w:docVar w:name="dvlangue" w:val="FR"/>
    <w:docVar w:name="dvnumam" w:val="4"/>
    <w:docVar w:name="dvpe" w:val="773.301"/>
    <w:docVar w:name="dvrapporteur" w:val="Rapporteur: "/>
    <w:docVar w:name="dvstar" w:val="***I"/>
    <w:docVar w:name="dvtitre" w:val="Résolution législative du Parlement européen du ... 2025 sur la proposition de règlement du Parlement européen et du Conseil modifiant le règlement (UE) 2023/956 en ce qui concerne la simplification et le renforcement du mécanisme d’ajustement carbone aux frontières(COM(2025)0087 – C10-0035/2025 – 2025/0039(COD))"/>
  </w:docVars>
  <w:rsids>
    <w:rsidRoot w:val="003C077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16B1"/>
    <w:rsid w:val="00361C00"/>
    <w:rsid w:val="00395FA1"/>
    <w:rsid w:val="003C077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557E"/>
    <w:rsid w:val="00BD48FE"/>
    <w:rsid w:val="00BD7BD8"/>
    <w:rsid w:val="00BE6ADC"/>
    <w:rsid w:val="00C056C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5EFD"/>
    <w:rsid w:val="00F075DC"/>
    <w:rsid w:val="00F149E9"/>
    <w:rsid w:val="00F5134D"/>
    <w:rsid w:val="00F74202"/>
    <w:rsid w:val="00F863C4"/>
    <w:rsid w:val="00F87713"/>
    <w:rsid w:val="00FB4360"/>
    <w:rsid w:val="00FB64F1"/>
    <w:rsid w:val="00FC746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47B1FF-3487-4D34-B1A4-59D53186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BC557E"/>
    <w:rPr>
      <w:b/>
    </w:rPr>
  </w:style>
  <w:style w:type="paragraph" w:customStyle="1" w:styleId="NormalHanging12a">
    <w:name w:val="NormalHanging12a"/>
    <w:basedOn w:val="Normal"/>
    <w:link w:val="NormalHanging12aChar"/>
    <w:rsid w:val="00BC557E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BC557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C557E"/>
    <w:pPr>
      <w:spacing w:before="240"/>
    </w:pPr>
    <w:rPr>
      <w:b/>
    </w:rPr>
  </w:style>
  <w:style w:type="paragraph" w:customStyle="1" w:styleId="EPComma">
    <w:name w:val="EPComma"/>
    <w:basedOn w:val="Normal"/>
    <w:rsid w:val="00BC557E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BC557E"/>
    <w:rPr>
      <w:b/>
      <w:sz w:val="24"/>
      <w:lang w:val="fr-FR"/>
    </w:rPr>
  </w:style>
  <w:style w:type="paragraph" w:customStyle="1" w:styleId="Normal6">
    <w:name w:val="Normal6"/>
    <w:basedOn w:val="Normal"/>
    <w:link w:val="Normal6Char"/>
    <w:rsid w:val="00BC557E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BC557E"/>
    <w:rPr>
      <w:sz w:val="24"/>
      <w:lang w:val="fr-FR"/>
    </w:rPr>
  </w:style>
  <w:style w:type="paragraph" w:customStyle="1" w:styleId="ColumnHeading">
    <w:name w:val="ColumnHeading"/>
    <w:basedOn w:val="Normal"/>
    <w:rsid w:val="00BC557E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BC557E"/>
    <w:rPr>
      <w:b/>
      <w:sz w:val="24"/>
      <w:lang w:val="fr-FR"/>
    </w:rPr>
  </w:style>
  <w:style w:type="character" w:customStyle="1" w:styleId="oj-sub">
    <w:name w:val="oj-sub"/>
    <w:rsid w:val="00BC557E"/>
  </w:style>
  <w:style w:type="character" w:customStyle="1" w:styleId="NormalHanging12aChar">
    <w:name w:val="NormalHanging12a Char"/>
    <w:basedOn w:val="DefaultParagraphFont"/>
    <w:link w:val="NormalHanging12a"/>
    <w:locked/>
    <w:rsid w:val="00BC557E"/>
    <w:rPr>
      <w:sz w:val="24"/>
      <w:lang w:val="fr-FR"/>
    </w:rPr>
  </w:style>
  <w:style w:type="paragraph" w:styleId="BalloonText">
    <w:name w:val="Balloon Text"/>
    <w:basedOn w:val="Normal"/>
    <w:link w:val="BalloonTextChar"/>
    <w:rsid w:val="00C056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56CC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DF0E6-7B46-41BD-8FDB-FE033EA1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376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2025-05-22T11:28:00Z</dcterms:created>
  <dcterms:modified xsi:type="dcterms:W3CDTF">2025-05-22T11:28:00Z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A10-0085/2025</vt:lpwstr>
  </property>
  <property fmtid="{D5CDD505-2E9C-101B-9397-08002B2CF9AE}" pid="4" name="&lt;Type&gt;">
    <vt:lpwstr>RR</vt:lpwstr>
  </property>
</Properties>
</file>