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30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30F3" w:rsidRDefault="000B3B44" w:rsidP="0010095E">
            <w:pPr>
              <w:pStyle w:val="EPName"/>
            </w:pPr>
            <w:bookmarkStart w:id="0" w:name="_GoBack"/>
            <w:bookmarkEnd w:id="0"/>
            <w:r w:rsidRPr="004130F3">
              <w:t>Europski parlament</w:t>
            </w:r>
          </w:p>
          <w:p w:rsidR="00751A4A" w:rsidRPr="004130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30F3">
              <w:t>2024</w:t>
            </w:r>
            <w:r w:rsidR="00817416" w:rsidRPr="004130F3">
              <w:t>-202</w:t>
            </w:r>
            <w:r w:rsidRPr="004130F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30F3" w:rsidRDefault="00187494" w:rsidP="0010095E">
            <w:pPr>
              <w:pStyle w:val="EPLogo"/>
            </w:pPr>
            <w:r w:rsidRPr="004130F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30F3" w:rsidRDefault="00D058B8" w:rsidP="004C5D52">
      <w:pPr>
        <w:pStyle w:val="LineTop"/>
      </w:pPr>
    </w:p>
    <w:p w:rsidR="00680577" w:rsidRPr="004130F3" w:rsidRDefault="000B3B44" w:rsidP="00680577">
      <w:pPr>
        <w:pStyle w:val="EPBodyTA1"/>
      </w:pPr>
      <w:r w:rsidRPr="004130F3">
        <w:t>USVOJENI TEKSTOVI</w:t>
      </w:r>
    </w:p>
    <w:p w:rsidR="00D058B8" w:rsidRPr="004130F3" w:rsidRDefault="00D058B8" w:rsidP="00D058B8">
      <w:pPr>
        <w:pStyle w:val="LineBottom"/>
      </w:pPr>
    </w:p>
    <w:p w:rsidR="000B3B44" w:rsidRPr="004130F3" w:rsidRDefault="000B3B44" w:rsidP="000B3B44">
      <w:pPr>
        <w:pStyle w:val="ATHeading1"/>
      </w:pPr>
      <w:bookmarkStart w:id="1" w:name="TANumber"/>
      <w:r w:rsidRPr="004130F3">
        <w:t>P10_TA(2025)0</w:t>
      </w:r>
      <w:r w:rsidR="004130F3" w:rsidRPr="004130F3">
        <w:t>108</w:t>
      </w:r>
      <w:bookmarkEnd w:id="1"/>
    </w:p>
    <w:p w:rsidR="000B3B44" w:rsidRPr="004130F3" w:rsidRDefault="000B3B44" w:rsidP="000B3B44">
      <w:pPr>
        <w:pStyle w:val="ATHeading2"/>
      </w:pPr>
      <w:bookmarkStart w:id="2" w:name="title"/>
      <w:r w:rsidRPr="004130F3">
        <w:t>Izmjena Uredbe (EU) 2023/956 u pogledu pojednostavnjenja i jačanja mehanizma za ugljičnu prilagodbu na granicama</w:t>
      </w:r>
      <w:bookmarkEnd w:id="2"/>
    </w:p>
    <w:p w:rsidR="000B3B44" w:rsidRPr="004130F3" w:rsidRDefault="000B3B44" w:rsidP="000B3B44">
      <w:pPr>
        <w:rPr>
          <w:i/>
          <w:vanish/>
        </w:rPr>
      </w:pPr>
      <w:r w:rsidRPr="004130F3">
        <w:rPr>
          <w:i/>
        </w:rPr>
        <w:fldChar w:fldCharType="begin"/>
      </w:r>
      <w:r w:rsidRPr="004130F3">
        <w:rPr>
          <w:i/>
        </w:rPr>
        <w:instrText xml:space="preserve"> TC"(</w:instrText>
      </w:r>
      <w:bookmarkStart w:id="3" w:name="DocNumber"/>
      <w:r w:rsidRPr="004130F3">
        <w:rPr>
          <w:i/>
        </w:rPr>
        <w:instrText>A10-0085/2025</w:instrText>
      </w:r>
      <w:bookmarkEnd w:id="3"/>
      <w:r w:rsidRPr="004130F3">
        <w:rPr>
          <w:i/>
        </w:rPr>
        <w:instrText xml:space="preserve"> - Izvjestitelj: Antonio </w:instrText>
      </w:r>
      <w:proofErr w:type="spellStart"/>
      <w:r w:rsidRPr="004130F3">
        <w:rPr>
          <w:i/>
        </w:rPr>
        <w:instrText>Decaro</w:instrText>
      </w:r>
      <w:proofErr w:type="spellEnd"/>
      <w:r w:rsidRPr="004130F3">
        <w:rPr>
          <w:i/>
        </w:rPr>
        <w:instrText xml:space="preserve">)"\l3 \n&gt; \* MERGEFORMAT </w:instrText>
      </w:r>
      <w:r w:rsidRPr="004130F3">
        <w:rPr>
          <w:i/>
        </w:rPr>
        <w:fldChar w:fldCharType="end"/>
      </w:r>
    </w:p>
    <w:p w:rsidR="000B3B44" w:rsidRPr="004130F3" w:rsidRDefault="000B3B44" w:rsidP="000B3B44">
      <w:pPr>
        <w:rPr>
          <w:vanish/>
        </w:rPr>
      </w:pPr>
      <w:bookmarkStart w:id="4" w:name="Commission"/>
      <w:r w:rsidRPr="004130F3">
        <w:rPr>
          <w:vanish/>
        </w:rPr>
        <w:t>Odbor za okoliš, klimu i sigurnost hrane</w:t>
      </w:r>
      <w:bookmarkEnd w:id="4"/>
    </w:p>
    <w:p w:rsidR="000B3B44" w:rsidRPr="004130F3" w:rsidRDefault="000B3B44" w:rsidP="000B3B44">
      <w:pPr>
        <w:rPr>
          <w:vanish/>
        </w:rPr>
      </w:pPr>
      <w:bookmarkStart w:id="5" w:name="PE"/>
      <w:r w:rsidRPr="004130F3">
        <w:rPr>
          <w:vanish/>
        </w:rPr>
        <w:t>PE773.301</w:t>
      </w:r>
      <w:bookmarkEnd w:id="5"/>
    </w:p>
    <w:p w:rsidR="000B3B44" w:rsidRPr="004130F3" w:rsidRDefault="0050024F" w:rsidP="000B3B44">
      <w:pPr>
        <w:pStyle w:val="ATHeading3"/>
      </w:pPr>
      <w:bookmarkStart w:id="6" w:name="Sujet"/>
      <w:r>
        <w:t xml:space="preserve">Amandmani koje je donio </w:t>
      </w:r>
      <w:r w:rsidR="00534476" w:rsidRPr="004130F3">
        <w:t>Europsk</w:t>
      </w:r>
      <w:r>
        <w:t>i</w:t>
      </w:r>
      <w:r w:rsidR="00534476" w:rsidRPr="004130F3">
        <w:t xml:space="preserve"> parlament 22</w:t>
      </w:r>
      <w:r w:rsidR="000B3B44" w:rsidRPr="004130F3">
        <w:t xml:space="preserve">. </w:t>
      </w:r>
      <w:r w:rsidR="00534476" w:rsidRPr="004130F3">
        <w:t xml:space="preserve">svibnja </w:t>
      </w:r>
      <w:r w:rsidR="000B3B44" w:rsidRPr="004130F3">
        <w:t>2025. o Prijedlogu uredbe Europskog parlamenta i Vijeća o izmjeni Uredbe (EU) 2023/956 u pogledu pojednostavnjenja i jačanja mehanizma za ugljičnu prilagodbu na granicama</w:t>
      </w:r>
      <w:bookmarkEnd w:id="6"/>
      <w:r w:rsidR="000B3B44" w:rsidRPr="004130F3">
        <w:t xml:space="preserve"> </w:t>
      </w:r>
      <w:bookmarkStart w:id="7" w:name="References"/>
      <w:r w:rsidR="000B3B44" w:rsidRPr="004130F3">
        <w:t>(COM(2025)0087 – C10-0035/2025 – 2025/0039(COD))</w:t>
      </w:r>
      <w:bookmarkEnd w:id="7"/>
      <w:r>
        <w:rPr>
          <w:rStyle w:val="FootnoteReference"/>
        </w:rPr>
        <w:footnoteReference w:id="1"/>
      </w:r>
    </w:p>
    <w:p w:rsidR="00C42715" w:rsidRPr="004130F3" w:rsidRDefault="00C42715" w:rsidP="00C42715">
      <w:pPr>
        <w:pStyle w:val="NormalBold"/>
      </w:pPr>
      <w:r w:rsidRPr="004130F3">
        <w:t>(Redovni zakonodavni postupak: prvo čitanje)</w:t>
      </w:r>
    </w:p>
    <w:p w:rsidR="00C42715" w:rsidRPr="004130F3" w:rsidRDefault="00C42715" w:rsidP="00C42715">
      <w:pPr>
        <w:pStyle w:val="NormalHanging12a"/>
      </w:pPr>
    </w:p>
    <w:p w:rsidR="00133E33" w:rsidRPr="004130F3" w:rsidRDefault="00133E33" w:rsidP="00C42715">
      <w:pPr>
        <w:sectPr w:rsidR="00133E33" w:rsidRPr="004130F3" w:rsidSect="00B60E7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42715" w:rsidRPr="004130F3" w:rsidRDefault="00C42715" w:rsidP="00C42715"/>
    <w:p w:rsidR="00C42715" w:rsidRPr="004130F3" w:rsidRDefault="00C42715" w:rsidP="00534476">
      <w:pPr>
        <w:pStyle w:val="AmNumberTabs"/>
      </w:pPr>
      <w:r w:rsidRPr="004130F3">
        <w:t>Amandman</w:t>
      </w:r>
      <w:r w:rsidRPr="004130F3">
        <w:tab/>
      </w:r>
      <w:r w:rsidRPr="004130F3">
        <w:tab/>
        <w:t>1</w:t>
      </w:r>
    </w:p>
    <w:p w:rsidR="00C42715" w:rsidRPr="004130F3" w:rsidRDefault="00C42715" w:rsidP="00C42715">
      <w:pPr>
        <w:pStyle w:val="NormalBold12b"/>
      </w:pPr>
      <w:r w:rsidRPr="004130F3">
        <w:t>Prijedlog uredbe</w:t>
      </w:r>
    </w:p>
    <w:p w:rsidR="00C42715" w:rsidRPr="004130F3" w:rsidRDefault="00C42715" w:rsidP="00C42715">
      <w:pPr>
        <w:pStyle w:val="NormalBold"/>
      </w:pPr>
      <w:r w:rsidRPr="004130F3">
        <w:t>Uvodna izjava 25.a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2715" w:rsidRPr="004130F3" w:rsidTr="00F97F82">
        <w:trPr>
          <w:jc w:val="center"/>
        </w:trPr>
        <w:tc>
          <w:tcPr>
            <w:tcW w:w="9752" w:type="dxa"/>
            <w:gridSpan w:val="2"/>
          </w:tcPr>
          <w:p w:rsidR="00C42715" w:rsidRPr="004130F3" w:rsidRDefault="00C42715" w:rsidP="00F97F82">
            <w:pPr>
              <w:keepNext/>
            </w:pPr>
          </w:p>
        </w:tc>
      </w:tr>
      <w:tr w:rsidR="00C42715" w:rsidRPr="004130F3" w:rsidTr="00F97F82">
        <w:trPr>
          <w:jc w:val="center"/>
        </w:trPr>
        <w:tc>
          <w:tcPr>
            <w:tcW w:w="4876" w:type="dxa"/>
          </w:tcPr>
          <w:p w:rsidR="00C42715" w:rsidRPr="004130F3" w:rsidRDefault="00C42715" w:rsidP="00F97F82">
            <w:pPr>
              <w:pStyle w:val="ColumnHeading"/>
              <w:keepNext/>
            </w:pPr>
            <w:r w:rsidRPr="004130F3">
              <w:t>Tekst koji je predložila Komisija</w:t>
            </w:r>
          </w:p>
        </w:tc>
        <w:tc>
          <w:tcPr>
            <w:tcW w:w="4876" w:type="dxa"/>
          </w:tcPr>
          <w:p w:rsidR="00C42715" w:rsidRPr="004130F3" w:rsidRDefault="00C42715" w:rsidP="00F97F82">
            <w:pPr>
              <w:pStyle w:val="ColumnHeading"/>
              <w:keepNext/>
            </w:pPr>
            <w:r w:rsidRPr="004130F3">
              <w:t>Izmjena</w:t>
            </w:r>
          </w:p>
        </w:tc>
      </w:tr>
      <w:tr w:rsidR="00C42715" w:rsidRPr="004130F3" w:rsidTr="00F97F82">
        <w:trPr>
          <w:jc w:val="center"/>
        </w:trPr>
        <w:tc>
          <w:tcPr>
            <w:tcW w:w="4876" w:type="dxa"/>
          </w:tcPr>
          <w:p w:rsidR="00C42715" w:rsidRPr="004130F3" w:rsidRDefault="00C42715" w:rsidP="00F97F82">
            <w:pPr>
              <w:pStyle w:val="Normal6"/>
            </w:pPr>
          </w:p>
        </w:tc>
        <w:tc>
          <w:tcPr>
            <w:tcW w:w="4876" w:type="dxa"/>
          </w:tcPr>
          <w:p w:rsidR="00C42715" w:rsidRPr="004130F3" w:rsidRDefault="00C42715" w:rsidP="00F97F82">
            <w:pPr>
              <w:pStyle w:val="Normal6"/>
              <w:rPr>
                <w:szCs w:val="24"/>
              </w:rPr>
            </w:pPr>
            <w:r w:rsidRPr="004130F3">
              <w:rPr>
                <w:b/>
                <w:i/>
              </w:rPr>
              <w:t>(25.a)</w:t>
            </w:r>
            <w:r w:rsidRPr="004130F3">
              <w:rPr>
                <w:b/>
                <w:i/>
              </w:rPr>
              <w:tab/>
              <w:t>CBAM se primjenjuje na uvoz električne energije, ali se ne bi trebao primjenjivati na električnu energiju u cijelosti proizvedenu u isključivom gospodarskom pojasu države članice EGP-a i uvezenu izravno u carinsko područje Unije</w:t>
            </w:r>
            <w:r w:rsidR="00133E33" w:rsidRPr="004130F3">
              <w:rPr>
                <w:b/>
                <w:i/>
              </w:rPr>
              <w:t>;</w:t>
            </w:r>
          </w:p>
        </w:tc>
      </w:tr>
    </w:tbl>
    <w:p w:rsidR="00C42715" w:rsidRPr="004130F3" w:rsidRDefault="00C42715" w:rsidP="00C42715"/>
    <w:p w:rsidR="00C42715" w:rsidRPr="004130F3" w:rsidRDefault="00C42715" w:rsidP="00C42715">
      <w:pPr>
        <w:pStyle w:val="AmNumberTabs"/>
      </w:pPr>
      <w:r w:rsidRPr="004130F3">
        <w:t>Amandman</w:t>
      </w:r>
      <w:r w:rsidRPr="004130F3">
        <w:tab/>
      </w:r>
      <w:r w:rsidRPr="004130F3">
        <w:tab/>
        <w:t>2</w:t>
      </w:r>
    </w:p>
    <w:p w:rsidR="00C42715" w:rsidRPr="004130F3" w:rsidRDefault="00C42715" w:rsidP="00C42715">
      <w:pPr>
        <w:pStyle w:val="NormalBold12b"/>
      </w:pPr>
      <w:r w:rsidRPr="004130F3">
        <w:t>Prijedlog uredbe</w:t>
      </w:r>
    </w:p>
    <w:p w:rsidR="00C42715" w:rsidRPr="004130F3" w:rsidRDefault="00C42715" w:rsidP="00C42715">
      <w:pPr>
        <w:pStyle w:val="NormalBold"/>
      </w:pPr>
      <w:r w:rsidRPr="004130F3">
        <w:t xml:space="preserve">Članak 1. – stavak 1. – točka 1. – </w:t>
      </w:r>
      <w:proofErr w:type="spellStart"/>
      <w:r w:rsidRPr="004130F3">
        <w:t>podtočka</w:t>
      </w:r>
      <w:proofErr w:type="spellEnd"/>
      <w:r w:rsidRPr="004130F3">
        <w:t xml:space="preserve"> </w:t>
      </w:r>
      <w:proofErr w:type="spellStart"/>
      <w:r w:rsidRPr="004130F3">
        <w:t>ba</w:t>
      </w:r>
      <w:proofErr w:type="spellEnd"/>
      <w:r w:rsidRPr="004130F3">
        <w:t xml:space="preserve"> (nova)</w:t>
      </w:r>
    </w:p>
    <w:p w:rsidR="00C42715" w:rsidRPr="004130F3" w:rsidRDefault="00C42715" w:rsidP="00C42715">
      <w:pPr>
        <w:keepNext/>
      </w:pPr>
      <w:r w:rsidRPr="004130F3">
        <w:t>Uredba (EU) 2023/956</w:t>
      </w:r>
    </w:p>
    <w:p w:rsidR="00C42715" w:rsidRPr="004130F3" w:rsidRDefault="00C42715" w:rsidP="00C42715">
      <w:r w:rsidRPr="004130F3">
        <w:t>Članak 2. – stavak 3.b (novi)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2715" w:rsidRPr="004130F3" w:rsidTr="00F97F82">
        <w:trPr>
          <w:jc w:val="center"/>
        </w:trPr>
        <w:tc>
          <w:tcPr>
            <w:tcW w:w="9752" w:type="dxa"/>
            <w:gridSpan w:val="2"/>
          </w:tcPr>
          <w:p w:rsidR="00C42715" w:rsidRPr="004130F3" w:rsidRDefault="00C42715" w:rsidP="00F97F82">
            <w:pPr>
              <w:keepNext/>
            </w:pPr>
          </w:p>
        </w:tc>
      </w:tr>
      <w:tr w:rsidR="00C42715" w:rsidRPr="004130F3" w:rsidTr="00F97F82">
        <w:trPr>
          <w:jc w:val="center"/>
        </w:trPr>
        <w:tc>
          <w:tcPr>
            <w:tcW w:w="4876" w:type="dxa"/>
          </w:tcPr>
          <w:p w:rsidR="00C42715" w:rsidRPr="004130F3" w:rsidRDefault="00C42715" w:rsidP="00F97F82">
            <w:pPr>
              <w:pStyle w:val="ColumnHeading"/>
              <w:keepNext/>
            </w:pPr>
            <w:r w:rsidRPr="004130F3">
              <w:t>Tekst koji je predložila Komisija</w:t>
            </w:r>
          </w:p>
        </w:tc>
        <w:tc>
          <w:tcPr>
            <w:tcW w:w="4876" w:type="dxa"/>
          </w:tcPr>
          <w:p w:rsidR="00C42715" w:rsidRPr="004130F3" w:rsidRDefault="00C42715" w:rsidP="00F97F82">
            <w:pPr>
              <w:pStyle w:val="ColumnHeading"/>
              <w:keepNext/>
            </w:pPr>
            <w:r w:rsidRPr="004130F3">
              <w:t>Izmjena</w:t>
            </w:r>
          </w:p>
        </w:tc>
      </w:tr>
      <w:tr w:rsidR="00C42715" w:rsidRPr="004130F3" w:rsidTr="00F97F82">
        <w:trPr>
          <w:jc w:val="center"/>
        </w:trPr>
        <w:tc>
          <w:tcPr>
            <w:tcW w:w="4876" w:type="dxa"/>
          </w:tcPr>
          <w:p w:rsidR="00C42715" w:rsidRPr="004130F3" w:rsidRDefault="00C42715" w:rsidP="00F97F82">
            <w:pPr>
              <w:pStyle w:val="Normal6"/>
            </w:pPr>
          </w:p>
        </w:tc>
        <w:tc>
          <w:tcPr>
            <w:tcW w:w="4876" w:type="dxa"/>
          </w:tcPr>
          <w:p w:rsidR="00C42715" w:rsidRPr="004130F3" w:rsidRDefault="00C42715" w:rsidP="00F97F82">
            <w:pPr>
              <w:pStyle w:val="Normal6"/>
              <w:rPr>
                <w:szCs w:val="24"/>
              </w:rPr>
            </w:pPr>
            <w:r w:rsidRPr="004130F3">
              <w:rPr>
                <w:b/>
                <w:i/>
              </w:rPr>
              <w:t>(</w:t>
            </w:r>
            <w:proofErr w:type="spellStart"/>
            <w:r w:rsidRPr="004130F3">
              <w:rPr>
                <w:b/>
                <w:i/>
              </w:rPr>
              <w:t>ba</w:t>
            </w:r>
            <w:proofErr w:type="spellEnd"/>
            <w:r w:rsidRPr="004130F3">
              <w:rPr>
                <w:b/>
                <w:i/>
              </w:rPr>
              <w:t>)</w:t>
            </w:r>
            <w:r w:rsidRPr="004130F3">
              <w:rPr>
                <w:b/>
                <w:i/>
              </w:rPr>
              <w:tab/>
              <w:t>umeće se sljedeći stavak 3.b:</w:t>
            </w:r>
          </w:p>
        </w:tc>
      </w:tr>
      <w:tr w:rsidR="00C42715" w:rsidRPr="004130F3" w:rsidTr="00F97F82">
        <w:trPr>
          <w:jc w:val="center"/>
        </w:trPr>
        <w:tc>
          <w:tcPr>
            <w:tcW w:w="4876" w:type="dxa"/>
          </w:tcPr>
          <w:p w:rsidR="00C42715" w:rsidRPr="004130F3" w:rsidRDefault="00C42715" w:rsidP="00F97F82">
            <w:pPr>
              <w:pStyle w:val="Normal6"/>
            </w:pPr>
          </w:p>
        </w:tc>
        <w:tc>
          <w:tcPr>
            <w:tcW w:w="4876" w:type="dxa"/>
          </w:tcPr>
          <w:p w:rsidR="00C42715" w:rsidRPr="004130F3" w:rsidRDefault="00C42715" w:rsidP="00F97F82">
            <w:pPr>
              <w:pStyle w:val="Normal6"/>
              <w:rPr>
                <w:szCs w:val="24"/>
              </w:rPr>
            </w:pPr>
            <w:r w:rsidRPr="004130F3">
              <w:rPr>
                <w:b/>
                <w:i/>
              </w:rPr>
              <w:t>3.b</w:t>
            </w:r>
            <w:r w:rsidRPr="004130F3">
              <w:tab/>
            </w:r>
            <w:r w:rsidRPr="004130F3">
              <w:rPr>
                <w:b/>
                <w:i/>
              </w:rPr>
              <w:t>Odstupajući od stavaka 1. i 2., ova se Uredba ne primjenjuje na električnu energiju u cijelosti proizvedenu u isključivom gospodarskom pojasu države članice EGP-a i uvezenu izravno u carinsko područje Unije.</w:t>
            </w:r>
          </w:p>
        </w:tc>
      </w:tr>
    </w:tbl>
    <w:p w:rsidR="00C42715" w:rsidRPr="004130F3" w:rsidRDefault="00C42715" w:rsidP="00C42715"/>
    <w:p w:rsidR="00C42715" w:rsidRPr="004130F3" w:rsidRDefault="00C42715" w:rsidP="00C42715">
      <w:pPr>
        <w:pStyle w:val="AmNumberTabs"/>
      </w:pPr>
      <w:r w:rsidRPr="004130F3">
        <w:t>Amandman</w:t>
      </w:r>
      <w:r w:rsidRPr="004130F3">
        <w:tab/>
      </w:r>
      <w:r w:rsidRPr="004130F3">
        <w:tab/>
        <w:t>3</w:t>
      </w:r>
    </w:p>
    <w:p w:rsidR="00C42715" w:rsidRPr="004130F3" w:rsidRDefault="00C42715" w:rsidP="00C42715">
      <w:pPr>
        <w:pStyle w:val="NormalBold12b"/>
      </w:pPr>
      <w:r w:rsidRPr="004130F3">
        <w:t>Prijedlog uredbe</w:t>
      </w:r>
    </w:p>
    <w:p w:rsidR="00C42715" w:rsidRPr="004130F3" w:rsidRDefault="00C42715" w:rsidP="00C42715">
      <w:pPr>
        <w:pStyle w:val="NormalBold"/>
      </w:pPr>
      <w:r w:rsidRPr="004130F3">
        <w:t>Prilog I. – stavak 1. – točka 1.a (nova)</w:t>
      </w:r>
    </w:p>
    <w:p w:rsidR="00C42715" w:rsidRPr="004130F3" w:rsidRDefault="00C42715" w:rsidP="00C42715">
      <w:pPr>
        <w:keepNext/>
      </w:pPr>
      <w:r w:rsidRPr="004130F3">
        <w:t>Uredba (EU) 2023/956</w:t>
      </w:r>
    </w:p>
    <w:p w:rsidR="00C42715" w:rsidRPr="004130F3" w:rsidRDefault="00C42715" w:rsidP="00C42715">
      <w:r w:rsidRPr="004130F3">
        <w:t xml:space="preserve">Prilog IV. – točka 3. – stavak 1. – podstavak 5.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42715" w:rsidRPr="004130F3" w:rsidTr="00F97F82">
        <w:trPr>
          <w:jc w:val="center"/>
        </w:trPr>
        <w:tc>
          <w:tcPr>
            <w:tcW w:w="9752" w:type="dxa"/>
            <w:gridSpan w:val="2"/>
          </w:tcPr>
          <w:p w:rsidR="00C42715" w:rsidRPr="004130F3" w:rsidRDefault="00C42715" w:rsidP="00F97F82">
            <w:pPr>
              <w:keepNext/>
            </w:pPr>
          </w:p>
        </w:tc>
      </w:tr>
      <w:tr w:rsidR="00C42715" w:rsidRPr="004130F3" w:rsidTr="00F97F82">
        <w:trPr>
          <w:jc w:val="center"/>
        </w:trPr>
        <w:tc>
          <w:tcPr>
            <w:tcW w:w="4876" w:type="dxa"/>
          </w:tcPr>
          <w:p w:rsidR="00C42715" w:rsidRPr="004130F3" w:rsidRDefault="00C42715" w:rsidP="00F97F82">
            <w:pPr>
              <w:pStyle w:val="ColumnHeading"/>
              <w:keepNext/>
            </w:pPr>
            <w:r w:rsidRPr="004130F3">
              <w:t>Tekst na snazi</w:t>
            </w:r>
          </w:p>
        </w:tc>
        <w:tc>
          <w:tcPr>
            <w:tcW w:w="4876" w:type="dxa"/>
          </w:tcPr>
          <w:p w:rsidR="00C42715" w:rsidRPr="004130F3" w:rsidRDefault="00C42715" w:rsidP="00F97F82">
            <w:pPr>
              <w:pStyle w:val="ColumnHeading"/>
              <w:keepNext/>
            </w:pPr>
            <w:r w:rsidRPr="004130F3">
              <w:t>Izmjena</w:t>
            </w:r>
          </w:p>
        </w:tc>
      </w:tr>
      <w:tr w:rsidR="00C42715" w:rsidRPr="004130F3" w:rsidTr="00F97F82">
        <w:trPr>
          <w:jc w:val="center"/>
        </w:trPr>
        <w:tc>
          <w:tcPr>
            <w:tcW w:w="4876" w:type="dxa"/>
          </w:tcPr>
          <w:p w:rsidR="00C42715" w:rsidRPr="004130F3" w:rsidRDefault="00C42715" w:rsidP="00F97F82">
            <w:pPr>
              <w:pStyle w:val="Normal6"/>
            </w:pPr>
          </w:p>
        </w:tc>
        <w:tc>
          <w:tcPr>
            <w:tcW w:w="4876" w:type="dxa"/>
          </w:tcPr>
          <w:p w:rsidR="00C42715" w:rsidRPr="004130F3" w:rsidRDefault="00C42715" w:rsidP="00F97F82">
            <w:pPr>
              <w:pStyle w:val="Normal6"/>
              <w:rPr>
                <w:szCs w:val="24"/>
              </w:rPr>
            </w:pPr>
            <w:r w:rsidRPr="004130F3">
              <w:rPr>
                <w:b/>
                <w:i/>
              </w:rPr>
              <w:t>(1.a)</w:t>
            </w:r>
            <w:r w:rsidRPr="004130F3">
              <w:rPr>
                <w:b/>
                <w:i/>
              </w:rPr>
              <w:tab/>
              <w:t xml:space="preserve">u točki 3., u napomenama u kojima se objašnjava formula za </w:t>
            </w:r>
            <w:proofErr w:type="spellStart"/>
            <w:r w:rsidRPr="004130F3">
              <w:rPr>
                <w:b/>
                <w:i/>
              </w:rPr>
              <w:t>SEEg</w:t>
            </w:r>
            <w:proofErr w:type="spellEnd"/>
            <w:r w:rsidRPr="004130F3">
              <w:rPr>
                <w:b/>
                <w:i/>
              </w:rPr>
              <w:t xml:space="preserve"> u prvom stavku, napomena za </w:t>
            </w:r>
            <w:proofErr w:type="spellStart"/>
            <w:r w:rsidRPr="004130F3">
              <w:rPr>
                <w:b/>
                <w:i/>
              </w:rPr>
              <w:t>EEInpMat</w:t>
            </w:r>
            <w:proofErr w:type="spellEnd"/>
            <w:r w:rsidRPr="004130F3">
              <w:rPr>
                <w:b/>
                <w:i/>
              </w:rPr>
              <w:t xml:space="preserve"> zamjenjuje se sljedećim:</w:t>
            </w:r>
          </w:p>
        </w:tc>
      </w:tr>
      <w:tr w:rsidR="00C42715" w:rsidRPr="004130F3" w:rsidTr="00F97F82">
        <w:trPr>
          <w:jc w:val="center"/>
        </w:trPr>
        <w:tc>
          <w:tcPr>
            <w:tcW w:w="4876" w:type="dxa"/>
          </w:tcPr>
          <w:p w:rsidR="00C42715" w:rsidRPr="004130F3" w:rsidRDefault="00C42715" w:rsidP="00F97F82">
            <w:pPr>
              <w:pStyle w:val="Normal6"/>
            </w:pPr>
            <w:proofErr w:type="spellStart"/>
            <w:r w:rsidRPr="004130F3">
              <w:rPr>
                <w:sz w:val="27"/>
                <w:shd w:val="clear" w:color="auto" w:fill="FFFFFF"/>
              </w:rPr>
              <w:lastRenderedPageBreak/>
              <w:t>EE</w:t>
            </w:r>
            <w:r w:rsidRPr="004130F3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C42715" w:rsidRPr="004130F3" w:rsidRDefault="00C42715" w:rsidP="00F97F82">
            <w:pPr>
              <w:pStyle w:val="Normal6"/>
              <w:rPr>
                <w:szCs w:val="24"/>
              </w:rPr>
            </w:pPr>
            <w:proofErr w:type="spellStart"/>
            <w:r w:rsidRPr="004130F3">
              <w:rPr>
                <w:sz w:val="27"/>
                <w:shd w:val="clear" w:color="auto" w:fill="FFFFFF"/>
              </w:rPr>
              <w:t>EE</w:t>
            </w:r>
            <w:r w:rsidRPr="004130F3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C42715" w:rsidRPr="004130F3" w:rsidTr="00F97F82">
        <w:trPr>
          <w:jc w:val="center"/>
        </w:trPr>
        <w:tc>
          <w:tcPr>
            <w:tcW w:w="4876" w:type="dxa"/>
          </w:tcPr>
          <w:p w:rsidR="00C42715" w:rsidRPr="004130F3" w:rsidRDefault="00C42715" w:rsidP="00F97F82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4130F3">
              <w:t>su ugrađene emisije ulaznih materijala (</w:t>
            </w:r>
            <w:proofErr w:type="spellStart"/>
            <w:r w:rsidRPr="004130F3">
              <w:t>prekursora</w:t>
            </w:r>
            <w:proofErr w:type="spellEnd"/>
            <w:r w:rsidRPr="004130F3">
              <w:t>) potrošenih u procesu proizvodnje. U obzir se uzimaju samo ulazni materijali (</w:t>
            </w:r>
            <w:proofErr w:type="spellStart"/>
            <w:r w:rsidRPr="004130F3">
              <w:t>prekursori</w:t>
            </w:r>
            <w:proofErr w:type="spellEnd"/>
            <w:r w:rsidRPr="004130F3">
              <w:t xml:space="preserve">) koji su navedeni </w:t>
            </w:r>
            <w:r w:rsidRPr="004130F3">
              <w:rPr>
                <w:b/>
                <w:i/>
              </w:rPr>
              <w:t>kao relevantni za granice sustava u procesu proizvodnje kako su navedene u provedbenom aktu donesenom</w:t>
            </w:r>
            <w:r w:rsidRPr="004130F3">
              <w:t xml:space="preserve"> u skladu s </w:t>
            </w:r>
            <w:r w:rsidRPr="004130F3">
              <w:rPr>
                <w:b/>
                <w:i/>
              </w:rPr>
              <w:t>člankom 7</w:t>
            </w:r>
            <w:r w:rsidRPr="004130F3">
              <w:t xml:space="preserve">. </w:t>
            </w:r>
            <w:r w:rsidRPr="004130F3">
              <w:rPr>
                <w:b/>
                <w:i/>
              </w:rPr>
              <w:t>stavkom 7</w:t>
            </w:r>
            <w:r w:rsidRPr="004130F3">
              <w:t xml:space="preserve">. Relevantne emisije </w:t>
            </w:r>
            <w:proofErr w:type="spellStart"/>
            <w:r w:rsidRPr="004130F3">
              <w:t>EE</w:t>
            </w:r>
            <w:r w:rsidRPr="004130F3">
              <w:rPr>
                <w:vertAlign w:val="subscript"/>
              </w:rPr>
              <w:t>InpMat</w:t>
            </w:r>
            <w:proofErr w:type="spellEnd"/>
            <w:r w:rsidRPr="004130F3">
              <w:t xml:space="preserve"> izračunavaju se na sljedeći način:</w:t>
            </w:r>
          </w:p>
        </w:tc>
        <w:tc>
          <w:tcPr>
            <w:tcW w:w="4876" w:type="dxa"/>
          </w:tcPr>
          <w:p w:rsidR="00C42715" w:rsidRPr="004130F3" w:rsidRDefault="00C42715" w:rsidP="00F97F82">
            <w:pPr>
              <w:pStyle w:val="Normal6"/>
            </w:pPr>
            <w:r w:rsidRPr="004130F3">
              <w:t>su ugrađene emisije ulaznih materijala (</w:t>
            </w:r>
            <w:proofErr w:type="spellStart"/>
            <w:r w:rsidRPr="004130F3">
              <w:t>prekursora</w:t>
            </w:r>
            <w:proofErr w:type="spellEnd"/>
            <w:r w:rsidRPr="004130F3">
              <w:t>) potrošenih u procesu proizvodnje. U obzir se uzimaju samo ulazni materijali (</w:t>
            </w:r>
            <w:proofErr w:type="spellStart"/>
            <w:r w:rsidRPr="004130F3">
              <w:t>prekursori</w:t>
            </w:r>
            <w:proofErr w:type="spellEnd"/>
            <w:r w:rsidRPr="004130F3">
              <w:t xml:space="preserve">) koji su navedeni </w:t>
            </w:r>
            <w:r w:rsidRPr="004130F3">
              <w:rPr>
                <w:b/>
                <w:i/>
              </w:rPr>
              <w:t>u Prilogu I. i koji potječu iz trećih zemalja i područja koji nisu izuzeti</w:t>
            </w:r>
            <w:r w:rsidRPr="004130F3">
              <w:t xml:space="preserve"> u skladu s </w:t>
            </w:r>
            <w:r w:rsidRPr="004130F3">
              <w:rPr>
                <w:b/>
                <w:i/>
              </w:rPr>
              <w:t>Prilogom III</w:t>
            </w:r>
            <w:r w:rsidRPr="004130F3">
              <w:t xml:space="preserve">. </w:t>
            </w:r>
            <w:r w:rsidR="00133E33" w:rsidRPr="004130F3">
              <w:rPr>
                <w:b/>
                <w:i/>
              </w:rPr>
              <w:t>točkom</w:t>
            </w:r>
            <w:r w:rsidRPr="004130F3">
              <w:rPr>
                <w:b/>
                <w:i/>
              </w:rPr>
              <w:t xml:space="preserve"> 1</w:t>
            </w:r>
            <w:r w:rsidRPr="004130F3">
              <w:t xml:space="preserve">. Relevantne emisije </w:t>
            </w:r>
            <w:proofErr w:type="spellStart"/>
            <w:r w:rsidRPr="004130F3">
              <w:t>EE</w:t>
            </w:r>
            <w:r w:rsidRPr="004130F3">
              <w:rPr>
                <w:vertAlign w:val="subscript"/>
              </w:rPr>
              <w:t>InpMat</w:t>
            </w:r>
            <w:proofErr w:type="spellEnd"/>
            <w:r w:rsidRPr="004130F3">
              <w:t xml:space="preserve"> izračunavaju se na sljedeći način:</w:t>
            </w:r>
          </w:p>
        </w:tc>
      </w:tr>
    </w:tbl>
    <w:p w:rsidR="00C42715" w:rsidRPr="004130F3" w:rsidRDefault="00C42715" w:rsidP="00C42715"/>
    <w:p w:rsidR="00C42715" w:rsidRPr="004130F3" w:rsidRDefault="00C42715" w:rsidP="00C42715">
      <w:pPr>
        <w:widowControl/>
      </w:pPr>
    </w:p>
    <w:sectPr w:rsidR="00C42715" w:rsidRPr="004130F3" w:rsidSect="00B60E7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B44" w:rsidRPr="00B60E78" w:rsidRDefault="000B3B44">
      <w:r w:rsidRPr="00B60E78">
        <w:separator/>
      </w:r>
    </w:p>
  </w:endnote>
  <w:endnote w:type="continuationSeparator" w:id="0">
    <w:p w:rsidR="000B3B44" w:rsidRPr="00B60E78" w:rsidRDefault="000B3B44">
      <w:r w:rsidRPr="00B60E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E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E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E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B44" w:rsidRPr="00B60E78" w:rsidRDefault="000B3B44">
      <w:r w:rsidRPr="00B60E78">
        <w:separator/>
      </w:r>
    </w:p>
  </w:footnote>
  <w:footnote w:type="continuationSeparator" w:id="0">
    <w:p w:rsidR="000B3B44" w:rsidRPr="00B60E78" w:rsidRDefault="000B3B44">
      <w:r w:rsidRPr="00B60E78">
        <w:continuationSeparator/>
      </w:r>
    </w:p>
  </w:footnote>
  <w:footnote w:id="1">
    <w:p w:rsidR="0050024F" w:rsidRPr="00931086" w:rsidRDefault="0050024F" w:rsidP="00931086">
      <w:pPr>
        <w:pStyle w:val="FootnoteText"/>
        <w:ind w:left="567" w:hanging="567"/>
        <w:rPr>
          <w:sz w:val="24"/>
          <w:szCs w:val="24"/>
          <w:lang w:val="hr-HR"/>
        </w:rPr>
      </w:pPr>
      <w:r w:rsidRPr="00931086">
        <w:rPr>
          <w:rStyle w:val="FootnoteReference"/>
          <w:sz w:val="24"/>
          <w:szCs w:val="24"/>
        </w:rPr>
        <w:footnoteRef/>
      </w:r>
      <w:r w:rsidRPr="00931086">
        <w:rPr>
          <w:sz w:val="24"/>
          <w:szCs w:val="24"/>
        </w:rPr>
        <w:t xml:space="preserve"> </w:t>
      </w:r>
      <w:r w:rsidRPr="00931086">
        <w:rPr>
          <w:sz w:val="24"/>
          <w:szCs w:val="24"/>
          <w:lang w:val="hr-HR"/>
        </w:rPr>
        <w:tab/>
      </w:r>
      <w:r w:rsidRPr="007553C2">
        <w:rPr>
          <w:sz w:val="24"/>
          <w:szCs w:val="24"/>
          <w:lang w:val="hr-HR"/>
        </w:rPr>
        <w:t xml:space="preserve">Predmet se vraća nadležnom odboru na </w:t>
      </w:r>
      <w:proofErr w:type="spellStart"/>
      <w:r w:rsidRPr="007553C2">
        <w:rPr>
          <w:sz w:val="24"/>
          <w:szCs w:val="24"/>
          <w:lang w:val="hr-HR"/>
        </w:rPr>
        <w:t>međuinstitucijske</w:t>
      </w:r>
      <w:proofErr w:type="spellEnd"/>
      <w:r w:rsidRPr="00814596">
        <w:rPr>
          <w:sz w:val="24"/>
          <w:szCs w:val="24"/>
          <w:lang w:val="hr-HR"/>
        </w:rPr>
        <w:t xml:space="preserve"> pregovore u skladu s člankom 60</w:t>
      </w:r>
      <w:r w:rsidRPr="007553C2">
        <w:rPr>
          <w:sz w:val="24"/>
          <w:szCs w:val="24"/>
          <w:lang w:val="hr-HR"/>
        </w:rPr>
        <w:t xml:space="preserve">. stavkom 4., četvrtim podstavkom </w:t>
      </w:r>
      <w:r w:rsidRPr="00814596">
        <w:rPr>
          <w:sz w:val="24"/>
          <w:szCs w:val="24"/>
          <w:lang w:val="hr-HR"/>
        </w:rPr>
        <w:t>(A10</w:t>
      </w:r>
      <w:r>
        <w:rPr>
          <w:sz w:val="24"/>
          <w:szCs w:val="24"/>
          <w:lang w:val="hr-HR"/>
        </w:rPr>
        <w:t>-0085</w:t>
      </w:r>
      <w:r w:rsidRPr="00814596">
        <w:rPr>
          <w:sz w:val="24"/>
          <w:szCs w:val="24"/>
          <w:lang w:val="hr-HR"/>
        </w:rPr>
        <w:t>/2025</w:t>
      </w:r>
      <w:r w:rsidRPr="007553C2"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E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E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E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HR"/>
    <w:docVar w:name="dvnumam" w:val="0"/>
    <w:docVar w:name="dvpe" w:val="773.301"/>
    <w:docVar w:name="dvrapporteur" w:val="Izvjestitelj: "/>
    <w:docVar w:name="dvstar" w:val="***I"/>
    <w:docVar w:name="dvtitre" w:val="Zakonodavna rezolucija Europskog parlamenta od .... 2025. o Prijedlogu uredbe Europskog parlamenta i Vijeća o izmjeni Uredbe (EU) 2023/956 u pogledu pojednostavnjenja i jačanja mehanizma za ugljičnu prilagodbu na granicama(COM(2025)0087 – C10-0035/2025 – 2025/0039(COD))"/>
  </w:docVars>
  <w:rsids>
    <w:rsidRoot w:val="000B3B44"/>
    <w:rsid w:val="00002272"/>
    <w:rsid w:val="00064002"/>
    <w:rsid w:val="000677B9"/>
    <w:rsid w:val="000831BA"/>
    <w:rsid w:val="000A42CC"/>
    <w:rsid w:val="000B3B44"/>
    <w:rsid w:val="000E7DD9"/>
    <w:rsid w:val="0010095E"/>
    <w:rsid w:val="00125B37"/>
    <w:rsid w:val="00133E3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0F3"/>
    <w:rsid w:val="0041666E"/>
    <w:rsid w:val="00421060"/>
    <w:rsid w:val="00471C19"/>
    <w:rsid w:val="004867E3"/>
    <w:rsid w:val="00494A28"/>
    <w:rsid w:val="004C0004"/>
    <w:rsid w:val="004C5D52"/>
    <w:rsid w:val="0050024F"/>
    <w:rsid w:val="0050519A"/>
    <w:rsid w:val="005072A1"/>
    <w:rsid w:val="00514517"/>
    <w:rsid w:val="0053447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086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E78"/>
    <w:rsid w:val="00BD48FE"/>
    <w:rsid w:val="00BD7BD8"/>
    <w:rsid w:val="00BE6ADC"/>
    <w:rsid w:val="00C05BFE"/>
    <w:rsid w:val="00C23CD4"/>
    <w:rsid w:val="00C4271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F18B7-9550-4F72-A5D8-D4840E5B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4271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C42715"/>
    <w:pPr>
      <w:spacing w:after="120"/>
    </w:pPr>
  </w:style>
  <w:style w:type="paragraph" w:customStyle="1" w:styleId="PageHeading">
    <w:name w:val="PageHeading"/>
    <w:basedOn w:val="Normal"/>
    <w:rsid w:val="00C4271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42715"/>
    <w:rPr>
      <w:b/>
    </w:rPr>
  </w:style>
  <w:style w:type="paragraph" w:customStyle="1" w:styleId="NormalHanging12a">
    <w:name w:val="NormalHanging12a"/>
    <w:basedOn w:val="Normal"/>
    <w:link w:val="NormalHanging12aChar"/>
    <w:rsid w:val="00C4271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427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42715"/>
    <w:rPr>
      <w:sz w:val="24"/>
      <w:lang w:val="hr-HR"/>
    </w:rPr>
  </w:style>
  <w:style w:type="paragraph" w:customStyle="1" w:styleId="AmColumnHeading">
    <w:name w:val="AmColumnHeading"/>
    <w:basedOn w:val="Normal"/>
    <w:rsid w:val="00C4271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427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42715"/>
    <w:pPr>
      <w:spacing w:before="240"/>
    </w:pPr>
    <w:rPr>
      <w:b/>
    </w:rPr>
  </w:style>
  <w:style w:type="paragraph" w:customStyle="1" w:styleId="EPFooter">
    <w:name w:val="EPFooter"/>
    <w:basedOn w:val="Normal"/>
    <w:rsid w:val="00C4271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42715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C42715"/>
    <w:rPr>
      <w:b/>
      <w:sz w:val="24"/>
      <w:lang w:val="hr-HR"/>
    </w:rPr>
  </w:style>
  <w:style w:type="paragraph" w:customStyle="1" w:styleId="Normal6">
    <w:name w:val="Normal6"/>
    <w:basedOn w:val="Normal"/>
    <w:link w:val="Normal6Char"/>
    <w:rsid w:val="00C4271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C42715"/>
    <w:rPr>
      <w:sz w:val="24"/>
      <w:lang w:val="hr-HR"/>
    </w:rPr>
  </w:style>
  <w:style w:type="paragraph" w:customStyle="1" w:styleId="ColumnHeading">
    <w:name w:val="ColumnHeading"/>
    <w:basedOn w:val="Normal"/>
    <w:rsid w:val="00C42715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C42715"/>
    <w:rPr>
      <w:b/>
      <w:sz w:val="24"/>
      <w:lang w:val="hr-HR"/>
    </w:rPr>
  </w:style>
  <w:style w:type="character" w:customStyle="1" w:styleId="oj-sub">
    <w:name w:val="oj-sub"/>
    <w:rsid w:val="00C42715"/>
  </w:style>
  <w:style w:type="character" w:customStyle="1" w:styleId="NormalHanging12aChar">
    <w:name w:val="NormalHanging12a Char"/>
    <w:basedOn w:val="DefaultParagraphFont"/>
    <w:link w:val="NormalHanging12a"/>
    <w:locked/>
    <w:rsid w:val="00C42715"/>
    <w:rPr>
      <w:sz w:val="24"/>
      <w:lang w:val="hr-HR"/>
    </w:rPr>
  </w:style>
  <w:style w:type="paragraph" w:customStyle="1" w:styleId="Normal24a">
    <w:name w:val="Normal24a"/>
    <w:basedOn w:val="Normal"/>
    <w:rsid w:val="00C42715"/>
    <w:pPr>
      <w:spacing w:after="480"/>
    </w:pPr>
  </w:style>
  <w:style w:type="paragraph" w:customStyle="1" w:styleId="Footprint12b">
    <w:name w:val="Footprint12b"/>
    <w:basedOn w:val="Normal"/>
    <w:rsid w:val="00C42715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C42715"/>
    <w:pPr>
      <w:spacing w:after="240"/>
    </w:pPr>
  </w:style>
  <w:style w:type="paragraph" w:customStyle="1" w:styleId="PageHeadingNotTOC">
    <w:name w:val="PageHeadingNotTOC"/>
    <w:basedOn w:val="Normal"/>
    <w:rsid w:val="00C42715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Bold">
    <w:name w:val="Bold"/>
    <w:uiPriority w:val="1"/>
    <w:rsid w:val="00C42715"/>
    <w:rPr>
      <w:b/>
      <w:bCs w:val="0"/>
    </w:rPr>
  </w:style>
  <w:style w:type="character" w:styleId="Hyperlink">
    <w:name w:val="Hyperlink"/>
    <w:basedOn w:val="DefaultParagraphFont"/>
    <w:rsid w:val="00C42715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C4271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4271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4271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42715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534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34476"/>
    <w:rPr>
      <w:sz w:val="24"/>
      <w:lang w:val="hr-HR"/>
    </w:rPr>
  </w:style>
  <w:style w:type="paragraph" w:styleId="BalloonText">
    <w:name w:val="Balloon Text"/>
    <w:basedOn w:val="Normal"/>
    <w:link w:val="BalloonTextChar"/>
    <w:rsid w:val="005002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0024F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C039A-207B-437C-BBEF-A968BEF97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2025-05-22T14:01:00Z</dcterms:created>
  <dcterms:modified xsi:type="dcterms:W3CDTF">2025-05-22T14:01:00Z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