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6E72" w:rsidTr="0010095E">
        <w:trPr>
          <w:trHeight w:hRule="exact" w:val="1418"/>
        </w:trPr>
        <w:tc>
          <w:tcPr>
            <w:tcW w:w="6804" w:type="dxa"/>
            <w:shd w:val="clear" w:color="auto" w:fill="auto"/>
            <w:vAlign w:val="center"/>
          </w:tcPr>
          <w:p w:rsidR="00751A4A" w:rsidRPr="00CD6E72" w:rsidRDefault="00B41BF7" w:rsidP="0010095E">
            <w:pPr>
              <w:pStyle w:val="EPName"/>
            </w:pPr>
            <w:bookmarkStart w:id="0" w:name="_GoBack"/>
            <w:bookmarkEnd w:id="0"/>
            <w:r w:rsidRPr="00CD6E72">
              <w:t>Parlamento europeo</w:t>
            </w:r>
          </w:p>
          <w:p w:rsidR="00751A4A" w:rsidRPr="00CD6E72" w:rsidRDefault="005F1B17" w:rsidP="005F1B17">
            <w:pPr>
              <w:pStyle w:val="EPTerm"/>
              <w:rPr>
                <w:rStyle w:val="HideTWBExt"/>
                <w:noProof w:val="0"/>
                <w:vanish w:val="0"/>
                <w:color w:val="auto"/>
              </w:rPr>
            </w:pPr>
            <w:r w:rsidRPr="00CD6E72">
              <w:t>2024</w:t>
            </w:r>
            <w:r w:rsidR="00817416" w:rsidRPr="00CD6E72">
              <w:t>-202</w:t>
            </w:r>
            <w:r w:rsidRPr="00CD6E72">
              <w:t>9</w:t>
            </w:r>
          </w:p>
        </w:tc>
        <w:tc>
          <w:tcPr>
            <w:tcW w:w="2268" w:type="dxa"/>
            <w:shd w:val="clear" w:color="auto" w:fill="auto"/>
          </w:tcPr>
          <w:p w:rsidR="00751A4A" w:rsidRPr="00CD6E72" w:rsidRDefault="00187494" w:rsidP="0010095E">
            <w:pPr>
              <w:pStyle w:val="EPLogo"/>
            </w:pPr>
            <w:r w:rsidRPr="00CD6E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6E72" w:rsidRDefault="00D058B8" w:rsidP="004C5D52">
      <w:pPr>
        <w:pStyle w:val="LineTop"/>
      </w:pPr>
    </w:p>
    <w:p w:rsidR="00680577" w:rsidRPr="00CD6E72" w:rsidRDefault="00B41BF7" w:rsidP="00680577">
      <w:pPr>
        <w:pStyle w:val="EPBodyTA1"/>
      </w:pPr>
      <w:r w:rsidRPr="00CD6E72">
        <w:t>TESTI APPROVATI</w:t>
      </w:r>
    </w:p>
    <w:p w:rsidR="00D058B8" w:rsidRPr="00CD6E72" w:rsidRDefault="00D058B8" w:rsidP="00D058B8">
      <w:pPr>
        <w:pStyle w:val="LineBottom"/>
      </w:pPr>
    </w:p>
    <w:p w:rsidR="00B41BF7" w:rsidRPr="00CD6E72" w:rsidRDefault="00B41BF7" w:rsidP="00B41BF7">
      <w:pPr>
        <w:pStyle w:val="ATHeading1"/>
      </w:pPr>
      <w:bookmarkStart w:id="1" w:name="TANumber"/>
      <w:r w:rsidRPr="00CD6E72">
        <w:t>P10_</w:t>
      </w:r>
      <w:proofErr w:type="gramStart"/>
      <w:r w:rsidRPr="00CD6E72">
        <w:t>TA(</w:t>
      </w:r>
      <w:proofErr w:type="gramEnd"/>
      <w:r w:rsidRPr="00CD6E72">
        <w:t>2025)0</w:t>
      </w:r>
      <w:bookmarkEnd w:id="1"/>
      <w:r w:rsidR="00AB6398" w:rsidRPr="00CD6E72">
        <w:t>108</w:t>
      </w:r>
    </w:p>
    <w:p w:rsidR="00B41BF7" w:rsidRPr="00CD6E72" w:rsidRDefault="00B41BF7" w:rsidP="00B41BF7">
      <w:pPr>
        <w:pStyle w:val="ATHeading2"/>
      </w:pPr>
      <w:bookmarkStart w:id="2" w:name="title"/>
      <w:r w:rsidRPr="00CD6E72">
        <w:t>Modifica del regolamento (UE) 2023/956 per quanto riguarda la semplificazione e il rafforzamento del meccanismo di adeguamento del carbonio alle frontiere</w:t>
      </w:r>
      <w:bookmarkEnd w:id="2"/>
    </w:p>
    <w:p w:rsidR="00B41BF7" w:rsidRPr="00CD6E72" w:rsidRDefault="00B41BF7" w:rsidP="00B41BF7">
      <w:pPr>
        <w:rPr>
          <w:i/>
          <w:vanish/>
        </w:rPr>
      </w:pPr>
      <w:r w:rsidRPr="00CD6E72">
        <w:rPr>
          <w:i/>
        </w:rPr>
        <w:fldChar w:fldCharType="begin"/>
      </w:r>
      <w:r w:rsidRPr="00CD6E72">
        <w:rPr>
          <w:i/>
        </w:rPr>
        <w:instrText xml:space="preserve"> TC"(</w:instrText>
      </w:r>
      <w:bookmarkStart w:id="3" w:name="DocNumber"/>
      <w:r w:rsidRPr="00CD6E72">
        <w:rPr>
          <w:i/>
        </w:rPr>
        <w:instrText>A10-0085/2025</w:instrText>
      </w:r>
      <w:bookmarkEnd w:id="3"/>
      <w:r w:rsidRPr="00CD6E72">
        <w:rPr>
          <w:i/>
        </w:rPr>
        <w:instrText xml:space="preserve"> - Relatore: Antonio Decaro)"\l3 \n&gt; \* MERGEFORMAT </w:instrText>
      </w:r>
      <w:r w:rsidRPr="00CD6E72">
        <w:rPr>
          <w:i/>
        </w:rPr>
        <w:fldChar w:fldCharType="end"/>
      </w:r>
    </w:p>
    <w:p w:rsidR="00B41BF7" w:rsidRPr="00CD6E72" w:rsidRDefault="00B41BF7" w:rsidP="00B41BF7">
      <w:pPr>
        <w:rPr>
          <w:vanish/>
        </w:rPr>
      </w:pPr>
      <w:bookmarkStart w:id="4" w:name="Commission"/>
      <w:r w:rsidRPr="00CD6E72">
        <w:rPr>
          <w:vanish/>
        </w:rPr>
        <w:t>Commissione per l'ambiente, il clima e la sicurezza alimentare</w:t>
      </w:r>
      <w:bookmarkEnd w:id="4"/>
    </w:p>
    <w:p w:rsidR="00B41BF7" w:rsidRPr="00CD6E72" w:rsidRDefault="00B41BF7" w:rsidP="00B41BF7">
      <w:pPr>
        <w:rPr>
          <w:vanish/>
        </w:rPr>
      </w:pPr>
      <w:bookmarkStart w:id="5" w:name="PE"/>
      <w:r w:rsidRPr="00CD6E72">
        <w:rPr>
          <w:vanish/>
        </w:rPr>
        <w:t>PE773.301</w:t>
      </w:r>
      <w:bookmarkEnd w:id="5"/>
    </w:p>
    <w:p w:rsidR="00B41BF7" w:rsidRPr="00CD6E72" w:rsidRDefault="0082650F" w:rsidP="00B41BF7">
      <w:pPr>
        <w:pStyle w:val="ATHeading3"/>
      </w:pPr>
      <w:bookmarkStart w:id="6" w:name="Sujet"/>
      <w:r w:rsidRPr="00CD6E72">
        <w:t>Emendamenti</w:t>
      </w:r>
      <w:r w:rsidR="00B41BF7" w:rsidRPr="00CD6E72">
        <w:t xml:space="preserve"> del Parlamento europeo</w:t>
      </w:r>
      <w:r w:rsidRPr="00CD6E72">
        <w:t>, approvati i</w:t>
      </w:r>
      <w:r w:rsidR="00B41BF7" w:rsidRPr="00CD6E72">
        <w:t>l 22 maggio 2025</w:t>
      </w:r>
      <w:r w:rsidRPr="00CD6E72">
        <w:t>,</w:t>
      </w:r>
      <w:r w:rsidR="00B41BF7" w:rsidRPr="00CD6E72">
        <w:t xml:space="preserve"> </w:t>
      </w:r>
      <w:r w:rsidRPr="00CD6E72">
        <w:t>a</w:t>
      </w:r>
      <w:r w:rsidR="00B41BF7" w:rsidRPr="00CD6E72">
        <w:t>lla proposta di regolamento del Parlamento europeo e del Consiglio che modifica il regolamento (UE) 2023/956 per quanto riguarda la semplificazione e il rafforzamento del meccanismo di adeguamento del carbonio alle frontiere</w:t>
      </w:r>
      <w:bookmarkEnd w:id="6"/>
      <w:r w:rsidR="00B41BF7" w:rsidRPr="00CD6E72">
        <w:t xml:space="preserve"> </w:t>
      </w:r>
      <w:bookmarkStart w:id="7" w:name="References"/>
      <w:r w:rsidR="00B41BF7" w:rsidRPr="00CD6E72">
        <w:t>(COM(2025)0087 – C10-0035/2025 – 2025/0039(COD))</w:t>
      </w:r>
      <w:bookmarkEnd w:id="7"/>
      <w:r w:rsidRPr="00CD6E72">
        <w:rPr>
          <w:rStyle w:val="FootnoteReference"/>
          <w:b w:val="0"/>
        </w:rPr>
        <w:footnoteReference w:id="1"/>
      </w:r>
    </w:p>
    <w:p w:rsidR="008529D9" w:rsidRPr="00CD6E72" w:rsidRDefault="008529D9" w:rsidP="008529D9">
      <w:pPr>
        <w:pStyle w:val="NormalBold"/>
      </w:pPr>
      <w:r w:rsidRPr="00CD6E72">
        <w:t>(Procedura legislativa ordinaria: prima lettura)</w:t>
      </w:r>
    </w:p>
    <w:p w:rsidR="008529D9" w:rsidRPr="00CD6E72" w:rsidRDefault="008529D9" w:rsidP="008529D9">
      <w:pPr>
        <w:pStyle w:val="NormalHanging12a"/>
      </w:pPr>
    </w:p>
    <w:p w:rsidR="008B7583" w:rsidRPr="00CD6E72" w:rsidRDefault="008B7583" w:rsidP="008529D9">
      <w:pPr>
        <w:sectPr w:rsidR="008B7583" w:rsidRPr="00CD6E72" w:rsidSect="008925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529D9" w:rsidRPr="00CD6E72" w:rsidRDefault="008529D9" w:rsidP="008B7583">
      <w:pPr>
        <w:pStyle w:val="AmNumberTabs"/>
      </w:pPr>
      <w:r w:rsidRPr="00CD6E72">
        <w:lastRenderedPageBreak/>
        <w:t>Emendamento</w:t>
      </w:r>
      <w:r w:rsidRPr="00CD6E72">
        <w:tab/>
      </w:r>
      <w:r w:rsidRPr="00CD6E72">
        <w:tab/>
        <w:t>1</w:t>
      </w:r>
    </w:p>
    <w:p w:rsidR="008529D9" w:rsidRPr="00CD6E72" w:rsidRDefault="008529D9" w:rsidP="008529D9">
      <w:pPr>
        <w:pStyle w:val="NormalBold12b"/>
      </w:pPr>
      <w:r w:rsidRPr="00CD6E72">
        <w:t>Proposta di regolamento</w:t>
      </w:r>
    </w:p>
    <w:p w:rsidR="008529D9" w:rsidRPr="00CD6E72" w:rsidRDefault="008529D9" w:rsidP="008529D9">
      <w:pPr>
        <w:pStyle w:val="NormalBold"/>
      </w:pPr>
      <w:r w:rsidRPr="00CD6E72">
        <w:t>Considerando 25 bis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529D9" w:rsidRPr="00CD6E72" w:rsidTr="00064C87">
        <w:trPr>
          <w:jc w:val="center"/>
        </w:trPr>
        <w:tc>
          <w:tcPr>
            <w:tcW w:w="9752" w:type="dxa"/>
            <w:gridSpan w:val="2"/>
          </w:tcPr>
          <w:p w:rsidR="008529D9" w:rsidRPr="00CD6E72" w:rsidRDefault="008529D9" w:rsidP="00064C87">
            <w:pPr>
              <w:keepNext/>
            </w:pPr>
          </w:p>
        </w:tc>
      </w:tr>
      <w:tr w:rsidR="008529D9" w:rsidRPr="00CD6E72" w:rsidTr="00064C87">
        <w:trPr>
          <w:jc w:val="center"/>
        </w:trPr>
        <w:tc>
          <w:tcPr>
            <w:tcW w:w="4876" w:type="dxa"/>
          </w:tcPr>
          <w:p w:rsidR="008529D9" w:rsidRPr="00CD6E72" w:rsidRDefault="008529D9" w:rsidP="00064C87">
            <w:pPr>
              <w:pStyle w:val="ColumnHeading"/>
              <w:keepNext/>
              <w:rPr>
                <w:lang w:val="it-IT"/>
              </w:rPr>
            </w:pPr>
            <w:r w:rsidRPr="00CD6E72">
              <w:rPr>
                <w:lang w:val="it-IT"/>
              </w:rPr>
              <w:t>Testo della Commissione</w:t>
            </w:r>
          </w:p>
        </w:tc>
        <w:tc>
          <w:tcPr>
            <w:tcW w:w="4876" w:type="dxa"/>
          </w:tcPr>
          <w:p w:rsidR="008529D9" w:rsidRPr="00CD6E72" w:rsidRDefault="008529D9" w:rsidP="00064C87">
            <w:pPr>
              <w:pStyle w:val="ColumnHeading"/>
              <w:keepNext/>
              <w:rPr>
                <w:lang w:val="it-IT"/>
              </w:rPr>
            </w:pPr>
            <w:r w:rsidRPr="00CD6E72">
              <w:rPr>
                <w:lang w:val="it-IT"/>
              </w:rPr>
              <w:t>Emendamento</w:t>
            </w:r>
          </w:p>
        </w:tc>
      </w:tr>
      <w:tr w:rsidR="008529D9" w:rsidRPr="00CD6E72" w:rsidTr="00064C87">
        <w:trPr>
          <w:jc w:val="center"/>
        </w:trPr>
        <w:tc>
          <w:tcPr>
            <w:tcW w:w="4876" w:type="dxa"/>
          </w:tcPr>
          <w:p w:rsidR="008529D9" w:rsidRPr="00CD6E72" w:rsidRDefault="008529D9" w:rsidP="00064C87">
            <w:pPr>
              <w:pStyle w:val="Normal6"/>
              <w:rPr>
                <w:lang w:val="it-IT"/>
              </w:rPr>
            </w:pPr>
          </w:p>
        </w:tc>
        <w:tc>
          <w:tcPr>
            <w:tcW w:w="4876" w:type="dxa"/>
          </w:tcPr>
          <w:p w:rsidR="008529D9" w:rsidRPr="00CD6E72" w:rsidRDefault="008529D9" w:rsidP="00064C87">
            <w:pPr>
              <w:pStyle w:val="Normal6"/>
              <w:rPr>
                <w:szCs w:val="24"/>
                <w:lang w:val="it-IT"/>
              </w:rPr>
            </w:pPr>
            <w:r w:rsidRPr="00CD6E72">
              <w:rPr>
                <w:b/>
                <w:i/>
                <w:lang w:val="it-IT"/>
              </w:rPr>
              <w:t>(25 bis)</w:t>
            </w:r>
            <w:r w:rsidRPr="00CD6E72">
              <w:rPr>
                <w:b/>
                <w:i/>
                <w:lang w:val="it-IT"/>
              </w:rPr>
              <w:tab/>
              <w:t>Il CBAM si applica all'importazione di energia elettrica, ma non dovrebbe applicarsi all'energia elettrica generata interamente nella zona economica esclusiva di uno Stato membro del SEE e importata direttamente nel territorio doganale dell'Unione.</w:t>
            </w:r>
          </w:p>
        </w:tc>
      </w:tr>
    </w:tbl>
    <w:p w:rsidR="008529D9" w:rsidRPr="00CD6E72" w:rsidRDefault="008529D9" w:rsidP="008529D9"/>
    <w:p w:rsidR="008529D9" w:rsidRPr="00CD6E72" w:rsidRDefault="008529D9" w:rsidP="008529D9">
      <w:pPr>
        <w:pStyle w:val="AmNumberTabs"/>
      </w:pPr>
      <w:r w:rsidRPr="00CD6E72">
        <w:t>Emendamento</w:t>
      </w:r>
      <w:r w:rsidRPr="00CD6E72">
        <w:tab/>
      </w:r>
      <w:r w:rsidRPr="00CD6E72">
        <w:tab/>
        <w:t>2</w:t>
      </w:r>
    </w:p>
    <w:p w:rsidR="008529D9" w:rsidRPr="00CD6E72" w:rsidRDefault="008529D9" w:rsidP="008529D9">
      <w:pPr>
        <w:pStyle w:val="NormalBold12b"/>
      </w:pPr>
      <w:r w:rsidRPr="00CD6E72">
        <w:t>Proposta di regolamento</w:t>
      </w:r>
    </w:p>
    <w:p w:rsidR="008529D9" w:rsidRPr="00CD6E72" w:rsidRDefault="008529D9" w:rsidP="008529D9">
      <w:pPr>
        <w:pStyle w:val="NormalBold"/>
      </w:pPr>
      <w:r w:rsidRPr="00CD6E72">
        <w:t>Articolo 1 – punto 1 – lettera b bis (nuova)</w:t>
      </w:r>
    </w:p>
    <w:p w:rsidR="008529D9" w:rsidRPr="00CD6E72" w:rsidRDefault="008529D9" w:rsidP="008529D9">
      <w:pPr>
        <w:keepNext/>
      </w:pPr>
      <w:r w:rsidRPr="00CD6E72">
        <w:t>Regolamento (UE) 2023/956</w:t>
      </w:r>
    </w:p>
    <w:p w:rsidR="008529D9" w:rsidRPr="00CD6E72" w:rsidRDefault="008529D9" w:rsidP="008529D9">
      <w:r w:rsidRPr="00CD6E72">
        <w:t>Articolo 2 – paragrafo 3 ter (nuovo)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529D9" w:rsidRPr="00CD6E72" w:rsidTr="00064C87">
        <w:trPr>
          <w:jc w:val="center"/>
        </w:trPr>
        <w:tc>
          <w:tcPr>
            <w:tcW w:w="9752" w:type="dxa"/>
            <w:gridSpan w:val="2"/>
          </w:tcPr>
          <w:p w:rsidR="008529D9" w:rsidRPr="00CD6E72" w:rsidRDefault="008529D9" w:rsidP="00064C87">
            <w:pPr>
              <w:keepNext/>
            </w:pPr>
          </w:p>
        </w:tc>
      </w:tr>
      <w:tr w:rsidR="008529D9" w:rsidRPr="00CD6E72" w:rsidTr="00064C87">
        <w:trPr>
          <w:jc w:val="center"/>
        </w:trPr>
        <w:tc>
          <w:tcPr>
            <w:tcW w:w="4876" w:type="dxa"/>
          </w:tcPr>
          <w:p w:rsidR="008529D9" w:rsidRPr="00CD6E72" w:rsidRDefault="008529D9" w:rsidP="00064C87">
            <w:pPr>
              <w:pStyle w:val="ColumnHeading"/>
              <w:keepNext/>
              <w:rPr>
                <w:lang w:val="it-IT"/>
              </w:rPr>
            </w:pPr>
            <w:r w:rsidRPr="00CD6E72">
              <w:rPr>
                <w:lang w:val="it-IT"/>
              </w:rPr>
              <w:t>Testo della Commissione</w:t>
            </w:r>
          </w:p>
        </w:tc>
        <w:tc>
          <w:tcPr>
            <w:tcW w:w="4876" w:type="dxa"/>
          </w:tcPr>
          <w:p w:rsidR="008529D9" w:rsidRPr="00CD6E72" w:rsidRDefault="008529D9" w:rsidP="00064C87">
            <w:pPr>
              <w:pStyle w:val="ColumnHeading"/>
              <w:keepNext/>
              <w:rPr>
                <w:lang w:val="it-IT"/>
              </w:rPr>
            </w:pPr>
            <w:r w:rsidRPr="00CD6E72">
              <w:rPr>
                <w:lang w:val="it-IT"/>
              </w:rPr>
              <w:t>Emendamento</w:t>
            </w:r>
          </w:p>
        </w:tc>
      </w:tr>
      <w:tr w:rsidR="008529D9" w:rsidRPr="00CD6E72" w:rsidTr="00064C87">
        <w:trPr>
          <w:jc w:val="center"/>
        </w:trPr>
        <w:tc>
          <w:tcPr>
            <w:tcW w:w="4876" w:type="dxa"/>
          </w:tcPr>
          <w:p w:rsidR="008529D9" w:rsidRPr="00CD6E72" w:rsidRDefault="008529D9" w:rsidP="00064C87">
            <w:pPr>
              <w:pStyle w:val="Normal6"/>
              <w:rPr>
                <w:lang w:val="it-IT"/>
              </w:rPr>
            </w:pPr>
          </w:p>
        </w:tc>
        <w:tc>
          <w:tcPr>
            <w:tcW w:w="4876" w:type="dxa"/>
          </w:tcPr>
          <w:p w:rsidR="008529D9" w:rsidRPr="00CD6E72" w:rsidRDefault="008529D9" w:rsidP="00064C87">
            <w:pPr>
              <w:pStyle w:val="Normal6"/>
              <w:rPr>
                <w:szCs w:val="24"/>
                <w:lang w:val="it-IT"/>
              </w:rPr>
            </w:pPr>
            <w:r w:rsidRPr="00CD6E72">
              <w:rPr>
                <w:b/>
                <w:i/>
                <w:lang w:val="it-IT"/>
              </w:rPr>
              <w:t>b bis)</w:t>
            </w:r>
            <w:r w:rsidRPr="00CD6E72">
              <w:rPr>
                <w:b/>
                <w:i/>
                <w:lang w:val="it-IT"/>
              </w:rPr>
              <w:tab/>
              <w:t>è inserito il seguente paragrafo 3 ter:</w:t>
            </w:r>
          </w:p>
        </w:tc>
      </w:tr>
      <w:tr w:rsidR="008529D9" w:rsidRPr="00CD6E72" w:rsidTr="00064C87">
        <w:trPr>
          <w:jc w:val="center"/>
        </w:trPr>
        <w:tc>
          <w:tcPr>
            <w:tcW w:w="4876" w:type="dxa"/>
          </w:tcPr>
          <w:p w:rsidR="008529D9" w:rsidRPr="00CD6E72" w:rsidRDefault="008529D9" w:rsidP="00064C87">
            <w:pPr>
              <w:pStyle w:val="Normal6"/>
              <w:rPr>
                <w:lang w:val="it-IT"/>
              </w:rPr>
            </w:pPr>
          </w:p>
        </w:tc>
        <w:tc>
          <w:tcPr>
            <w:tcW w:w="4876" w:type="dxa"/>
          </w:tcPr>
          <w:p w:rsidR="008529D9" w:rsidRPr="00CD6E72" w:rsidRDefault="008529D9" w:rsidP="00064C87">
            <w:pPr>
              <w:pStyle w:val="Normal6"/>
              <w:rPr>
                <w:szCs w:val="24"/>
                <w:lang w:val="it-IT"/>
              </w:rPr>
            </w:pPr>
            <w:r w:rsidRPr="00CD6E72">
              <w:rPr>
                <w:b/>
                <w:i/>
                <w:lang w:val="it-IT"/>
              </w:rPr>
              <w:t>3 ter.</w:t>
            </w:r>
            <w:r w:rsidRPr="00CD6E72">
              <w:rPr>
                <w:lang w:val="it-IT"/>
              </w:rPr>
              <w:tab/>
            </w:r>
            <w:r w:rsidRPr="00CD6E72">
              <w:rPr>
                <w:b/>
                <w:i/>
                <w:lang w:val="it-IT"/>
              </w:rPr>
              <w:t>In deroga ai paragrafi 1 e 2 il presente regolamento non si applica all'energia elettrica generata interamente nella zona economica esclusiva di uno Stato membro del SEE e importata direttamente nel territorio doganale dell'Unione.</w:t>
            </w:r>
          </w:p>
        </w:tc>
      </w:tr>
    </w:tbl>
    <w:p w:rsidR="008529D9" w:rsidRPr="00CD6E72" w:rsidRDefault="008529D9" w:rsidP="008529D9"/>
    <w:p w:rsidR="008529D9" w:rsidRPr="00CD6E72" w:rsidRDefault="008529D9" w:rsidP="008529D9">
      <w:pPr>
        <w:pStyle w:val="AmNumberTabs"/>
      </w:pPr>
      <w:r w:rsidRPr="00CD6E72">
        <w:t>Emendamento</w:t>
      </w:r>
      <w:r w:rsidRPr="00CD6E72">
        <w:tab/>
      </w:r>
      <w:r w:rsidRPr="00CD6E72">
        <w:tab/>
        <w:t>3</w:t>
      </w:r>
    </w:p>
    <w:p w:rsidR="008529D9" w:rsidRPr="00CD6E72" w:rsidRDefault="008529D9" w:rsidP="008529D9">
      <w:pPr>
        <w:pStyle w:val="NormalBold12b"/>
      </w:pPr>
      <w:r w:rsidRPr="00CD6E72">
        <w:t>Proposta di regolamento</w:t>
      </w:r>
    </w:p>
    <w:p w:rsidR="008529D9" w:rsidRPr="00CD6E72" w:rsidRDefault="008529D9" w:rsidP="008529D9">
      <w:pPr>
        <w:pStyle w:val="NormalBold"/>
      </w:pPr>
      <w:r w:rsidRPr="00CD6E72">
        <w:t>Allegato I – punto 1 bis (nuovo)</w:t>
      </w:r>
    </w:p>
    <w:p w:rsidR="008529D9" w:rsidRPr="00CD6E72" w:rsidRDefault="008529D9" w:rsidP="008529D9">
      <w:pPr>
        <w:keepNext/>
      </w:pPr>
      <w:r w:rsidRPr="00CD6E72">
        <w:t>Regolamento (UE) 2023/956</w:t>
      </w:r>
    </w:p>
    <w:p w:rsidR="008529D9" w:rsidRPr="00CD6E72" w:rsidRDefault="008529D9" w:rsidP="008529D9">
      <w:r w:rsidRPr="00CD6E72">
        <w:t xml:space="preserve">Allegato IV – punto 3 – comma 5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529D9" w:rsidRPr="00CD6E72" w:rsidTr="00064C87">
        <w:trPr>
          <w:jc w:val="center"/>
        </w:trPr>
        <w:tc>
          <w:tcPr>
            <w:tcW w:w="9752" w:type="dxa"/>
            <w:gridSpan w:val="2"/>
          </w:tcPr>
          <w:p w:rsidR="008529D9" w:rsidRPr="00CD6E72" w:rsidRDefault="008529D9" w:rsidP="00064C87">
            <w:pPr>
              <w:keepNext/>
            </w:pPr>
          </w:p>
        </w:tc>
      </w:tr>
      <w:tr w:rsidR="008529D9" w:rsidRPr="00CD6E72" w:rsidTr="00064C87">
        <w:trPr>
          <w:jc w:val="center"/>
        </w:trPr>
        <w:tc>
          <w:tcPr>
            <w:tcW w:w="4876" w:type="dxa"/>
          </w:tcPr>
          <w:p w:rsidR="008529D9" w:rsidRPr="00CD6E72" w:rsidRDefault="008529D9" w:rsidP="00064C87">
            <w:pPr>
              <w:pStyle w:val="ColumnHeading"/>
              <w:keepNext/>
              <w:rPr>
                <w:lang w:val="it-IT"/>
              </w:rPr>
            </w:pPr>
            <w:r w:rsidRPr="00CD6E72">
              <w:rPr>
                <w:lang w:val="it-IT"/>
              </w:rPr>
              <w:t>Testo in vigore</w:t>
            </w:r>
          </w:p>
        </w:tc>
        <w:tc>
          <w:tcPr>
            <w:tcW w:w="4876" w:type="dxa"/>
          </w:tcPr>
          <w:p w:rsidR="008529D9" w:rsidRPr="00CD6E72" w:rsidRDefault="008529D9" w:rsidP="00064C87">
            <w:pPr>
              <w:pStyle w:val="ColumnHeading"/>
              <w:keepNext/>
              <w:rPr>
                <w:lang w:val="it-IT"/>
              </w:rPr>
            </w:pPr>
            <w:r w:rsidRPr="00CD6E72">
              <w:rPr>
                <w:lang w:val="it-IT"/>
              </w:rPr>
              <w:t>Emendamento</w:t>
            </w:r>
          </w:p>
        </w:tc>
      </w:tr>
      <w:tr w:rsidR="008529D9" w:rsidRPr="00CD6E72" w:rsidTr="00064C87">
        <w:trPr>
          <w:jc w:val="center"/>
        </w:trPr>
        <w:tc>
          <w:tcPr>
            <w:tcW w:w="4876" w:type="dxa"/>
          </w:tcPr>
          <w:p w:rsidR="008529D9" w:rsidRPr="00CD6E72" w:rsidRDefault="008529D9" w:rsidP="00064C87">
            <w:pPr>
              <w:pStyle w:val="Normal6"/>
              <w:rPr>
                <w:lang w:val="it-IT"/>
              </w:rPr>
            </w:pPr>
          </w:p>
        </w:tc>
        <w:tc>
          <w:tcPr>
            <w:tcW w:w="4876" w:type="dxa"/>
          </w:tcPr>
          <w:p w:rsidR="008529D9" w:rsidRPr="00CD6E72" w:rsidRDefault="008529D9" w:rsidP="00064C87">
            <w:pPr>
              <w:pStyle w:val="Normal6"/>
              <w:rPr>
                <w:szCs w:val="24"/>
                <w:lang w:val="it-IT"/>
              </w:rPr>
            </w:pPr>
            <w:r w:rsidRPr="00CD6E72">
              <w:rPr>
                <w:b/>
                <w:i/>
                <w:lang w:val="it-IT"/>
              </w:rPr>
              <w:t>(1 bis)</w:t>
            </w:r>
            <w:r w:rsidRPr="00CD6E72">
              <w:rPr>
                <w:b/>
                <w:i/>
                <w:lang w:val="it-IT"/>
              </w:rPr>
              <w:tab/>
              <w:t xml:space="preserve">Al punto 3, nelle note che spiegano la formula per determinare le </w:t>
            </w:r>
            <w:proofErr w:type="spellStart"/>
            <w:r w:rsidRPr="00CD6E72">
              <w:rPr>
                <w:b/>
                <w:i/>
                <w:lang w:val="it-IT"/>
              </w:rPr>
              <w:t>SEEg</w:t>
            </w:r>
            <w:proofErr w:type="spellEnd"/>
            <w:r w:rsidRPr="00CD6E72">
              <w:rPr>
                <w:b/>
                <w:i/>
                <w:lang w:val="it-IT"/>
              </w:rPr>
              <w:t xml:space="preserve"> nel primo paragrafo, la nota relativa alle </w:t>
            </w:r>
            <w:proofErr w:type="spellStart"/>
            <w:r w:rsidRPr="00CD6E72">
              <w:rPr>
                <w:b/>
                <w:i/>
                <w:lang w:val="it-IT"/>
              </w:rPr>
              <w:t>EEInpMat</w:t>
            </w:r>
            <w:proofErr w:type="spellEnd"/>
            <w:r w:rsidRPr="00CD6E72">
              <w:rPr>
                <w:b/>
                <w:i/>
                <w:lang w:val="it-IT"/>
              </w:rPr>
              <w:t xml:space="preserve"> è sostituita dalla seguente:</w:t>
            </w:r>
          </w:p>
        </w:tc>
      </w:tr>
      <w:tr w:rsidR="008529D9" w:rsidRPr="00CD6E72" w:rsidTr="00064C87">
        <w:trPr>
          <w:jc w:val="center"/>
        </w:trPr>
        <w:tc>
          <w:tcPr>
            <w:tcW w:w="4876" w:type="dxa"/>
          </w:tcPr>
          <w:p w:rsidR="008529D9" w:rsidRPr="00CD6E72" w:rsidRDefault="008529D9" w:rsidP="00064C87">
            <w:pPr>
              <w:pStyle w:val="Normal6"/>
              <w:rPr>
                <w:lang w:val="it-IT"/>
              </w:rPr>
            </w:pPr>
            <w:proofErr w:type="spellStart"/>
            <w:r w:rsidRPr="00CD6E72">
              <w:rPr>
                <w:sz w:val="27"/>
                <w:shd w:val="clear" w:color="auto" w:fill="FFFFFF"/>
                <w:lang w:val="it-IT"/>
              </w:rPr>
              <w:lastRenderedPageBreak/>
              <w:t>EE</w:t>
            </w:r>
            <w:r w:rsidRPr="00CD6E72">
              <w:rPr>
                <w:rStyle w:val="oj-sub"/>
                <w:sz w:val="17"/>
                <w:shd w:val="clear" w:color="auto" w:fill="FFFFFF"/>
                <w:vertAlign w:val="subscript"/>
                <w:lang w:val="it-IT"/>
              </w:rPr>
              <w:t>InpMat</w:t>
            </w:r>
            <w:proofErr w:type="spellEnd"/>
          </w:p>
        </w:tc>
        <w:tc>
          <w:tcPr>
            <w:tcW w:w="4876" w:type="dxa"/>
          </w:tcPr>
          <w:p w:rsidR="008529D9" w:rsidRPr="00CD6E72" w:rsidRDefault="008529D9" w:rsidP="00064C87">
            <w:pPr>
              <w:pStyle w:val="Normal6"/>
              <w:rPr>
                <w:szCs w:val="24"/>
                <w:lang w:val="it-IT"/>
              </w:rPr>
            </w:pPr>
            <w:proofErr w:type="spellStart"/>
            <w:r w:rsidRPr="00CD6E72">
              <w:rPr>
                <w:sz w:val="27"/>
                <w:shd w:val="clear" w:color="auto" w:fill="FFFFFF"/>
                <w:lang w:val="it-IT"/>
              </w:rPr>
              <w:t>EE</w:t>
            </w:r>
            <w:r w:rsidRPr="00CD6E72">
              <w:rPr>
                <w:rStyle w:val="oj-sub"/>
                <w:sz w:val="17"/>
                <w:shd w:val="clear" w:color="auto" w:fill="FFFFFF"/>
                <w:vertAlign w:val="subscript"/>
                <w:lang w:val="it-IT"/>
              </w:rPr>
              <w:t>InpMat</w:t>
            </w:r>
            <w:proofErr w:type="spellEnd"/>
          </w:p>
        </w:tc>
      </w:tr>
      <w:tr w:rsidR="008529D9" w:rsidRPr="00CD6E72" w:rsidTr="00064C87">
        <w:trPr>
          <w:jc w:val="center"/>
        </w:trPr>
        <w:tc>
          <w:tcPr>
            <w:tcW w:w="4876" w:type="dxa"/>
          </w:tcPr>
          <w:p w:rsidR="008529D9" w:rsidRPr="00CD6E72" w:rsidRDefault="008529D9" w:rsidP="00064C87">
            <w:pPr>
              <w:pStyle w:val="Normal6"/>
              <w:rPr>
                <w:color w:val="333333"/>
                <w:sz w:val="27"/>
                <w:szCs w:val="27"/>
                <w:shd w:val="clear" w:color="auto" w:fill="FFFFFF"/>
                <w:lang w:val="it-IT"/>
              </w:rPr>
            </w:pPr>
            <w:r w:rsidRPr="00CD6E72">
              <w:rPr>
                <w:lang w:val="it-IT"/>
              </w:rPr>
              <w:t xml:space="preserve">sono le emissioni incorporate dei materiali in entrata (precursori) consumati nel processo di produzione. Devono essere presi in considerazione solo i materiali in entrata (precursori) elencati </w:t>
            </w:r>
            <w:r w:rsidRPr="00CD6E72">
              <w:rPr>
                <w:b/>
                <w:i/>
                <w:lang w:val="it-IT"/>
              </w:rPr>
              <w:t>come pertinenti per i limiti di sistema del processo di produzione specificati nell'atto di esecuzione adottato</w:t>
            </w:r>
            <w:r w:rsidRPr="00CD6E72">
              <w:rPr>
                <w:lang w:val="it-IT"/>
              </w:rPr>
              <w:t xml:space="preserve"> a norma dell'</w:t>
            </w:r>
            <w:r w:rsidRPr="00CD6E72">
              <w:rPr>
                <w:b/>
                <w:i/>
                <w:lang w:val="it-IT"/>
              </w:rPr>
              <w:t>articolo 7, paragrafo 7</w:t>
            </w:r>
            <w:r w:rsidRPr="00CD6E72">
              <w:rPr>
                <w:lang w:val="it-IT"/>
              </w:rPr>
              <w:t xml:space="preserve">. Le </w:t>
            </w:r>
            <w:proofErr w:type="spellStart"/>
            <w:r w:rsidRPr="00CD6E72">
              <w:rPr>
                <w:lang w:val="it-IT"/>
              </w:rPr>
              <w:t>EE</w:t>
            </w:r>
            <w:r w:rsidRPr="00CD6E72">
              <w:rPr>
                <w:vertAlign w:val="subscript"/>
                <w:lang w:val="it-IT"/>
              </w:rPr>
              <w:t>InpMat</w:t>
            </w:r>
            <w:proofErr w:type="spellEnd"/>
            <w:r w:rsidRPr="00CD6E72">
              <w:rPr>
                <w:lang w:val="it-IT"/>
              </w:rPr>
              <w:t xml:space="preserve"> pertinenti sono calcolate come segue:</w:t>
            </w:r>
          </w:p>
        </w:tc>
        <w:tc>
          <w:tcPr>
            <w:tcW w:w="4876" w:type="dxa"/>
          </w:tcPr>
          <w:p w:rsidR="008529D9" w:rsidRPr="00CD6E72" w:rsidRDefault="008529D9" w:rsidP="00064C87">
            <w:pPr>
              <w:pStyle w:val="Normal6"/>
              <w:rPr>
                <w:lang w:val="it-IT"/>
              </w:rPr>
            </w:pPr>
            <w:r w:rsidRPr="00CD6E72">
              <w:rPr>
                <w:lang w:val="it-IT"/>
              </w:rPr>
              <w:t xml:space="preserve">sono le emissioni incorporate dei materiali in entrata (precursori) consumati nel processo di produzione. Devono essere presi in considerazione solo i materiali in entrata (precursori) elencati </w:t>
            </w:r>
            <w:r w:rsidRPr="00CD6E72">
              <w:rPr>
                <w:b/>
                <w:i/>
                <w:lang w:val="it-IT"/>
              </w:rPr>
              <w:t>nell'Allegato I e provenienti da paesi e territori terzi non esenti</w:t>
            </w:r>
            <w:r w:rsidRPr="00CD6E72">
              <w:rPr>
                <w:lang w:val="it-IT"/>
              </w:rPr>
              <w:t xml:space="preserve"> a norma dell'</w:t>
            </w:r>
            <w:r w:rsidRPr="00CD6E72">
              <w:rPr>
                <w:b/>
                <w:i/>
                <w:lang w:val="it-IT"/>
              </w:rPr>
              <w:t>Allegato III, punto 1</w:t>
            </w:r>
            <w:r w:rsidRPr="00CD6E72">
              <w:rPr>
                <w:lang w:val="it-IT"/>
              </w:rPr>
              <w:t xml:space="preserve">. Le </w:t>
            </w:r>
            <w:proofErr w:type="spellStart"/>
            <w:r w:rsidRPr="00CD6E72">
              <w:rPr>
                <w:lang w:val="it-IT"/>
              </w:rPr>
              <w:t>EE</w:t>
            </w:r>
            <w:r w:rsidRPr="00CD6E72">
              <w:rPr>
                <w:vertAlign w:val="subscript"/>
                <w:lang w:val="it-IT"/>
              </w:rPr>
              <w:t>InpMat</w:t>
            </w:r>
            <w:proofErr w:type="spellEnd"/>
            <w:r w:rsidRPr="00CD6E72">
              <w:rPr>
                <w:lang w:val="it-IT"/>
              </w:rPr>
              <w:t xml:space="preserve"> pertinenti sono calcolate come segue:</w:t>
            </w:r>
          </w:p>
        </w:tc>
      </w:tr>
    </w:tbl>
    <w:p w:rsidR="00E365E1" w:rsidRPr="00CD6E72" w:rsidRDefault="00E365E1" w:rsidP="00685967"/>
    <w:sectPr w:rsidR="00E365E1" w:rsidRPr="00CD6E72" w:rsidSect="008925A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BF7" w:rsidRPr="008925AD" w:rsidRDefault="00B41BF7">
      <w:r w:rsidRPr="008925AD">
        <w:separator/>
      </w:r>
    </w:p>
  </w:endnote>
  <w:endnote w:type="continuationSeparator" w:id="0">
    <w:p w:rsidR="00B41BF7" w:rsidRPr="008925AD" w:rsidRDefault="00B41BF7">
      <w:r w:rsidRPr="00892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25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25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25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BF7" w:rsidRPr="008925AD" w:rsidRDefault="00B41BF7">
      <w:r w:rsidRPr="008925AD">
        <w:separator/>
      </w:r>
    </w:p>
  </w:footnote>
  <w:footnote w:type="continuationSeparator" w:id="0">
    <w:p w:rsidR="00B41BF7" w:rsidRPr="008925AD" w:rsidRDefault="00B41BF7">
      <w:r w:rsidRPr="008925AD">
        <w:continuationSeparator/>
      </w:r>
    </w:p>
  </w:footnote>
  <w:footnote w:id="1">
    <w:p w:rsidR="0082650F" w:rsidRPr="007E7EAD" w:rsidRDefault="0082650F" w:rsidP="0082650F">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xml:space="preserve">, paragrafo 4, quarto comma, del regolamento del Parlamento, per l'avvio di negoziati </w:t>
      </w:r>
      <w:proofErr w:type="spellStart"/>
      <w:r w:rsidRPr="007E7EAD">
        <w:rPr>
          <w:sz w:val="24"/>
          <w:szCs w:val="24"/>
          <w:lang w:val="it-IT"/>
        </w:rPr>
        <w:t>interistituzionali</w:t>
      </w:r>
      <w:proofErr w:type="spellEnd"/>
      <w:r w:rsidRPr="007E7EAD">
        <w:rPr>
          <w:sz w:val="24"/>
          <w:szCs w:val="24"/>
          <w:lang w:val="it-IT"/>
        </w:rPr>
        <w:t xml:space="preserve"> (A</w:t>
      </w:r>
      <w:r>
        <w:rPr>
          <w:sz w:val="24"/>
          <w:szCs w:val="24"/>
          <w:lang w:val="it-IT"/>
        </w:rPr>
        <w:t>10</w:t>
      </w:r>
      <w:r w:rsidRPr="007E7EAD">
        <w:rPr>
          <w:sz w:val="24"/>
          <w:szCs w:val="24"/>
          <w:lang w:val="it-IT"/>
        </w:rPr>
        <w:t>-</w:t>
      </w:r>
      <w:r>
        <w:rPr>
          <w:sz w:val="24"/>
          <w:szCs w:val="24"/>
          <w:lang w:val="it-IT"/>
        </w:rPr>
        <w:t>0085</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25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25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925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5/2025"/>
    <w:docVar w:name="dvlangue" w:val="IT"/>
    <w:docVar w:name="dvnumam" w:val="4"/>
    <w:docVar w:name="dvpe" w:val="773.301"/>
    <w:docVar w:name="dvrapporteur" w:val="Relatore: "/>
    <w:docVar w:name="dvstar" w:val="***I"/>
    <w:docVar w:name="dvtitre" w:val="Risoluzione legislativa del Parlamento europeo del 22 maggio 2025 sulla proposta di regolamento del Parlamento europeo e del Consiglio che modifica il regolamento (UE) 2023/956 per quanto riguarda la semplificazione e il rafforzamento del meccanismo di adeguamento del carbonio alle frontiere(COM(2025)0087 – C10-0035/2025 – 2025/0039(COD))"/>
  </w:docVars>
  <w:rsids>
    <w:rsidRoot w:val="00B41B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7F6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5967"/>
    <w:rsid w:val="006F74FA"/>
    <w:rsid w:val="00731ADD"/>
    <w:rsid w:val="00734777"/>
    <w:rsid w:val="00747932"/>
    <w:rsid w:val="00751A4A"/>
    <w:rsid w:val="00756632"/>
    <w:rsid w:val="00762C74"/>
    <w:rsid w:val="00786EC0"/>
    <w:rsid w:val="007D1690"/>
    <w:rsid w:val="007E22AD"/>
    <w:rsid w:val="00817416"/>
    <w:rsid w:val="0082650F"/>
    <w:rsid w:val="00842779"/>
    <w:rsid w:val="008529D9"/>
    <w:rsid w:val="00865F67"/>
    <w:rsid w:val="00881A7B"/>
    <w:rsid w:val="008840E5"/>
    <w:rsid w:val="00887B3E"/>
    <w:rsid w:val="008925AD"/>
    <w:rsid w:val="008B7583"/>
    <w:rsid w:val="008C2AC6"/>
    <w:rsid w:val="00930C23"/>
    <w:rsid w:val="0093193B"/>
    <w:rsid w:val="009509D8"/>
    <w:rsid w:val="00950B64"/>
    <w:rsid w:val="00981893"/>
    <w:rsid w:val="00A1687D"/>
    <w:rsid w:val="00A43E52"/>
    <w:rsid w:val="00A4678D"/>
    <w:rsid w:val="00A778C7"/>
    <w:rsid w:val="00AB441E"/>
    <w:rsid w:val="00AB6293"/>
    <w:rsid w:val="00AB6398"/>
    <w:rsid w:val="00AE0928"/>
    <w:rsid w:val="00AF3B82"/>
    <w:rsid w:val="00B12E95"/>
    <w:rsid w:val="00B22876"/>
    <w:rsid w:val="00B41BF7"/>
    <w:rsid w:val="00B558F0"/>
    <w:rsid w:val="00BD48FE"/>
    <w:rsid w:val="00BD7BD8"/>
    <w:rsid w:val="00BE6ADC"/>
    <w:rsid w:val="00C05BFE"/>
    <w:rsid w:val="00C23CD4"/>
    <w:rsid w:val="00C61C0C"/>
    <w:rsid w:val="00C941CB"/>
    <w:rsid w:val="00CC2357"/>
    <w:rsid w:val="00CD6E72"/>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F78D31-4132-4DC5-8A4F-C9C3D1D8C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29D9"/>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8529D9"/>
    <w:pPr>
      <w:spacing w:after="120"/>
    </w:pPr>
  </w:style>
  <w:style w:type="paragraph" w:customStyle="1" w:styleId="PageHeading">
    <w:name w:val="PageHeading"/>
    <w:basedOn w:val="Normal"/>
    <w:rsid w:val="008529D9"/>
    <w:pPr>
      <w:keepNext/>
      <w:spacing w:after="480"/>
      <w:jc w:val="center"/>
    </w:pPr>
    <w:rPr>
      <w:rFonts w:ascii="Arial" w:hAnsi="Arial" w:cs="Arial"/>
      <w:b/>
    </w:rPr>
  </w:style>
  <w:style w:type="paragraph" w:customStyle="1" w:styleId="NormalBold">
    <w:name w:val="NormalBold"/>
    <w:basedOn w:val="Normal"/>
    <w:link w:val="NormalBoldChar"/>
    <w:rsid w:val="008529D9"/>
    <w:rPr>
      <w:b/>
    </w:rPr>
  </w:style>
  <w:style w:type="paragraph" w:customStyle="1" w:styleId="NormalHanging12a">
    <w:name w:val="NormalHanging12a"/>
    <w:basedOn w:val="Normal"/>
    <w:link w:val="NormalHanging12aChar"/>
    <w:rsid w:val="008529D9"/>
    <w:pPr>
      <w:spacing w:after="240"/>
      <w:ind w:left="567" w:hanging="567"/>
    </w:pPr>
  </w:style>
  <w:style w:type="paragraph" w:styleId="Header">
    <w:name w:val="header"/>
    <w:basedOn w:val="Normal"/>
    <w:link w:val="HeaderChar"/>
    <w:rsid w:val="008529D9"/>
    <w:pPr>
      <w:tabs>
        <w:tab w:val="center" w:pos="4513"/>
        <w:tab w:val="right" w:pos="9026"/>
      </w:tabs>
    </w:pPr>
  </w:style>
  <w:style w:type="character" w:customStyle="1" w:styleId="HeaderChar">
    <w:name w:val="Header Char"/>
    <w:basedOn w:val="DefaultParagraphFont"/>
    <w:link w:val="Header"/>
    <w:rsid w:val="008529D9"/>
    <w:rPr>
      <w:sz w:val="24"/>
      <w:lang w:val="it-IT"/>
    </w:rPr>
  </w:style>
  <w:style w:type="paragraph" w:customStyle="1" w:styleId="AmColumnHeading">
    <w:name w:val="AmColumnHeading"/>
    <w:basedOn w:val="Normal"/>
    <w:rsid w:val="008529D9"/>
    <w:pPr>
      <w:spacing w:after="240"/>
      <w:jc w:val="center"/>
    </w:pPr>
    <w:rPr>
      <w:i/>
    </w:rPr>
  </w:style>
  <w:style w:type="paragraph" w:customStyle="1" w:styleId="AmNumberTabs">
    <w:name w:val="AmNumberTabs"/>
    <w:basedOn w:val="Normal"/>
    <w:rsid w:val="008529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529D9"/>
    <w:pPr>
      <w:spacing w:before="240"/>
    </w:pPr>
    <w:rPr>
      <w:b/>
    </w:rPr>
  </w:style>
  <w:style w:type="paragraph" w:customStyle="1" w:styleId="EPFooter">
    <w:name w:val="EPFooter"/>
    <w:basedOn w:val="Normal"/>
    <w:rsid w:val="008529D9"/>
    <w:pPr>
      <w:tabs>
        <w:tab w:val="center" w:pos="4535"/>
        <w:tab w:val="right" w:pos="9071"/>
      </w:tabs>
      <w:spacing w:before="240" w:after="240"/>
    </w:pPr>
    <w:rPr>
      <w:color w:val="010000"/>
      <w:sz w:val="22"/>
    </w:rPr>
  </w:style>
  <w:style w:type="paragraph" w:customStyle="1" w:styleId="EPComma">
    <w:name w:val="EPComma"/>
    <w:basedOn w:val="Normal"/>
    <w:rsid w:val="008529D9"/>
    <w:pPr>
      <w:spacing w:before="480" w:after="240"/>
    </w:pPr>
  </w:style>
  <w:style w:type="character" w:customStyle="1" w:styleId="NormalBoldChar">
    <w:name w:val="NormalBold Char"/>
    <w:basedOn w:val="DefaultParagraphFont"/>
    <w:link w:val="NormalBold"/>
    <w:rsid w:val="008529D9"/>
    <w:rPr>
      <w:b/>
      <w:sz w:val="24"/>
      <w:lang w:val="it-IT"/>
    </w:rPr>
  </w:style>
  <w:style w:type="paragraph" w:customStyle="1" w:styleId="Normal6">
    <w:name w:val="Normal6"/>
    <w:basedOn w:val="Normal"/>
    <w:link w:val="Normal6Char"/>
    <w:rsid w:val="008529D9"/>
    <w:pPr>
      <w:spacing w:after="120"/>
    </w:pPr>
    <w:rPr>
      <w:lang w:val="fr-FR"/>
    </w:rPr>
  </w:style>
  <w:style w:type="character" w:customStyle="1" w:styleId="Normal6Char">
    <w:name w:val="Normal6 Char"/>
    <w:basedOn w:val="DefaultParagraphFont"/>
    <w:link w:val="Normal6"/>
    <w:rsid w:val="008529D9"/>
    <w:rPr>
      <w:sz w:val="24"/>
      <w:lang w:val="fr-FR"/>
    </w:rPr>
  </w:style>
  <w:style w:type="paragraph" w:customStyle="1" w:styleId="ColumnHeading">
    <w:name w:val="ColumnHeading"/>
    <w:basedOn w:val="Normal"/>
    <w:rsid w:val="008529D9"/>
    <w:pPr>
      <w:spacing w:after="240"/>
      <w:jc w:val="center"/>
    </w:pPr>
    <w:rPr>
      <w:i/>
      <w:lang w:val="fr-FR"/>
    </w:rPr>
  </w:style>
  <w:style w:type="character" w:customStyle="1" w:styleId="NormalBold12bChar">
    <w:name w:val="NormalBold12b Char"/>
    <w:basedOn w:val="DefaultParagraphFont"/>
    <w:link w:val="NormalBold12b"/>
    <w:rsid w:val="008529D9"/>
    <w:rPr>
      <w:b/>
      <w:sz w:val="24"/>
      <w:lang w:val="it-IT"/>
    </w:rPr>
  </w:style>
  <w:style w:type="character" w:customStyle="1" w:styleId="oj-sub">
    <w:name w:val="oj-sub"/>
    <w:rsid w:val="008529D9"/>
  </w:style>
  <w:style w:type="character" w:customStyle="1" w:styleId="NormalHanging12aChar">
    <w:name w:val="NormalHanging12a Char"/>
    <w:basedOn w:val="DefaultParagraphFont"/>
    <w:link w:val="NormalHanging12a"/>
    <w:locked/>
    <w:rsid w:val="008529D9"/>
    <w:rPr>
      <w:sz w:val="24"/>
      <w:lang w:val="it-IT"/>
    </w:rPr>
  </w:style>
  <w:style w:type="paragraph" w:customStyle="1" w:styleId="Normal24a">
    <w:name w:val="Normal24a"/>
    <w:basedOn w:val="Normal"/>
    <w:rsid w:val="008529D9"/>
    <w:pPr>
      <w:spacing w:after="480"/>
    </w:pPr>
    <w:rPr>
      <w:lang w:val="en-GB"/>
    </w:rPr>
  </w:style>
  <w:style w:type="paragraph" w:customStyle="1" w:styleId="Footprint12b">
    <w:name w:val="Footprint12b"/>
    <w:basedOn w:val="Normal"/>
    <w:rsid w:val="008529D9"/>
    <w:pPr>
      <w:spacing w:before="240"/>
    </w:pPr>
    <w:rPr>
      <w:szCs w:val="24"/>
      <w:lang w:val="en-GB"/>
    </w:rPr>
  </w:style>
  <w:style w:type="paragraph" w:customStyle="1" w:styleId="Normal12a">
    <w:name w:val="Normal12a"/>
    <w:basedOn w:val="Normal"/>
    <w:rsid w:val="008529D9"/>
    <w:pPr>
      <w:spacing w:after="240"/>
    </w:pPr>
  </w:style>
  <w:style w:type="paragraph" w:customStyle="1" w:styleId="PageHeadingNotTOC">
    <w:name w:val="PageHeadingNotTOC"/>
    <w:basedOn w:val="Normal"/>
    <w:rsid w:val="008529D9"/>
    <w:pPr>
      <w:keepNext/>
      <w:spacing w:after="480"/>
      <w:jc w:val="center"/>
    </w:pPr>
    <w:rPr>
      <w:rFonts w:ascii="Arial" w:hAnsi="Arial" w:cs="Arial"/>
      <w:b/>
    </w:rPr>
  </w:style>
  <w:style w:type="paragraph" w:customStyle="1" w:styleId="RollCallSymbols14pt">
    <w:name w:val="RollCallSymbols14pt"/>
    <w:basedOn w:val="Normal"/>
    <w:rsid w:val="008529D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529D9"/>
    <w:pPr>
      <w:tabs>
        <w:tab w:val="center" w:pos="284"/>
        <w:tab w:val="left" w:pos="426"/>
      </w:tabs>
    </w:pPr>
    <w:rPr>
      <w:snapToGrid w:val="0"/>
      <w:lang w:eastAsia="en-US"/>
    </w:rPr>
  </w:style>
  <w:style w:type="paragraph" w:customStyle="1" w:styleId="RollCallVotes">
    <w:name w:val="RollCallVotes"/>
    <w:basedOn w:val="Normal"/>
    <w:rsid w:val="008529D9"/>
    <w:pPr>
      <w:spacing w:before="120" w:after="120"/>
      <w:jc w:val="center"/>
    </w:pPr>
    <w:rPr>
      <w:b/>
      <w:bCs/>
      <w:snapToGrid w:val="0"/>
      <w:sz w:val="16"/>
      <w:lang w:eastAsia="en-US"/>
    </w:rPr>
  </w:style>
  <w:style w:type="paragraph" w:customStyle="1" w:styleId="RollCallTable">
    <w:name w:val="RollCallTable"/>
    <w:basedOn w:val="Normal"/>
    <w:rsid w:val="008529D9"/>
    <w:pPr>
      <w:spacing w:before="120" w:after="120"/>
    </w:pPr>
    <w:rPr>
      <w:snapToGrid w:val="0"/>
      <w:sz w:val="16"/>
      <w:lang w:eastAsia="en-US"/>
    </w:rPr>
  </w:style>
  <w:style w:type="character" w:styleId="Hyperlink">
    <w:name w:val="Hyperlink"/>
    <w:basedOn w:val="DefaultParagraphFont"/>
    <w:rsid w:val="008529D9"/>
    <w:rPr>
      <w:color w:val="0563C1" w:themeColor="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82650F"/>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B5651-67CC-4EDF-AEED-D2680A5AE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2025-05-22T12:31:00Z</dcterms:created>
  <dcterms:modified xsi:type="dcterms:W3CDTF">2025-05-22T12:31:00Z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A10-0085/2025</vt:lpwstr>
  </property>
  <property fmtid="{D5CDD505-2E9C-101B-9397-08002B2CF9AE}" pid="4" name="&lt;Type&gt;">
    <vt:lpwstr>RR</vt:lpwstr>
  </property>
</Properties>
</file>