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271E" w:rsidTr="0010095E">
        <w:trPr>
          <w:trHeight w:hRule="exact" w:val="1418"/>
        </w:trPr>
        <w:tc>
          <w:tcPr>
            <w:tcW w:w="6804" w:type="dxa"/>
            <w:shd w:val="clear" w:color="auto" w:fill="auto"/>
            <w:vAlign w:val="center"/>
          </w:tcPr>
          <w:p w:rsidR="00751A4A" w:rsidRPr="0050271E" w:rsidRDefault="007963F8" w:rsidP="0010095E">
            <w:pPr>
              <w:pStyle w:val="EPName"/>
            </w:pPr>
            <w:r w:rsidRPr="0050271E">
              <w:t>Parlament Europejski</w:t>
            </w:r>
          </w:p>
          <w:p w:rsidR="00751A4A" w:rsidRPr="0050271E" w:rsidRDefault="005F1B17" w:rsidP="005F1B17">
            <w:pPr>
              <w:pStyle w:val="EPTerm"/>
              <w:rPr>
                <w:rStyle w:val="HideTWBExt"/>
                <w:noProof w:val="0"/>
                <w:vanish w:val="0"/>
                <w:color w:val="auto"/>
              </w:rPr>
            </w:pPr>
            <w:r w:rsidRPr="0050271E">
              <w:t>2024</w:t>
            </w:r>
            <w:r w:rsidR="00817416" w:rsidRPr="0050271E">
              <w:t>-202</w:t>
            </w:r>
            <w:r w:rsidRPr="0050271E">
              <w:t>9</w:t>
            </w:r>
          </w:p>
        </w:tc>
        <w:tc>
          <w:tcPr>
            <w:tcW w:w="2268" w:type="dxa"/>
            <w:shd w:val="clear" w:color="auto" w:fill="auto"/>
          </w:tcPr>
          <w:p w:rsidR="00751A4A" w:rsidRPr="0050271E" w:rsidRDefault="00187494" w:rsidP="0010095E">
            <w:pPr>
              <w:pStyle w:val="EPLogo"/>
            </w:pPr>
            <w:r w:rsidRPr="005027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271E" w:rsidRDefault="00D058B8" w:rsidP="004C5D52">
      <w:pPr>
        <w:pStyle w:val="LineTop"/>
      </w:pPr>
    </w:p>
    <w:p w:rsidR="00680577" w:rsidRPr="0050271E" w:rsidRDefault="007963F8" w:rsidP="00680577">
      <w:pPr>
        <w:pStyle w:val="EPBodyTA1"/>
      </w:pPr>
      <w:r w:rsidRPr="0050271E">
        <w:t>TEKSTY PRZYJĘTE</w:t>
      </w:r>
    </w:p>
    <w:p w:rsidR="00D058B8" w:rsidRPr="0050271E" w:rsidRDefault="00D058B8" w:rsidP="00D058B8">
      <w:pPr>
        <w:pStyle w:val="LineBottom"/>
      </w:pPr>
    </w:p>
    <w:p w:rsidR="007963F8" w:rsidRPr="0050271E" w:rsidRDefault="007963F8" w:rsidP="007963F8">
      <w:pPr>
        <w:pStyle w:val="ATHeading1"/>
      </w:pPr>
      <w:bookmarkStart w:id="0" w:name="TANumber"/>
      <w:r w:rsidRPr="0050271E">
        <w:t>P10_TA(2025)0</w:t>
      </w:r>
      <w:bookmarkEnd w:id="0"/>
      <w:r w:rsidR="001B1CE6">
        <w:t>108</w:t>
      </w:r>
    </w:p>
    <w:p w:rsidR="007963F8" w:rsidRPr="001F4D24" w:rsidRDefault="001F4D24" w:rsidP="001F4D24">
      <w:pPr>
        <w:pStyle w:val="ATHeading2"/>
      </w:pPr>
      <w:r w:rsidRPr="001F4D24">
        <w:rPr>
          <w:bCs/>
        </w:rPr>
        <w:t>Zmiana rozporządzenia (UE) 2023/956 w odniesieniu do uproszczenia i wzmocnienia</w:t>
      </w:r>
      <w:r>
        <w:rPr>
          <w:bCs/>
        </w:rPr>
        <w:t xml:space="preserve"> </w:t>
      </w:r>
      <w:r w:rsidRPr="001F4D24">
        <w:rPr>
          <w:bCs/>
        </w:rPr>
        <w:t>mechanizmu dostosowywania cen na granicach z uwzględnieniem emisji CO2</w:t>
      </w:r>
    </w:p>
    <w:p w:rsidR="007963F8" w:rsidRPr="0050271E" w:rsidRDefault="007963F8" w:rsidP="007963F8">
      <w:pPr>
        <w:rPr>
          <w:i/>
          <w:vanish/>
        </w:rPr>
      </w:pPr>
      <w:r w:rsidRPr="0050271E">
        <w:rPr>
          <w:i/>
        </w:rPr>
        <w:fldChar w:fldCharType="begin"/>
      </w:r>
      <w:r w:rsidRPr="0050271E">
        <w:rPr>
          <w:i/>
        </w:rPr>
        <w:instrText xml:space="preserve"> TC"(</w:instrText>
      </w:r>
      <w:bookmarkStart w:id="1" w:name="DocNumber"/>
      <w:r w:rsidRPr="0050271E">
        <w:rPr>
          <w:i/>
        </w:rPr>
        <w:instrText>A10-0085/2025</w:instrText>
      </w:r>
      <w:bookmarkEnd w:id="1"/>
      <w:r w:rsidRPr="0050271E">
        <w:rPr>
          <w:i/>
        </w:rPr>
        <w:instrText xml:space="preserve"> - Sprawozdawca: Antonio </w:instrText>
      </w:r>
      <w:proofErr w:type="spellStart"/>
      <w:r w:rsidRPr="0050271E">
        <w:rPr>
          <w:i/>
        </w:rPr>
        <w:instrText>Decaro</w:instrText>
      </w:r>
      <w:proofErr w:type="spellEnd"/>
      <w:proofErr w:type="gramStart"/>
      <w:r w:rsidRPr="0050271E">
        <w:rPr>
          <w:i/>
        </w:rPr>
        <w:instrText>)"\l</w:instrText>
      </w:r>
      <w:proofErr w:type="gramEnd"/>
      <w:r w:rsidRPr="0050271E">
        <w:rPr>
          <w:i/>
        </w:rPr>
        <w:instrText xml:space="preserve">3 \n&gt; \* MERGEFORMAT </w:instrText>
      </w:r>
      <w:r w:rsidRPr="0050271E">
        <w:rPr>
          <w:i/>
        </w:rPr>
        <w:fldChar w:fldCharType="end"/>
      </w:r>
    </w:p>
    <w:p w:rsidR="007963F8" w:rsidRPr="0050271E" w:rsidRDefault="007963F8" w:rsidP="007963F8">
      <w:pPr>
        <w:rPr>
          <w:vanish/>
        </w:rPr>
      </w:pPr>
      <w:bookmarkStart w:id="2" w:name="Commission"/>
      <w:r w:rsidRPr="0050271E">
        <w:rPr>
          <w:vanish/>
        </w:rPr>
        <w:t>Komisja Ochrony Środowiska Naturalnego, Klimatu i Bezpieczeństwa Żywności</w:t>
      </w:r>
      <w:bookmarkEnd w:id="2"/>
    </w:p>
    <w:p w:rsidR="007963F8" w:rsidRPr="0050271E" w:rsidRDefault="007963F8" w:rsidP="007963F8">
      <w:pPr>
        <w:rPr>
          <w:vanish/>
        </w:rPr>
      </w:pPr>
      <w:bookmarkStart w:id="3" w:name="PE"/>
      <w:r w:rsidRPr="0050271E">
        <w:rPr>
          <w:vanish/>
        </w:rPr>
        <w:t>PE773.301</w:t>
      </w:r>
      <w:bookmarkEnd w:id="3"/>
    </w:p>
    <w:p w:rsidR="007963F8" w:rsidRPr="0050271E" w:rsidRDefault="001B1CE6" w:rsidP="007963F8">
      <w:pPr>
        <w:pStyle w:val="ATHeading3"/>
      </w:pPr>
      <w:bookmarkStart w:id="4" w:name="Sujet"/>
      <w:r>
        <w:t xml:space="preserve">Poprawki </w:t>
      </w:r>
      <w:r w:rsidR="00A76D23">
        <w:t>przyjęte</w:t>
      </w:r>
      <w:r>
        <w:t xml:space="preserve"> przez</w:t>
      </w:r>
      <w:r w:rsidR="007963F8" w:rsidRPr="0050271E">
        <w:t xml:space="preserve"> Parlament Europejski </w:t>
      </w:r>
      <w:r>
        <w:t>w</w:t>
      </w:r>
      <w:r w:rsidR="007963F8" w:rsidRPr="0050271E">
        <w:t xml:space="preserve"> dni</w:t>
      </w:r>
      <w:r>
        <w:t>u</w:t>
      </w:r>
      <w:r w:rsidR="007963F8" w:rsidRPr="0050271E">
        <w:t xml:space="preserve"> </w:t>
      </w:r>
      <w:r w:rsidR="001F4D24">
        <w:t>22 maja</w:t>
      </w:r>
      <w:r w:rsidR="007963F8" w:rsidRPr="0050271E">
        <w:t xml:space="preserve"> 2025 r. w sprawie wniosku dotyczącego rozporządzenia Parlamentu Europejskiego i Rady zmieniającego rozporządzenie (UE) 2023/956 w odniesieniu do uproszczenia i wzmocnienia mechanizmu dostosowywania cen na granicach z uwzględnieniem emisji CO2</w:t>
      </w:r>
      <w:bookmarkEnd w:id="4"/>
      <w:r w:rsidR="007963F8" w:rsidRPr="0050271E">
        <w:t xml:space="preserve"> </w:t>
      </w:r>
      <w:bookmarkStart w:id="5" w:name="References"/>
      <w:r w:rsidR="007963F8" w:rsidRPr="0050271E">
        <w:t>(COM</w:t>
      </w:r>
      <w:proofErr w:type="gramStart"/>
      <w:r w:rsidR="007963F8" w:rsidRPr="0050271E">
        <w:t>(2025)0087 – C</w:t>
      </w:r>
      <w:proofErr w:type="gramEnd"/>
      <w:r w:rsidR="007963F8" w:rsidRPr="0050271E">
        <w:t>10-0035/2025 – 2025/0039(COD))</w:t>
      </w:r>
      <w:bookmarkEnd w:id="5"/>
      <w:r w:rsidR="00A76D23" w:rsidRPr="00CD2102">
        <w:rPr>
          <w:rStyle w:val="FootnoteReference"/>
        </w:rPr>
        <w:footnoteReference w:id="1"/>
      </w:r>
    </w:p>
    <w:p w:rsidR="00107680" w:rsidRPr="0050271E" w:rsidRDefault="00107680" w:rsidP="00107680">
      <w:pPr>
        <w:pStyle w:val="NormalBold"/>
      </w:pPr>
      <w:r w:rsidRPr="0050271E">
        <w:t>(Zwykła procedura ustawodawcza: pierwsze czytanie)</w:t>
      </w:r>
    </w:p>
    <w:p w:rsidR="001F4D24" w:rsidRDefault="001F4D24" w:rsidP="00107680">
      <w:pPr>
        <w:pStyle w:val="NormalHanging12a"/>
        <w:sectPr w:rsidR="001F4D24" w:rsidSect="005027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07680" w:rsidRPr="0050271E" w:rsidRDefault="00107680" w:rsidP="00107680">
      <w:pPr>
        <w:pStyle w:val="NormalHanging12a"/>
      </w:pPr>
    </w:p>
    <w:p w:rsidR="00107680" w:rsidRPr="0050271E" w:rsidRDefault="00107680" w:rsidP="00107680"/>
    <w:p w:rsidR="00107680" w:rsidRPr="0050271E" w:rsidRDefault="00107680" w:rsidP="001F4D24">
      <w:pPr>
        <w:pStyle w:val="AmNumberTabs"/>
      </w:pPr>
      <w:r w:rsidRPr="0050271E">
        <w:t>Poprawka</w:t>
      </w:r>
      <w:r w:rsidRPr="0050271E">
        <w:tab/>
      </w:r>
      <w:r w:rsidRPr="0050271E">
        <w:tab/>
        <w:t>1</w:t>
      </w:r>
    </w:p>
    <w:p w:rsidR="00107680" w:rsidRPr="0050271E" w:rsidRDefault="00107680" w:rsidP="00107680">
      <w:pPr>
        <w:pStyle w:val="NormalBold12b"/>
      </w:pPr>
      <w:r w:rsidRPr="0050271E">
        <w:t>Wniosek dotyczący rozporządzenia</w:t>
      </w:r>
    </w:p>
    <w:p w:rsidR="00107680" w:rsidRPr="0050271E" w:rsidRDefault="00107680" w:rsidP="00107680">
      <w:pPr>
        <w:pStyle w:val="NormalBold"/>
      </w:pPr>
      <w:r w:rsidRPr="0050271E">
        <w:t>Motyw 25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7680" w:rsidRPr="0050271E" w:rsidTr="009911C9">
        <w:trPr>
          <w:jc w:val="center"/>
        </w:trPr>
        <w:tc>
          <w:tcPr>
            <w:tcW w:w="9752" w:type="dxa"/>
            <w:gridSpan w:val="2"/>
          </w:tcPr>
          <w:p w:rsidR="00107680" w:rsidRPr="0050271E" w:rsidRDefault="00107680" w:rsidP="009911C9">
            <w:pPr>
              <w:keepNext/>
            </w:pPr>
          </w:p>
        </w:tc>
      </w:tr>
      <w:tr w:rsidR="00107680" w:rsidRPr="0050271E" w:rsidTr="009911C9">
        <w:trPr>
          <w:jc w:val="center"/>
        </w:trPr>
        <w:tc>
          <w:tcPr>
            <w:tcW w:w="4876" w:type="dxa"/>
          </w:tcPr>
          <w:p w:rsidR="00107680" w:rsidRPr="0050271E" w:rsidRDefault="00107680" w:rsidP="009911C9">
            <w:pPr>
              <w:pStyle w:val="ColumnHeading"/>
              <w:keepNext/>
            </w:pPr>
            <w:r w:rsidRPr="0050271E">
              <w:t>Tekst proponowany przez Komisję</w:t>
            </w:r>
          </w:p>
        </w:tc>
        <w:tc>
          <w:tcPr>
            <w:tcW w:w="4876" w:type="dxa"/>
          </w:tcPr>
          <w:p w:rsidR="00107680" w:rsidRPr="0050271E" w:rsidRDefault="00107680" w:rsidP="009911C9">
            <w:pPr>
              <w:pStyle w:val="ColumnHeading"/>
              <w:keepNext/>
            </w:pPr>
            <w:r w:rsidRPr="0050271E">
              <w:t>Poprawka</w:t>
            </w:r>
          </w:p>
        </w:tc>
      </w:tr>
      <w:tr w:rsidR="00107680" w:rsidRPr="0050271E" w:rsidTr="009911C9">
        <w:trPr>
          <w:jc w:val="center"/>
        </w:trPr>
        <w:tc>
          <w:tcPr>
            <w:tcW w:w="4876" w:type="dxa"/>
          </w:tcPr>
          <w:p w:rsidR="00107680" w:rsidRPr="0050271E" w:rsidRDefault="00107680" w:rsidP="009911C9">
            <w:pPr>
              <w:pStyle w:val="Normal6"/>
            </w:pPr>
          </w:p>
        </w:tc>
        <w:tc>
          <w:tcPr>
            <w:tcW w:w="4876" w:type="dxa"/>
          </w:tcPr>
          <w:p w:rsidR="00107680" w:rsidRPr="0050271E" w:rsidRDefault="00107680" w:rsidP="009911C9">
            <w:pPr>
              <w:pStyle w:val="Normal6"/>
              <w:rPr>
                <w:szCs w:val="24"/>
              </w:rPr>
            </w:pPr>
            <w:r w:rsidRPr="0050271E">
              <w:rPr>
                <w:b/>
                <w:i/>
              </w:rPr>
              <w:t>(25a</w:t>
            </w:r>
            <w:proofErr w:type="gramStart"/>
            <w:r w:rsidRPr="0050271E">
              <w:rPr>
                <w:b/>
                <w:i/>
              </w:rPr>
              <w:t>)</w:t>
            </w:r>
            <w:r w:rsidRPr="0050271E">
              <w:rPr>
                <w:b/>
                <w:i/>
              </w:rPr>
              <w:tab/>
              <w:t>CBAM</w:t>
            </w:r>
            <w:proofErr w:type="gramEnd"/>
            <w:r w:rsidRPr="0050271E">
              <w:rPr>
                <w:b/>
                <w:i/>
              </w:rPr>
              <w:t xml:space="preserve"> ma zastosowanie do importu energii elektrycznej, ale nie powinien mieć zastosowania do energii elektrycznej wytwarzanej w całości w wyłącznej strefie ekonomicznej państwa członkowskiego EOG i importowanej bezpośrednio na obszar celny Unii.</w:t>
            </w:r>
          </w:p>
        </w:tc>
      </w:tr>
    </w:tbl>
    <w:p w:rsidR="00107680" w:rsidRPr="0050271E" w:rsidRDefault="00107680" w:rsidP="00107680"/>
    <w:p w:rsidR="00107680" w:rsidRPr="0050271E" w:rsidRDefault="00107680" w:rsidP="00107680">
      <w:pPr>
        <w:pStyle w:val="AmNumberTabs"/>
      </w:pPr>
      <w:r w:rsidRPr="0050271E">
        <w:t>Poprawka</w:t>
      </w:r>
      <w:r w:rsidRPr="0050271E">
        <w:tab/>
      </w:r>
      <w:r w:rsidRPr="0050271E">
        <w:tab/>
        <w:t>2</w:t>
      </w:r>
    </w:p>
    <w:p w:rsidR="00107680" w:rsidRPr="0050271E" w:rsidRDefault="00107680" w:rsidP="00107680">
      <w:pPr>
        <w:pStyle w:val="NormalBold12b"/>
      </w:pPr>
      <w:r w:rsidRPr="0050271E">
        <w:t>Wniosek dotyczący rozporządzenia</w:t>
      </w:r>
    </w:p>
    <w:p w:rsidR="00107680" w:rsidRPr="0050271E" w:rsidRDefault="00107680" w:rsidP="00107680">
      <w:pPr>
        <w:pStyle w:val="NormalBold"/>
      </w:pPr>
      <w:r w:rsidRPr="0050271E">
        <w:t>Artykuł 1 – akapit 1 – punkt 1 – litera b a (nowa)</w:t>
      </w:r>
    </w:p>
    <w:p w:rsidR="00107680" w:rsidRPr="0050271E" w:rsidRDefault="00107680" w:rsidP="00107680">
      <w:pPr>
        <w:keepNext/>
      </w:pPr>
      <w:r w:rsidRPr="0050271E">
        <w:t>Rozporządzenie (UE) 2023/956</w:t>
      </w:r>
    </w:p>
    <w:p w:rsidR="00107680" w:rsidRPr="0050271E" w:rsidRDefault="00107680" w:rsidP="00107680">
      <w:r w:rsidRPr="0050271E">
        <w:t>Artykuł 2 – ustęp 3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7680" w:rsidRPr="0050271E" w:rsidTr="009911C9">
        <w:trPr>
          <w:jc w:val="center"/>
        </w:trPr>
        <w:tc>
          <w:tcPr>
            <w:tcW w:w="9752" w:type="dxa"/>
            <w:gridSpan w:val="2"/>
          </w:tcPr>
          <w:p w:rsidR="00107680" w:rsidRPr="0050271E" w:rsidRDefault="00107680" w:rsidP="009911C9">
            <w:pPr>
              <w:keepNext/>
            </w:pPr>
          </w:p>
        </w:tc>
      </w:tr>
      <w:tr w:rsidR="00107680" w:rsidRPr="0050271E" w:rsidTr="009911C9">
        <w:trPr>
          <w:jc w:val="center"/>
        </w:trPr>
        <w:tc>
          <w:tcPr>
            <w:tcW w:w="4876" w:type="dxa"/>
          </w:tcPr>
          <w:p w:rsidR="00107680" w:rsidRPr="0050271E" w:rsidRDefault="00107680" w:rsidP="009911C9">
            <w:pPr>
              <w:pStyle w:val="ColumnHeading"/>
              <w:keepNext/>
            </w:pPr>
            <w:r w:rsidRPr="0050271E">
              <w:t>Tekst proponowany przez Komisję</w:t>
            </w:r>
          </w:p>
        </w:tc>
        <w:tc>
          <w:tcPr>
            <w:tcW w:w="4876" w:type="dxa"/>
          </w:tcPr>
          <w:p w:rsidR="00107680" w:rsidRPr="0050271E" w:rsidRDefault="00107680" w:rsidP="009911C9">
            <w:pPr>
              <w:pStyle w:val="ColumnHeading"/>
              <w:keepNext/>
            </w:pPr>
            <w:r w:rsidRPr="0050271E">
              <w:t>Poprawka</w:t>
            </w:r>
          </w:p>
        </w:tc>
      </w:tr>
      <w:tr w:rsidR="00107680" w:rsidRPr="0050271E" w:rsidTr="009911C9">
        <w:trPr>
          <w:jc w:val="center"/>
        </w:trPr>
        <w:tc>
          <w:tcPr>
            <w:tcW w:w="4876" w:type="dxa"/>
          </w:tcPr>
          <w:p w:rsidR="00107680" w:rsidRPr="0050271E" w:rsidRDefault="00107680" w:rsidP="009911C9">
            <w:pPr>
              <w:pStyle w:val="Normal6"/>
            </w:pPr>
          </w:p>
        </w:tc>
        <w:tc>
          <w:tcPr>
            <w:tcW w:w="4876" w:type="dxa"/>
          </w:tcPr>
          <w:p w:rsidR="00107680" w:rsidRPr="0050271E" w:rsidRDefault="00107680" w:rsidP="009911C9">
            <w:pPr>
              <w:pStyle w:val="Normal6"/>
              <w:rPr>
                <w:szCs w:val="24"/>
              </w:rPr>
            </w:pPr>
            <w:r w:rsidRPr="0050271E">
              <w:rPr>
                <w:b/>
                <w:i/>
              </w:rPr>
              <w:t>ba</w:t>
            </w:r>
            <w:proofErr w:type="gramStart"/>
            <w:r w:rsidRPr="0050271E">
              <w:rPr>
                <w:b/>
                <w:i/>
              </w:rPr>
              <w:t>)</w:t>
            </w:r>
            <w:r w:rsidRPr="0050271E">
              <w:rPr>
                <w:b/>
                <w:i/>
              </w:rPr>
              <w:tab/>
              <w:t>dodaje</w:t>
            </w:r>
            <w:proofErr w:type="gramEnd"/>
            <w:r w:rsidRPr="0050271E">
              <w:rPr>
                <w:b/>
                <w:i/>
              </w:rPr>
              <w:t xml:space="preserve"> się ust. 3b w brzmieniu:</w:t>
            </w:r>
          </w:p>
        </w:tc>
      </w:tr>
      <w:tr w:rsidR="00107680" w:rsidRPr="0050271E" w:rsidTr="009911C9">
        <w:trPr>
          <w:jc w:val="center"/>
        </w:trPr>
        <w:tc>
          <w:tcPr>
            <w:tcW w:w="4876" w:type="dxa"/>
          </w:tcPr>
          <w:p w:rsidR="00107680" w:rsidRPr="0050271E" w:rsidRDefault="00107680" w:rsidP="009911C9">
            <w:pPr>
              <w:pStyle w:val="Normal6"/>
            </w:pPr>
          </w:p>
        </w:tc>
        <w:tc>
          <w:tcPr>
            <w:tcW w:w="4876" w:type="dxa"/>
          </w:tcPr>
          <w:p w:rsidR="00107680" w:rsidRPr="0050271E" w:rsidRDefault="00107680" w:rsidP="009911C9">
            <w:pPr>
              <w:pStyle w:val="Normal6"/>
              <w:rPr>
                <w:szCs w:val="24"/>
              </w:rPr>
            </w:pPr>
            <w:r w:rsidRPr="0050271E">
              <w:rPr>
                <w:b/>
                <w:i/>
              </w:rPr>
              <w:t>3b.</w:t>
            </w:r>
            <w:r w:rsidRPr="0050271E">
              <w:tab/>
            </w:r>
            <w:r w:rsidRPr="0050271E">
              <w:rPr>
                <w:b/>
                <w:i/>
              </w:rPr>
              <w:t>Na zasadzie odstępstwa od ust. 1 i 2 niniejsze rozporządzenie nie ma zastosowania do energii elektrycznej wytwarzanej w całości w wyłącznej strefie ekonomicznej państwa członkowskiego EOG i importowanej bezpośrednio na obszar celny Unii.</w:t>
            </w:r>
          </w:p>
        </w:tc>
      </w:tr>
    </w:tbl>
    <w:p w:rsidR="00107680" w:rsidRPr="0050271E" w:rsidRDefault="00107680" w:rsidP="00107680"/>
    <w:p w:rsidR="00107680" w:rsidRPr="0050271E" w:rsidRDefault="00107680" w:rsidP="00107680">
      <w:pPr>
        <w:pStyle w:val="AmNumberTabs"/>
      </w:pPr>
      <w:r w:rsidRPr="0050271E">
        <w:t>Poprawka</w:t>
      </w:r>
      <w:r w:rsidRPr="0050271E">
        <w:tab/>
      </w:r>
      <w:r w:rsidRPr="0050271E">
        <w:tab/>
        <w:t>3</w:t>
      </w:r>
    </w:p>
    <w:p w:rsidR="00107680" w:rsidRPr="0050271E" w:rsidRDefault="00107680" w:rsidP="00107680">
      <w:pPr>
        <w:pStyle w:val="NormalBold12b"/>
      </w:pPr>
      <w:r w:rsidRPr="0050271E">
        <w:t>Wniosek dotyczący rozporządzenia</w:t>
      </w:r>
    </w:p>
    <w:p w:rsidR="00107680" w:rsidRPr="0050271E" w:rsidRDefault="00107680" w:rsidP="00107680">
      <w:pPr>
        <w:pStyle w:val="NormalBold"/>
      </w:pPr>
      <w:r w:rsidRPr="0050271E">
        <w:t>Załącznik I – akapit 1 – punkt 1 a (nowy)</w:t>
      </w:r>
    </w:p>
    <w:p w:rsidR="00107680" w:rsidRPr="0050271E" w:rsidRDefault="00107680" w:rsidP="00107680">
      <w:pPr>
        <w:keepNext/>
      </w:pPr>
      <w:r w:rsidRPr="0050271E">
        <w:t>Rozporządzenie (UE) 2023/956</w:t>
      </w:r>
    </w:p>
    <w:p w:rsidR="00107680" w:rsidRPr="0050271E" w:rsidRDefault="00107680" w:rsidP="00107680">
      <w:r w:rsidRPr="0050271E">
        <w:t xml:space="preserve">Załącznik IV – punkt 3 – ustęp 1 – akapit 5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7680" w:rsidRPr="0050271E" w:rsidTr="009911C9">
        <w:trPr>
          <w:jc w:val="center"/>
        </w:trPr>
        <w:tc>
          <w:tcPr>
            <w:tcW w:w="9752" w:type="dxa"/>
            <w:gridSpan w:val="2"/>
          </w:tcPr>
          <w:p w:rsidR="00107680" w:rsidRPr="0050271E" w:rsidRDefault="00107680" w:rsidP="009911C9">
            <w:pPr>
              <w:keepNext/>
            </w:pPr>
          </w:p>
        </w:tc>
      </w:tr>
      <w:tr w:rsidR="00107680" w:rsidRPr="0050271E" w:rsidTr="009911C9">
        <w:trPr>
          <w:jc w:val="center"/>
        </w:trPr>
        <w:tc>
          <w:tcPr>
            <w:tcW w:w="4876" w:type="dxa"/>
          </w:tcPr>
          <w:p w:rsidR="00107680" w:rsidRPr="0050271E" w:rsidRDefault="00107680" w:rsidP="009911C9">
            <w:pPr>
              <w:pStyle w:val="ColumnHeading"/>
              <w:keepNext/>
            </w:pPr>
            <w:r w:rsidRPr="0050271E">
              <w:t>Tekst obowiązujący</w:t>
            </w:r>
          </w:p>
        </w:tc>
        <w:tc>
          <w:tcPr>
            <w:tcW w:w="4876" w:type="dxa"/>
          </w:tcPr>
          <w:p w:rsidR="00107680" w:rsidRPr="0050271E" w:rsidRDefault="00107680" w:rsidP="009911C9">
            <w:pPr>
              <w:pStyle w:val="ColumnHeading"/>
              <w:keepNext/>
            </w:pPr>
            <w:r w:rsidRPr="0050271E">
              <w:t>Poprawka</w:t>
            </w:r>
          </w:p>
        </w:tc>
      </w:tr>
      <w:tr w:rsidR="00107680" w:rsidRPr="0050271E" w:rsidTr="009911C9">
        <w:trPr>
          <w:jc w:val="center"/>
        </w:trPr>
        <w:tc>
          <w:tcPr>
            <w:tcW w:w="4876" w:type="dxa"/>
          </w:tcPr>
          <w:p w:rsidR="00107680" w:rsidRPr="0050271E" w:rsidRDefault="00107680" w:rsidP="009911C9">
            <w:pPr>
              <w:pStyle w:val="Normal6"/>
            </w:pPr>
          </w:p>
        </w:tc>
        <w:tc>
          <w:tcPr>
            <w:tcW w:w="4876" w:type="dxa"/>
          </w:tcPr>
          <w:p w:rsidR="00107680" w:rsidRPr="0050271E" w:rsidRDefault="00107680" w:rsidP="009911C9">
            <w:pPr>
              <w:pStyle w:val="Normal6"/>
              <w:rPr>
                <w:szCs w:val="24"/>
              </w:rPr>
            </w:pPr>
            <w:r w:rsidRPr="0050271E">
              <w:rPr>
                <w:b/>
                <w:i/>
              </w:rPr>
              <w:t>1a</w:t>
            </w:r>
            <w:proofErr w:type="gramStart"/>
            <w:r w:rsidRPr="0050271E">
              <w:rPr>
                <w:b/>
                <w:i/>
              </w:rPr>
              <w:t>)</w:t>
            </w:r>
            <w:r w:rsidRPr="0050271E">
              <w:rPr>
                <w:b/>
                <w:i/>
              </w:rPr>
              <w:tab/>
              <w:t>W</w:t>
            </w:r>
            <w:proofErr w:type="gramEnd"/>
            <w:r w:rsidRPr="0050271E">
              <w:rPr>
                <w:b/>
                <w:i/>
              </w:rPr>
              <w:t xml:space="preserve"> pkt 3, w uwagach wyjaśniających wzór na </w:t>
            </w:r>
            <w:proofErr w:type="spellStart"/>
            <w:r w:rsidRPr="0050271E">
              <w:rPr>
                <w:b/>
                <w:i/>
              </w:rPr>
              <w:t>SEEg</w:t>
            </w:r>
            <w:proofErr w:type="spellEnd"/>
            <w:r w:rsidRPr="0050271E">
              <w:rPr>
                <w:b/>
                <w:i/>
              </w:rPr>
              <w:t xml:space="preserve"> w ust. 1, </w:t>
            </w:r>
            <w:r w:rsidRPr="0050271E">
              <w:rPr>
                <w:b/>
                <w:i/>
              </w:rPr>
              <w:lastRenderedPageBreak/>
              <w:t xml:space="preserve">uwaga dotycząca </w:t>
            </w:r>
            <w:proofErr w:type="spellStart"/>
            <w:r w:rsidRPr="0050271E">
              <w:rPr>
                <w:b/>
                <w:i/>
              </w:rPr>
              <w:t>EEInpMat</w:t>
            </w:r>
            <w:proofErr w:type="spellEnd"/>
            <w:r w:rsidRPr="0050271E">
              <w:rPr>
                <w:b/>
                <w:i/>
              </w:rPr>
              <w:t xml:space="preserve"> otrzymuje brzmienie:</w:t>
            </w:r>
          </w:p>
        </w:tc>
      </w:tr>
      <w:tr w:rsidR="00107680" w:rsidRPr="0050271E" w:rsidTr="009911C9">
        <w:trPr>
          <w:jc w:val="center"/>
        </w:trPr>
        <w:tc>
          <w:tcPr>
            <w:tcW w:w="4876" w:type="dxa"/>
          </w:tcPr>
          <w:p w:rsidR="00107680" w:rsidRPr="0050271E" w:rsidRDefault="00107680" w:rsidP="009911C9">
            <w:pPr>
              <w:pStyle w:val="Normal6"/>
            </w:pPr>
            <w:proofErr w:type="spellStart"/>
            <w:r w:rsidRPr="0050271E">
              <w:rPr>
                <w:color w:val="333333"/>
                <w:sz w:val="27"/>
                <w:shd w:val="clear" w:color="auto" w:fill="FFFFFF"/>
              </w:rPr>
              <w:lastRenderedPageBreak/>
              <w:t>EE</w:t>
            </w:r>
            <w:r w:rsidRPr="0050271E">
              <w:rPr>
                <w:rStyle w:val="oj-sub"/>
                <w:color w:val="333333"/>
                <w:sz w:val="17"/>
                <w:shd w:val="clear" w:color="auto" w:fill="FFFFFF"/>
                <w:vertAlign w:val="subscript"/>
              </w:rPr>
              <w:t>InpMat</w:t>
            </w:r>
            <w:proofErr w:type="spellEnd"/>
          </w:p>
        </w:tc>
        <w:tc>
          <w:tcPr>
            <w:tcW w:w="4876" w:type="dxa"/>
          </w:tcPr>
          <w:p w:rsidR="00107680" w:rsidRPr="0050271E" w:rsidRDefault="00107680" w:rsidP="009911C9">
            <w:pPr>
              <w:pStyle w:val="Normal6"/>
              <w:rPr>
                <w:szCs w:val="24"/>
              </w:rPr>
            </w:pPr>
            <w:proofErr w:type="spellStart"/>
            <w:r w:rsidRPr="0050271E">
              <w:rPr>
                <w:color w:val="333333"/>
                <w:sz w:val="27"/>
                <w:shd w:val="clear" w:color="auto" w:fill="FFFFFF"/>
              </w:rPr>
              <w:t>EE</w:t>
            </w:r>
            <w:r w:rsidRPr="0050271E">
              <w:rPr>
                <w:rStyle w:val="oj-sub"/>
                <w:color w:val="333333"/>
                <w:sz w:val="17"/>
                <w:shd w:val="clear" w:color="auto" w:fill="FFFFFF"/>
                <w:vertAlign w:val="subscript"/>
              </w:rPr>
              <w:t>InpMat</w:t>
            </w:r>
            <w:proofErr w:type="spellEnd"/>
          </w:p>
        </w:tc>
      </w:tr>
      <w:tr w:rsidR="00107680" w:rsidRPr="0050271E" w:rsidTr="009911C9">
        <w:trPr>
          <w:jc w:val="center"/>
        </w:trPr>
        <w:tc>
          <w:tcPr>
            <w:tcW w:w="4876" w:type="dxa"/>
          </w:tcPr>
          <w:p w:rsidR="00107680" w:rsidRPr="0050271E" w:rsidRDefault="00107680" w:rsidP="009911C9">
            <w:pPr>
              <w:pStyle w:val="Normal6"/>
              <w:rPr>
                <w:color w:val="333333"/>
                <w:sz w:val="27"/>
                <w:szCs w:val="27"/>
                <w:shd w:val="clear" w:color="auto" w:fill="FFFFFF"/>
              </w:rPr>
            </w:pPr>
            <w:proofErr w:type="gramStart"/>
            <w:r w:rsidRPr="0050271E">
              <w:t>to</w:t>
            </w:r>
            <w:proofErr w:type="gramEnd"/>
            <w:r w:rsidRPr="0050271E">
              <w:t xml:space="preserve"> emisje wbudowane z materiałów wsadowych (prekursorów) wykorzystanych w procesie produkcji. Uwzględnia się wyłącznie materiały wsadowe (prekursory) wymienione </w:t>
            </w:r>
            <w:r w:rsidRPr="0050271E">
              <w:rPr>
                <w:b/>
                <w:i/>
              </w:rPr>
              <w:t>jako istotne dla granic systemowych procesu produkcji, jak określono w akcie wykonawczym przyjętym</w:t>
            </w:r>
            <w:r w:rsidRPr="0050271E">
              <w:t xml:space="preserve"> na podstawie </w:t>
            </w:r>
            <w:r w:rsidRPr="0050271E">
              <w:rPr>
                <w:b/>
                <w:i/>
              </w:rPr>
              <w:t>art. 7 ust. 7</w:t>
            </w:r>
            <w:r w:rsidRPr="0050271E">
              <w:t xml:space="preserve">. Odpowiednie </w:t>
            </w:r>
            <w:proofErr w:type="spellStart"/>
            <w:r w:rsidRPr="0050271E">
              <w:t>EE</w:t>
            </w:r>
            <w:r w:rsidRPr="0050271E">
              <w:rPr>
                <w:vertAlign w:val="subscript"/>
              </w:rPr>
              <w:t>InpMat</w:t>
            </w:r>
            <w:proofErr w:type="spellEnd"/>
            <w:r w:rsidRPr="0050271E">
              <w:t xml:space="preserve"> oblicza się w następujący sposób:</w:t>
            </w:r>
          </w:p>
        </w:tc>
        <w:tc>
          <w:tcPr>
            <w:tcW w:w="4876" w:type="dxa"/>
          </w:tcPr>
          <w:p w:rsidR="00107680" w:rsidRPr="0050271E" w:rsidRDefault="00107680" w:rsidP="001F4D24">
            <w:pPr>
              <w:spacing w:after="120"/>
            </w:pPr>
            <w:proofErr w:type="gramStart"/>
            <w:r w:rsidRPr="0050271E">
              <w:t>to</w:t>
            </w:r>
            <w:proofErr w:type="gramEnd"/>
            <w:r w:rsidRPr="0050271E">
              <w:t xml:space="preserve"> emisje wbudowane z materiałów wsadowych (prekursorów) wykorzystanych w procesie produkcji. Uwzględnia się wyłącznie materiały wsadowe (prekursory) wymienione </w:t>
            </w:r>
            <w:r w:rsidRPr="0050271E">
              <w:rPr>
                <w:b/>
                <w:i/>
              </w:rPr>
              <w:t xml:space="preserve">w załączniku I </w:t>
            </w:r>
            <w:proofErr w:type="spellStart"/>
            <w:r w:rsidRPr="0050271E">
              <w:rPr>
                <w:b/>
                <w:i/>
              </w:rPr>
              <w:t>i</w:t>
            </w:r>
            <w:proofErr w:type="spellEnd"/>
            <w:r w:rsidRPr="0050271E">
              <w:rPr>
                <w:b/>
                <w:i/>
              </w:rPr>
              <w:t xml:space="preserve"> pochodzące z państw i terytoriów trzecich, które nie są zwolnione</w:t>
            </w:r>
            <w:r w:rsidRPr="0050271E">
              <w:t xml:space="preserve"> na podstawie </w:t>
            </w:r>
            <w:r w:rsidRPr="0050271E">
              <w:rPr>
                <w:b/>
                <w:i/>
              </w:rPr>
              <w:t xml:space="preserve">załącznika III </w:t>
            </w:r>
            <w:r w:rsidR="001F4D24">
              <w:rPr>
                <w:b/>
                <w:i/>
              </w:rPr>
              <w:t>punkt</w:t>
            </w:r>
            <w:r w:rsidR="001F4D24" w:rsidRPr="0050271E">
              <w:rPr>
                <w:b/>
                <w:i/>
              </w:rPr>
              <w:t xml:space="preserve"> </w:t>
            </w:r>
            <w:r w:rsidRPr="0050271E">
              <w:rPr>
                <w:b/>
                <w:i/>
              </w:rPr>
              <w:t>1</w:t>
            </w:r>
            <w:r w:rsidRPr="0050271E">
              <w:t xml:space="preserve">. Odpowiednie </w:t>
            </w:r>
            <w:proofErr w:type="spellStart"/>
            <w:r w:rsidRPr="0050271E">
              <w:t>EE</w:t>
            </w:r>
            <w:r w:rsidRPr="0050271E">
              <w:rPr>
                <w:vertAlign w:val="subscript"/>
              </w:rPr>
              <w:t>InpMat</w:t>
            </w:r>
            <w:proofErr w:type="spellEnd"/>
            <w:r w:rsidRPr="0050271E">
              <w:t xml:space="preserve"> oblicza się w następujący sposób:</w:t>
            </w:r>
          </w:p>
        </w:tc>
      </w:tr>
    </w:tbl>
    <w:p w:rsidR="00107680" w:rsidRPr="0050271E" w:rsidRDefault="00107680" w:rsidP="00107680"/>
    <w:p w:rsidR="00107680" w:rsidRPr="0050271E" w:rsidRDefault="00107680" w:rsidP="00107680"/>
    <w:sectPr w:rsidR="00107680" w:rsidRPr="0050271E" w:rsidSect="0050271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3F8" w:rsidRPr="0050271E" w:rsidRDefault="007963F8">
      <w:r w:rsidRPr="0050271E">
        <w:separator/>
      </w:r>
    </w:p>
  </w:endnote>
  <w:endnote w:type="continuationSeparator" w:id="0">
    <w:p w:rsidR="007963F8" w:rsidRPr="0050271E" w:rsidRDefault="007963F8">
      <w:r w:rsidRPr="00502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7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7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7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3F8" w:rsidRPr="0050271E" w:rsidRDefault="007963F8">
      <w:r w:rsidRPr="0050271E">
        <w:separator/>
      </w:r>
    </w:p>
  </w:footnote>
  <w:footnote w:type="continuationSeparator" w:id="0">
    <w:p w:rsidR="007963F8" w:rsidRPr="0050271E" w:rsidRDefault="007963F8">
      <w:r w:rsidRPr="0050271E">
        <w:continuationSeparator/>
      </w:r>
    </w:p>
  </w:footnote>
  <w:footnote w:id="1">
    <w:p w:rsidR="00A76D23" w:rsidRPr="00A76D23" w:rsidRDefault="00A76D23" w:rsidP="00A76D23">
      <w:pPr>
        <w:pStyle w:val="FootnoteText"/>
        <w:ind w:left="567" w:hanging="567"/>
        <w:rPr>
          <w:sz w:val="24"/>
          <w:szCs w:val="24"/>
          <w:lang w:val="pl-PL"/>
        </w:rPr>
      </w:pPr>
      <w:r w:rsidRPr="00A76D23">
        <w:rPr>
          <w:rStyle w:val="FootnoteReference"/>
          <w:sz w:val="24"/>
          <w:szCs w:val="24"/>
        </w:rPr>
        <w:footnoteRef/>
      </w:r>
      <w:r w:rsidRPr="00A76D23">
        <w:rPr>
          <w:sz w:val="24"/>
          <w:szCs w:val="24"/>
          <w:lang w:val="pl-PL"/>
        </w:rPr>
        <w:t xml:space="preserve"> </w:t>
      </w:r>
      <w:r w:rsidRPr="00A76D23">
        <w:rPr>
          <w:sz w:val="24"/>
          <w:szCs w:val="24"/>
          <w:lang w:val="pl-PL"/>
        </w:rPr>
        <w:tab/>
        <w:t>Sprawa została odesłana do komisji właściwej w celu przeprowadzenia negocjacji międzyinstyt</w:t>
      </w:r>
      <w:r w:rsidRPr="00A76D23">
        <w:rPr>
          <w:sz w:val="24"/>
          <w:szCs w:val="24"/>
          <w:lang w:val="pl-PL"/>
        </w:rPr>
        <w:t>ucjonalnych na podstawie art. 5</w:t>
      </w:r>
      <w:r>
        <w:rPr>
          <w:sz w:val="24"/>
          <w:szCs w:val="24"/>
          <w:lang w:val="pl-PL"/>
        </w:rPr>
        <w:t>60</w:t>
      </w:r>
      <w:r w:rsidRPr="00A76D23">
        <w:rPr>
          <w:sz w:val="24"/>
          <w:szCs w:val="24"/>
          <w:lang w:val="pl-PL"/>
        </w:rPr>
        <w:t>ust.</w:t>
      </w:r>
      <w:r w:rsidRPr="00A76D23">
        <w:rPr>
          <w:sz w:val="24"/>
          <w:szCs w:val="24"/>
          <w:lang w:val="pl-PL"/>
        </w:rPr>
        <w:t xml:space="preserve"> 4 akapit czwarty Regulaminu (A10</w:t>
      </w:r>
      <w:r>
        <w:rPr>
          <w:sz w:val="24"/>
          <w:szCs w:val="24"/>
          <w:lang w:val="pl-PL"/>
        </w:rPr>
        <w:t>-0085</w:t>
      </w:r>
      <w:bookmarkStart w:id="6" w:name="_GoBack"/>
      <w:bookmarkEnd w:id="6"/>
      <w:r w:rsidRPr="00A76D23">
        <w:rPr>
          <w:sz w:val="24"/>
          <w:szCs w:val="24"/>
          <w:lang w:val="pl-PL"/>
        </w:rPr>
        <w:t>/2025</w:t>
      </w:r>
      <w:r w:rsidRPr="00A76D23">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7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7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7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5/2025"/>
    <w:docVar w:name="dvlangue" w:val="PL"/>
    <w:docVar w:name="dvnumam" w:val="4"/>
    <w:docVar w:name="dvpe" w:val="773.301"/>
    <w:docVar w:name="dvrapporteur" w:val="Sprawozdawca: "/>
    <w:docVar w:name="dvstar" w:val="***I"/>
    <w:docVar w:name="dvtitre" w:val="Rezolucja ustawodawcza Parlamentu Europejskiego z dnia  2025 r. w sprawie wniosku dotyczącego rozporządzenia Parlamentu Europejskiego i Rady zmieniającego rozporządzenie (UE) 2023/956 w odniesieniu do uproszczenia i wzmocnienia mechanizmu dostosowywania cen na granicach z uwzględnieniem emisji CO2(COM(2025)0087 – C10-0035/2025 – 2025/0039(COD))"/>
  </w:docVars>
  <w:rsids>
    <w:rsidRoot w:val="007963F8"/>
    <w:rsid w:val="00002272"/>
    <w:rsid w:val="00064002"/>
    <w:rsid w:val="000677B9"/>
    <w:rsid w:val="000831BA"/>
    <w:rsid w:val="000A42CC"/>
    <w:rsid w:val="000E7DD9"/>
    <w:rsid w:val="0010095E"/>
    <w:rsid w:val="00107680"/>
    <w:rsid w:val="00125B37"/>
    <w:rsid w:val="00187494"/>
    <w:rsid w:val="001B1CE6"/>
    <w:rsid w:val="001F32AE"/>
    <w:rsid w:val="001F4D2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71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63F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D2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0558E"/>
  <w15:chartTrackingRefBased/>
  <w15:docId w15:val="{57EABAC1-A2B4-4A3B-A298-B85B56C3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7680"/>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107680"/>
    <w:pPr>
      <w:spacing w:after="120"/>
    </w:pPr>
  </w:style>
  <w:style w:type="paragraph" w:customStyle="1" w:styleId="PageHeading">
    <w:name w:val="PageHeading"/>
    <w:basedOn w:val="Normal"/>
    <w:rsid w:val="00107680"/>
    <w:pPr>
      <w:keepNext/>
      <w:spacing w:after="480"/>
      <w:jc w:val="center"/>
    </w:pPr>
    <w:rPr>
      <w:rFonts w:ascii="Arial" w:hAnsi="Arial" w:cs="Arial"/>
      <w:b/>
    </w:rPr>
  </w:style>
  <w:style w:type="paragraph" w:customStyle="1" w:styleId="NormalBold">
    <w:name w:val="NormalBold"/>
    <w:basedOn w:val="Normal"/>
    <w:link w:val="NormalBoldChar"/>
    <w:rsid w:val="00107680"/>
    <w:rPr>
      <w:b/>
    </w:rPr>
  </w:style>
  <w:style w:type="paragraph" w:customStyle="1" w:styleId="NormalHanging12a">
    <w:name w:val="NormalHanging12a"/>
    <w:basedOn w:val="Normal"/>
    <w:link w:val="NormalHanging12aChar"/>
    <w:rsid w:val="00107680"/>
    <w:pPr>
      <w:spacing w:after="240"/>
      <w:ind w:left="567" w:hanging="567"/>
    </w:pPr>
  </w:style>
  <w:style w:type="paragraph" w:styleId="Header">
    <w:name w:val="header"/>
    <w:basedOn w:val="Normal"/>
    <w:link w:val="HeaderChar"/>
    <w:rsid w:val="00107680"/>
    <w:pPr>
      <w:tabs>
        <w:tab w:val="center" w:pos="4513"/>
        <w:tab w:val="right" w:pos="9026"/>
      </w:tabs>
    </w:pPr>
  </w:style>
  <w:style w:type="character" w:customStyle="1" w:styleId="HeaderChar">
    <w:name w:val="Header Char"/>
    <w:basedOn w:val="DefaultParagraphFont"/>
    <w:link w:val="Header"/>
    <w:rsid w:val="00107680"/>
    <w:rPr>
      <w:sz w:val="24"/>
      <w:lang w:val="pl-PL"/>
    </w:rPr>
  </w:style>
  <w:style w:type="paragraph" w:customStyle="1" w:styleId="AmColumnHeading">
    <w:name w:val="AmColumnHeading"/>
    <w:basedOn w:val="Normal"/>
    <w:rsid w:val="00107680"/>
    <w:pPr>
      <w:spacing w:after="240"/>
      <w:jc w:val="center"/>
    </w:pPr>
    <w:rPr>
      <w:i/>
    </w:rPr>
  </w:style>
  <w:style w:type="paragraph" w:customStyle="1" w:styleId="AmNumberTabs">
    <w:name w:val="AmNumberTabs"/>
    <w:basedOn w:val="Normal"/>
    <w:rsid w:val="001076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07680"/>
    <w:pPr>
      <w:spacing w:before="240"/>
    </w:pPr>
    <w:rPr>
      <w:b/>
    </w:rPr>
  </w:style>
  <w:style w:type="paragraph" w:customStyle="1" w:styleId="EPFooter">
    <w:name w:val="EPFooter"/>
    <w:basedOn w:val="Normal"/>
    <w:rsid w:val="00107680"/>
    <w:pPr>
      <w:tabs>
        <w:tab w:val="center" w:pos="4535"/>
        <w:tab w:val="right" w:pos="9071"/>
      </w:tabs>
      <w:spacing w:before="240" w:after="240"/>
    </w:pPr>
    <w:rPr>
      <w:color w:val="010000"/>
      <w:sz w:val="22"/>
    </w:rPr>
  </w:style>
  <w:style w:type="paragraph" w:customStyle="1" w:styleId="EPComma">
    <w:name w:val="EPComma"/>
    <w:basedOn w:val="Normal"/>
    <w:rsid w:val="00107680"/>
    <w:pPr>
      <w:spacing w:before="480" w:after="240"/>
    </w:pPr>
  </w:style>
  <w:style w:type="character" w:customStyle="1" w:styleId="NormalBoldChar">
    <w:name w:val="NormalBold Char"/>
    <w:basedOn w:val="DefaultParagraphFont"/>
    <w:link w:val="NormalBold"/>
    <w:rsid w:val="00107680"/>
    <w:rPr>
      <w:b/>
      <w:sz w:val="24"/>
      <w:lang w:val="pl-PL"/>
    </w:rPr>
  </w:style>
  <w:style w:type="paragraph" w:customStyle="1" w:styleId="Normal6">
    <w:name w:val="Normal6"/>
    <w:basedOn w:val="Normal"/>
    <w:link w:val="Normal6Char"/>
    <w:rsid w:val="00107680"/>
    <w:pPr>
      <w:spacing w:after="120"/>
    </w:pPr>
  </w:style>
  <w:style w:type="character" w:customStyle="1" w:styleId="Normal6Char">
    <w:name w:val="Normal6 Char"/>
    <w:basedOn w:val="DefaultParagraphFont"/>
    <w:link w:val="Normal6"/>
    <w:rsid w:val="00107680"/>
    <w:rPr>
      <w:sz w:val="24"/>
      <w:lang w:val="pl-PL"/>
    </w:rPr>
  </w:style>
  <w:style w:type="paragraph" w:customStyle="1" w:styleId="ColumnHeading">
    <w:name w:val="ColumnHeading"/>
    <w:basedOn w:val="Normal"/>
    <w:rsid w:val="00107680"/>
    <w:pPr>
      <w:spacing w:after="240"/>
      <w:jc w:val="center"/>
    </w:pPr>
    <w:rPr>
      <w:i/>
    </w:rPr>
  </w:style>
  <w:style w:type="character" w:customStyle="1" w:styleId="NormalBold12bChar">
    <w:name w:val="NormalBold12b Char"/>
    <w:basedOn w:val="DefaultParagraphFont"/>
    <w:link w:val="NormalBold12b"/>
    <w:rsid w:val="00107680"/>
    <w:rPr>
      <w:b/>
      <w:sz w:val="24"/>
      <w:lang w:val="pl-PL"/>
    </w:rPr>
  </w:style>
  <w:style w:type="character" w:customStyle="1" w:styleId="oj-sub">
    <w:name w:val="oj-sub"/>
    <w:rsid w:val="00107680"/>
  </w:style>
  <w:style w:type="paragraph" w:customStyle="1" w:styleId="Normal12a">
    <w:name w:val="Normal12a"/>
    <w:basedOn w:val="Normal"/>
    <w:rsid w:val="00107680"/>
    <w:pPr>
      <w:spacing w:after="240"/>
    </w:pPr>
  </w:style>
  <w:style w:type="paragraph" w:customStyle="1" w:styleId="PageHeadingNotTOC">
    <w:name w:val="PageHeadingNotTOC"/>
    <w:basedOn w:val="Normal"/>
    <w:rsid w:val="00107680"/>
    <w:pPr>
      <w:keepNext/>
      <w:spacing w:after="480"/>
      <w:jc w:val="center"/>
    </w:pPr>
    <w:rPr>
      <w:rFonts w:ascii="Arial" w:hAnsi="Arial" w:cs="Arial"/>
      <w:b/>
    </w:rPr>
  </w:style>
  <w:style w:type="paragraph" w:customStyle="1" w:styleId="RollCallSymbols14pt">
    <w:name w:val="RollCallSymbols14pt"/>
    <w:basedOn w:val="Normal"/>
    <w:rsid w:val="0010768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07680"/>
    <w:pPr>
      <w:tabs>
        <w:tab w:val="center" w:pos="284"/>
        <w:tab w:val="left" w:pos="426"/>
      </w:tabs>
    </w:pPr>
    <w:rPr>
      <w:snapToGrid w:val="0"/>
      <w:lang w:eastAsia="en-US"/>
    </w:rPr>
  </w:style>
  <w:style w:type="paragraph" w:customStyle="1" w:styleId="RollCallVotes">
    <w:name w:val="RollCallVotes"/>
    <w:basedOn w:val="Normal"/>
    <w:rsid w:val="00107680"/>
    <w:pPr>
      <w:spacing w:before="120" w:after="120"/>
      <w:jc w:val="center"/>
    </w:pPr>
    <w:rPr>
      <w:b/>
      <w:bCs/>
      <w:snapToGrid w:val="0"/>
      <w:sz w:val="16"/>
      <w:lang w:eastAsia="en-US"/>
    </w:rPr>
  </w:style>
  <w:style w:type="paragraph" w:customStyle="1" w:styleId="RollCallTable">
    <w:name w:val="RollCallTable"/>
    <w:basedOn w:val="Normal"/>
    <w:rsid w:val="00107680"/>
    <w:pPr>
      <w:spacing w:before="120" w:after="120"/>
    </w:pPr>
    <w:rPr>
      <w:snapToGrid w:val="0"/>
      <w:sz w:val="16"/>
      <w:lang w:eastAsia="en-US"/>
    </w:rPr>
  </w:style>
  <w:style w:type="paragraph" w:customStyle="1" w:styleId="Normal24a">
    <w:name w:val="Normal24a"/>
    <w:basedOn w:val="Normal"/>
    <w:rsid w:val="00107680"/>
    <w:pPr>
      <w:spacing w:after="480"/>
    </w:pPr>
  </w:style>
  <w:style w:type="paragraph" w:customStyle="1" w:styleId="Footprint12b">
    <w:name w:val="Footprint12b"/>
    <w:basedOn w:val="Normal"/>
    <w:rsid w:val="00107680"/>
    <w:pPr>
      <w:spacing w:before="240"/>
    </w:pPr>
    <w:rPr>
      <w:szCs w:val="24"/>
    </w:rPr>
  </w:style>
  <w:style w:type="character" w:customStyle="1" w:styleId="NormalHanging12aChar">
    <w:name w:val="NormalHanging12a Char"/>
    <w:basedOn w:val="DefaultParagraphFont"/>
    <w:link w:val="NormalHanging12a"/>
    <w:locked/>
    <w:rsid w:val="00107680"/>
    <w:rPr>
      <w:sz w:val="24"/>
      <w:lang w:val="pl-PL"/>
    </w:rPr>
  </w:style>
  <w:style w:type="character" w:styleId="Hyperlink">
    <w:name w:val="Hyperlink"/>
    <w:basedOn w:val="DefaultParagraphFont"/>
    <w:rsid w:val="00107680"/>
    <w:rPr>
      <w:color w:val="0563C1" w:themeColor="hyperlink"/>
      <w:u w:val="single"/>
    </w:rPr>
  </w:style>
  <w:style w:type="paragraph" w:styleId="BalloonText">
    <w:name w:val="Balloon Text"/>
    <w:basedOn w:val="Normal"/>
    <w:link w:val="BalloonTextChar"/>
    <w:rsid w:val="001F4D24"/>
    <w:rPr>
      <w:rFonts w:ascii="Segoe UI" w:hAnsi="Segoe UI" w:cs="Segoe UI"/>
      <w:sz w:val="18"/>
      <w:szCs w:val="18"/>
    </w:rPr>
  </w:style>
  <w:style w:type="character" w:customStyle="1" w:styleId="BalloonTextChar">
    <w:name w:val="Balloon Text Char"/>
    <w:basedOn w:val="DefaultParagraphFont"/>
    <w:link w:val="BalloonText"/>
    <w:rsid w:val="001F4D24"/>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53036-349F-4A58-8F6F-BF17C55D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2025-05-22T12:59:00Z</dcterms:created>
  <dcterms:modified xsi:type="dcterms:W3CDTF">2025-05-22T12:59:00Z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A10-0085/2025</vt:lpwstr>
  </property>
  <property fmtid="{D5CDD505-2E9C-101B-9397-08002B2CF9AE}" pid="4" name="&lt;Type&gt;">
    <vt:lpwstr>RR</vt:lpwstr>
  </property>
</Properties>
</file>