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0F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0F66" w:rsidRDefault="00425E81" w:rsidP="0010095E">
            <w:pPr>
              <w:pStyle w:val="EPName"/>
            </w:pPr>
            <w:bookmarkStart w:id="0" w:name="_GoBack"/>
            <w:bookmarkEnd w:id="0"/>
            <w:r w:rsidRPr="008C0F66">
              <w:t>Parlamentul European</w:t>
            </w:r>
          </w:p>
          <w:p w:rsidR="00751A4A" w:rsidRPr="008C0F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0F66">
              <w:t>2024</w:t>
            </w:r>
            <w:r w:rsidR="00817416" w:rsidRPr="008C0F66">
              <w:t>-202</w:t>
            </w:r>
            <w:r w:rsidRPr="008C0F6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0F66" w:rsidRDefault="00187494" w:rsidP="0010095E">
            <w:pPr>
              <w:pStyle w:val="EPLogo"/>
            </w:pPr>
            <w:r w:rsidRPr="008C0F6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0F66" w:rsidRDefault="00D058B8" w:rsidP="004C5D52">
      <w:pPr>
        <w:pStyle w:val="LineTop"/>
      </w:pPr>
    </w:p>
    <w:p w:rsidR="00680577" w:rsidRPr="008C0F66" w:rsidRDefault="00425E81" w:rsidP="00680577">
      <w:pPr>
        <w:pStyle w:val="EPBodyTA1"/>
      </w:pPr>
      <w:r w:rsidRPr="008C0F66">
        <w:t>TEXTE ADOPTATE</w:t>
      </w:r>
    </w:p>
    <w:p w:rsidR="00D058B8" w:rsidRPr="008C0F66" w:rsidRDefault="00D058B8" w:rsidP="00D058B8">
      <w:pPr>
        <w:pStyle w:val="LineBottom"/>
      </w:pPr>
    </w:p>
    <w:p w:rsidR="00425E81" w:rsidRPr="008C0F66" w:rsidRDefault="00425E81" w:rsidP="00425E81">
      <w:pPr>
        <w:pStyle w:val="ATHeading1"/>
      </w:pPr>
      <w:bookmarkStart w:id="1" w:name="TANumber"/>
      <w:r w:rsidRPr="008C0F66">
        <w:t>P10_TA(2025)0</w:t>
      </w:r>
      <w:bookmarkEnd w:id="1"/>
      <w:r w:rsidR="009525C1" w:rsidRPr="008C0F66">
        <w:t>108</w:t>
      </w:r>
    </w:p>
    <w:p w:rsidR="00425E81" w:rsidRPr="008C0F66" w:rsidRDefault="00425E81" w:rsidP="00425E81">
      <w:pPr>
        <w:pStyle w:val="ATHeading2"/>
      </w:pPr>
      <w:bookmarkStart w:id="2" w:name="title"/>
      <w:r w:rsidRPr="008C0F66">
        <w:t>Modificarea Regulamentului (UE) 2023/956 în ceea ce privește simplificarea și consolidarea mecanismului de ajustare a carbonului la frontieră</w:t>
      </w:r>
      <w:bookmarkEnd w:id="2"/>
    </w:p>
    <w:p w:rsidR="00425E81" w:rsidRPr="008C0F66" w:rsidRDefault="00425E81" w:rsidP="00425E81">
      <w:pPr>
        <w:rPr>
          <w:i/>
          <w:vanish/>
        </w:rPr>
      </w:pPr>
      <w:r w:rsidRPr="008C0F66">
        <w:rPr>
          <w:i/>
        </w:rPr>
        <w:fldChar w:fldCharType="begin"/>
      </w:r>
      <w:r w:rsidRPr="008C0F66">
        <w:rPr>
          <w:i/>
        </w:rPr>
        <w:instrText xml:space="preserve"> TC"(</w:instrText>
      </w:r>
      <w:bookmarkStart w:id="3" w:name="DocNumber"/>
      <w:r w:rsidRPr="008C0F66">
        <w:rPr>
          <w:i/>
        </w:rPr>
        <w:instrText>A10-0085/2025</w:instrText>
      </w:r>
      <w:bookmarkEnd w:id="3"/>
      <w:r w:rsidRPr="008C0F66">
        <w:rPr>
          <w:i/>
        </w:rPr>
        <w:instrText xml:space="preserve"> - Raportor: Antonio Decaro)"\l3 \n&gt; \* MERGEFORMAT </w:instrText>
      </w:r>
      <w:r w:rsidRPr="008C0F66">
        <w:rPr>
          <w:i/>
        </w:rPr>
        <w:fldChar w:fldCharType="end"/>
      </w:r>
    </w:p>
    <w:p w:rsidR="00425E81" w:rsidRPr="008C0F66" w:rsidRDefault="00425E81" w:rsidP="00425E81">
      <w:pPr>
        <w:rPr>
          <w:vanish/>
        </w:rPr>
      </w:pPr>
      <w:bookmarkStart w:id="4" w:name="Commission"/>
      <w:r w:rsidRPr="008C0F66">
        <w:rPr>
          <w:vanish/>
        </w:rPr>
        <w:t>Comisia pentru mediu, climă și siguranță alimentară</w:t>
      </w:r>
      <w:bookmarkEnd w:id="4"/>
    </w:p>
    <w:p w:rsidR="00425E81" w:rsidRPr="008C0F66" w:rsidRDefault="00425E81" w:rsidP="00425E81">
      <w:pPr>
        <w:rPr>
          <w:vanish/>
        </w:rPr>
      </w:pPr>
      <w:bookmarkStart w:id="5" w:name="PE"/>
      <w:r w:rsidRPr="008C0F66">
        <w:rPr>
          <w:vanish/>
        </w:rPr>
        <w:t>PE773.301</w:t>
      </w:r>
      <w:bookmarkEnd w:id="5"/>
    </w:p>
    <w:p w:rsidR="00425E81" w:rsidRPr="008C0F66" w:rsidRDefault="009525C1" w:rsidP="00425E81">
      <w:pPr>
        <w:pStyle w:val="ATHeading3"/>
      </w:pPr>
      <w:bookmarkStart w:id="6" w:name="Sujet"/>
      <w:r w:rsidRPr="008C0F66">
        <w:t>Amendamentele adoptate de</w:t>
      </w:r>
      <w:r w:rsidR="00425E81" w:rsidRPr="008C0F66">
        <w:t xml:space="preserve"> Parlamentul European </w:t>
      </w:r>
      <w:r w:rsidRPr="008C0F66">
        <w:t>la</w:t>
      </w:r>
      <w:r w:rsidR="00425E81" w:rsidRPr="008C0F66">
        <w:t xml:space="preserve"> 22 mai 2025 referitoare la propunerea de regulament al Parlamentului European și al Consiliului de modificare a Regulamentului (UE) 2023/956 în ceea ce privește simplificarea și consolidarea mecanismului de ajustare a carbonului la frontieră</w:t>
      </w:r>
      <w:bookmarkEnd w:id="6"/>
      <w:r w:rsidR="00425E81" w:rsidRPr="008C0F66">
        <w:t xml:space="preserve"> </w:t>
      </w:r>
      <w:bookmarkStart w:id="7" w:name="References"/>
      <w:r w:rsidR="00425E81" w:rsidRPr="008C0F66">
        <w:t>(COM(2025)0087 – C10-0035/2025 – 2025/0039(COD))</w:t>
      </w:r>
      <w:bookmarkEnd w:id="7"/>
      <w:r w:rsidRPr="008C0F66">
        <w:rPr>
          <w:rStyle w:val="FootnoteReference"/>
          <w:szCs w:val="24"/>
        </w:rPr>
        <w:footnoteReference w:id="1"/>
      </w:r>
    </w:p>
    <w:p w:rsidR="008B72E8" w:rsidRPr="008C0F66" w:rsidRDefault="008B72E8" w:rsidP="008B72E8">
      <w:pPr>
        <w:pStyle w:val="NormalBold"/>
      </w:pPr>
      <w:bookmarkStart w:id="8" w:name="TextBodyBegin"/>
      <w:bookmarkEnd w:id="8"/>
      <w:r w:rsidRPr="008C0F66">
        <w:t>(Procedura legislativă ordinară: prima lectură)</w:t>
      </w:r>
    </w:p>
    <w:p w:rsidR="008B72E8" w:rsidRPr="008C0F66" w:rsidRDefault="008B72E8" w:rsidP="00476256">
      <w:pPr>
        <w:pStyle w:val="AmNumberTabs"/>
      </w:pPr>
      <w:r w:rsidRPr="008C0F66">
        <w:t>Amendamentul</w:t>
      </w:r>
      <w:r w:rsidRPr="008C0F66">
        <w:tab/>
      </w:r>
      <w:r w:rsidRPr="008C0F66">
        <w:tab/>
        <w:t>1</w:t>
      </w:r>
    </w:p>
    <w:p w:rsidR="008B72E8" w:rsidRPr="008C0F66" w:rsidRDefault="008B72E8" w:rsidP="008B72E8">
      <w:pPr>
        <w:pStyle w:val="NormalBold12b"/>
      </w:pPr>
      <w:r w:rsidRPr="008C0F66">
        <w:t>Propunere de regulament</w:t>
      </w:r>
    </w:p>
    <w:p w:rsidR="008B72E8" w:rsidRPr="008C0F66" w:rsidRDefault="008B72E8" w:rsidP="008B72E8">
      <w:pPr>
        <w:pStyle w:val="NormalBold"/>
      </w:pPr>
      <w:r w:rsidRPr="008C0F66">
        <w:t>Considerentul 25 a (nou)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B72E8" w:rsidRPr="008C0F66" w:rsidTr="0098071A">
        <w:trPr>
          <w:jc w:val="center"/>
        </w:trPr>
        <w:tc>
          <w:tcPr>
            <w:tcW w:w="9752" w:type="dxa"/>
            <w:gridSpan w:val="2"/>
          </w:tcPr>
          <w:p w:rsidR="008B72E8" w:rsidRPr="008C0F66" w:rsidRDefault="008B72E8" w:rsidP="0098071A">
            <w:pPr>
              <w:keepNext/>
            </w:pP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ColumnHeading"/>
              <w:keepNext/>
            </w:pPr>
            <w:r w:rsidRPr="008C0F66">
              <w:t>Textul propus de Comisie</w:t>
            </w:r>
          </w:p>
        </w:tc>
        <w:tc>
          <w:tcPr>
            <w:tcW w:w="4876" w:type="dxa"/>
          </w:tcPr>
          <w:p w:rsidR="008B72E8" w:rsidRPr="008C0F66" w:rsidRDefault="008B72E8" w:rsidP="0098071A">
            <w:pPr>
              <w:pStyle w:val="ColumnHeading"/>
              <w:keepNext/>
            </w:pPr>
            <w:r w:rsidRPr="008C0F66">
              <w:t>Amendamentul</w:t>
            </w: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Normal6"/>
            </w:pPr>
          </w:p>
        </w:tc>
        <w:tc>
          <w:tcPr>
            <w:tcW w:w="4876" w:type="dxa"/>
          </w:tcPr>
          <w:p w:rsidR="008B72E8" w:rsidRPr="008C0F66" w:rsidRDefault="008B72E8" w:rsidP="0098071A">
            <w:pPr>
              <w:pStyle w:val="Normal6"/>
              <w:rPr>
                <w:szCs w:val="24"/>
              </w:rPr>
            </w:pPr>
            <w:r w:rsidRPr="008C0F66">
              <w:rPr>
                <w:b/>
                <w:i/>
              </w:rPr>
              <w:t>(25a)</w:t>
            </w:r>
            <w:r w:rsidRPr="008C0F66">
              <w:rPr>
                <w:b/>
                <w:i/>
              </w:rPr>
              <w:tab/>
              <w:t>CBAM se aplică importului de energie electrică, dar nu ar trebui să se aplice energiei electrice produse integral în zona economică exclusivă a unui stat membru al SEE și importate direct pe teritoriul vamal al Uniunii;</w:t>
            </w:r>
          </w:p>
        </w:tc>
      </w:tr>
    </w:tbl>
    <w:p w:rsidR="008B72E8" w:rsidRPr="008C0F66" w:rsidRDefault="008B72E8" w:rsidP="008B72E8"/>
    <w:p w:rsidR="008B72E8" w:rsidRPr="008C0F66" w:rsidRDefault="008B72E8" w:rsidP="008B72E8">
      <w:pPr>
        <w:pStyle w:val="AmNumberTabs"/>
      </w:pPr>
      <w:r w:rsidRPr="008C0F66">
        <w:t>Amendamentul</w:t>
      </w:r>
      <w:r w:rsidRPr="008C0F66">
        <w:tab/>
      </w:r>
      <w:r w:rsidRPr="008C0F66">
        <w:tab/>
        <w:t>2</w:t>
      </w:r>
    </w:p>
    <w:p w:rsidR="008B72E8" w:rsidRPr="008C0F66" w:rsidRDefault="008B72E8" w:rsidP="008B72E8">
      <w:pPr>
        <w:pStyle w:val="NormalBold12b"/>
      </w:pPr>
      <w:r w:rsidRPr="008C0F66">
        <w:t>Propunere de regulament</w:t>
      </w:r>
    </w:p>
    <w:p w:rsidR="008B72E8" w:rsidRPr="008C0F66" w:rsidRDefault="008B72E8" w:rsidP="008B72E8">
      <w:pPr>
        <w:pStyle w:val="NormalBold"/>
      </w:pPr>
      <w:r w:rsidRPr="008C0F66">
        <w:t>Articolul 1 – paragraful 1 – punctul 1 – litera b</w:t>
      </w:r>
      <w:r w:rsidR="00AE6657" w:rsidRPr="008C0F66">
        <w:t xml:space="preserve"> </w:t>
      </w:r>
      <w:r w:rsidRPr="008C0F66">
        <w:t>a (nouă)</w:t>
      </w:r>
    </w:p>
    <w:p w:rsidR="008B72E8" w:rsidRPr="008C0F66" w:rsidRDefault="008B72E8" w:rsidP="008B72E8">
      <w:pPr>
        <w:keepNext/>
      </w:pPr>
      <w:r w:rsidRPr="008C0F66">
        <w:t>Regulamentul (UE) 2023/956</w:t>
      </w:r>
    </w:p>
    <w:p w:rsidR="008B72E8" w:rsidRPr="008C0F66" w:rsidRDefault="008B72E8" w:rsidP="008B72E8">
      <w:r w:rsidRPr="008C0F66">
        <w:t>Articolul 2 – paragraful 3 b (nou)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B72E8" w:rsidRPr="008C0F66" w:rsidTr="0098071A">
        <w:trPr>
          <w:jc w:val="center"/>
        </w:trPr>
        <w:tc>
          <w:tcPr>
            <w:tcW w:w="9752" w:type="dxa"/>
            <w:gridSpan w:val="2"/>
          </w:tcPr>
          <w:p w:rsidR="008B72E8" w:rsidRPr="008C0F66" w:rsidRDefault="008B72E8" w:rsidP="0098071A">
            <w:pPr>
              <w:keepNext/>
            </w:pP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ColumnHeading"/>
              <w:keepNext/>
            </w:pPr>
            <w:r w:rsidRPr="008C0F66">
              <w:t>Textul propus de Comisie</w:t>
            </w:r>
          </w:p>
        </w:tc>
        <w:tc>
          <w:tcPr>
            <w:tcW w:w="4876" w:type="dxa"/>
          </w:tcPr>
          <w:p w:rsidR="008B72E8" w:rsidRPr="008C0F66" w:rsidRDefault="008B72E8" w:rsidP="0098071A">
            <w:pPr>
              <w:pStyle w:val="ColumnHeading"/>
              <w:keepNext/>
            </w:pPr>
            <w:r w:rsidRPr="008C0F66">
              <w:t>Amendamentul</w:t>
            </w: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Normal6"/>
            </w:pPr>
          </w:p>
        </w:tc>
        <w:tc>
          <w:tcPr>
            <w:tcW w:w="4876" w:type="dxa"/>
          </w:tcPr>
          <w:p w:rsidR="008B72E8" w:rsidRPr="008C0F66" w:rsidRDefault="008B72E8" w:rsidP="0098071A">
            <w:pPr>
              <w:pStyle w:val="Normal6"/>
              <w:rPr>
                <w:szCs w:val="24"/>
              </w:rPr>
            </w:pPr>
            <w:r w:rsidRPr="008C0F66">
              <w:rPr>
                <w:b/>
                <w:i/>
              </w:rPr>
              <w:t>(ba)</w:t>
            </w:r>
            <w:r w:rsidRPr="008C0F66">
              <w:rPr>
                <w:b/>
                <w:i/>
              </w:rPr>
              <w:tab/>
              <w:t>se introduce următorul alineat (3b):</w:t>
            </w: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Normal6"/>
            </w:pPr>
          </w:p>
        </w:tc>
        <w:tc>
          <w:tcPr>
            <w:tcW w:w="4876" w:type="dxa"/>
          </w:tcPr>
          <w:p w:rsidR="008B72E8" w:rsidRPr="008C0F66" w:rsidRDefault="008B72E8" w:rsidP="0098071A">
            <w:pPr>
              <w:pStyle w:val="Normal6"/>
              <w:rPr>
                <w:szCs w:val="24"/>
              </w:rPr>
            </w:pPr>
            <w:r w:rsidRPr="008C0F66">
              <w:rPr>
                <w:b/>
                <w:i/>
              </w:rPr>
              <w:t>3b.</w:t>
            </w:r>
            <w:r w:rsidRPr="008C0F66">
              <w:tab/>
            </w:r>
            <w:r w:rsidRPr="008C0F66">
              <w:rPr>
                <w:b/>
                <w:i/>
              </w:rPr>
              <w:t>Prin derogare de la alineatele (1) și (2), prezentul regulament nu se aplică energiei electrice produse integral în zona economică exclusivă a unui stat membru al SEE și importate direct pe teritoriul vamal al Uniunii.</w:t>
            </w:r>
          </w:p>
        </w:tc>
      </w:tr>
    </w:tbl>
    <w:p w:rsidR="008B72E8" w:rsidRPr="008C0F66" w:rsidRDefault="008B72E8" w:rsidP="008B72E8"/>
    <w:p w:rsidR="008B72E8" w:rsidRPr="008C0F66" w:rsidRDefault="008B72E8" w:rsidP="008B72E8">
      <w:pPr>
        <w:pStyle w:val="AmNumberTabs"/>
      </w:pPr>
      <w:r w:rsidRPr="008C0F66">
        <w:t>Amendamentul</w:t>
      </w:r>
      <w:r w:rsidRPr="008C0F66">
        <w:tab/>
      </w:r>
      <w:r w:rsidRPr="008C0F66">
        <w:tab/>
        <w:t>3</w:t>
      </w:r>
    </w:p>
    <w:p w:rsidR="008B72E8" w:rsidRPr="008C0F66" w:rsidRDefault="008B72E8" w:rsidP="008B72E8">
      <w:pPr>
        <w:pStyle w:val="NormalBold12b"/>
      </w:pPr>
      <w:r w:rsidRPr="008C0F66">
        <w:t>Propunere de regulament</w:t>
      </w:r>
    </w:p>
    <w:p w:rsidR="008B72E8" w:rsidRPr="008C0F66" w:rsidRDefault="008B72E8" w:rsidP="008B72E8">
      <w:pPr>
        <w:pStyle w:val="NormalBold"/>
      </w:pPr>
      <w:r w:rsidRPr="008C0F66">
        <w:t>Anexa I – paragraful 1 – punctul 1 a (nou)</w:t>
      </w:r>
    </w:p>
    <w:p w:rsidR="008B72E8" w:rsidRPr="008C0F66" w:rsidRDefault="008B72E8" w:rsidP="008B72E8">
      <w:pPr>
        <w:keepNext/>
      </w:pPr>
      <w:r w:rsidRPr="008C0F66">
        <w:t>Regulamentul (UE) 2023/956</w:t>
      </w:r>
    </w:p>
    <w:p w:rsidR="008B72E8" w:rsidRPr="008C0F66" w:rsidRDefault="008B72E8" w:rsidP="008B72E8">
      <w:r w:rsidRPr="008C0F66">
        <w:t xml:space="preserve">Anexa IV – punctul 3 – paragraful 1 – teza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B72E8" w:rsidRPr="008C0F66" w:rsidTr="0098071A">
        <w:trPr>
          <w:jc w:val="center"/>
        </w:trPr>
        <w:tc>
          <w:tcPr>
            <w:tcW w:w="9752" w:type="dxa"/>
            <w:gridSpan w:val="2"/>
          </w:tcPr>
          <w:p w:rsidR="008B72E8" w:rsidRPr="008C0F66" w:rsidRDefault="008B72E8" w:rsidP="0098071A">
            <w:pPr>
              <w:keepNext/>
            </w:pP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ColumnHeading"/>
              <w:keepNext/>
            </w:pPr>
            <w:r w:rsidRPr="008C0F66">
              <w:t>Textul în vigoare</w:t>
            </w:r>
          </w:p>
        </w:tc>
        <w:tc>
          <w:tcPr>
            <w:tcW w:w="4876" w:type="dxa"/>
          </w:tcPr>
          <w:p w:rsidR="008B72E8" w:rsidRPr="008C0F66" w:rsidRDefault="008B72E8" w:rsidP="0098071A">
            <w:pPr>
              <w:pStyle w:val="ColumnHeading"/>
              <w:keepNext/>
            </w:pPr>
            <w:r w:rsidRPr="008C0F66">
              <w:t>Amendamentul</w:t>
            </w: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Normal6"/>
            </w:pPr>
          </w:p>
        </w:tc>
        <w:tc>
          <w:tcPr>
            <w:tcW w:w="4876" w:type="dxa"/>
          </w:tcPr>
          <w:p w:rsidR="008B72E8" w:rsidRPr="008C0F66" w:rsidRDefault="008B72E8" w:rsidP="008C0F66">
            <w:pPr>
              <w:spacing w:after="120"/>
              <w:rPr>
                <w:szCs w:val="24"/>
              </w:rPr>
            </w:pPr>
            <w:r w:rsidRPr="008C0F66">
              <w:rPr>
                <w:b/>
                <w:i/>
              </w:rPr>
              <w:t>(1a)</w:t>
            </w:r>
            <w:r w:rsidRPr="008C0F66">
              <w:rPr>
                <w:b/>
                <w:i/>
              </w:rPr>
              <w:tab/>
              <w:t xml:space="preserve">La punctul 3, în notele care explică formula pentru </w:t>
            </w:r>
            <w:proofErr w:type="spellStart"/>
            <w:r w:rsidRPr="008C0F66">
              <w:rPr>
                <w:b/>
                <w:i/>
              </w:rPr>
              <w:t>SEEg</w:t>
            </w:r>
            <w:proofErr w:type="spellEnd"/>
            <w:r w:rsidRPr="008C0F66">
              <w:rPr>
                <w:b/>
                <w:i/>
              </w:rPr>
              <w:t xml:space="preserve"> de la primul paragraf, nota pentru </w:t>
            </w:r>
            <w:proofErr w:type="spellStart"/>
            <w:r w:rsidR="00476256" w:rsidRPr="008C0F66">
              <w:rPr>
                <w:b/>
                <w:i/>
              </w:rPr>
              <w:t>EEInpMat</w:t>
            </w:r>
            <w:proofErr w:type="spellEnd"/>
            <w:r w:rsidRPr="008C0F66">
              <w:rPr>
                <w:b/>
                <w:i/>
              </w:rPr>
              <w:t xml:space="preserve"> se înlocuiește cu:</w:t>
            </w:r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Normal6"/>
            </w:pPr>
            <w:proofErr w:type="spellStart"/>
            <w:r w:rsidRPr="008C0F66">
              <w:rPr>
                <w:sz w:val="27"/>
                <w:shd w:val="clear" w:color="auto" w:fill="FFFFFF"/>
              </w:rPr>
              <w:t>EE</w:t>
            </w:r>
            <w:r w:rsidRPr="008C0F66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8B72E8" w:rsidRPr="008C0F66" w:rsidRDefault="008B72E8" w:rsidP="0098071A">
            <w:pPr>
              <w:pStyle w:val="Normal6"/>
              <w:rPr>
                <w:szCs w:val="24"/>
              </w:rPr>
            </w:pPr>
            <w:proofErr w:type="spellStart"/>
            <w:r w:rsidRPr="008C0F66">
              <w:rPr>
                <w:sz w:val="27"/>
                <w:shd w:val="clear" w:color="auto" w:fill="FFFFFF"/>
              </w:rPr>
              <w:t>EE</w:t>
            </w:r>
            <w:r w:rsidRPr="008C0F66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8B72E8" w:rsidRPr="008C0F66" w:rsidTr="0098071A">
        <w:trPr>
          <w:jc w:val="center"/>
        </w:trPr>
        <w:tc>
          <w:tcPr>
            <w:tcW w:w="4876" w:type="dxa"/>
          </w:tcPr>
          <w:p w:rsidR="008B72E8" w:rsidRPr="008C0F66" w:rsidRDefault="008B72E8" w:rsidP="0098071A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8C0F66">
              <w:t xml:space="preserve">reprezintă emisiile încorporate ale materiilor prime (precursori) consumate în procesul de producție. Trebuie luate în considerare numai materiile prime (precursori) enumerate </w:t>
            </w:r>
            <w:r w:rsidRPr="008C0F66">
              <w:rPr>
                <w:b/>
                <w:i/>
              </w:rPr>
              <w:t>ca fiind relevante pentru limitele de sistem ale procesului de producție, astfel cum se specifică în actul de punere în aplicare adoptat</w:t>
            </w:r>
            <w:r w:rsidRPr="008C0F66">
              <w:t xml:space="preserve"> în temeiul </w:t>
            </w:r>
            <w:r w:rsidRPr="008C0F66">
              <w:rPr>
                <w:b/>
                <w:i/>
              </w:rPr>
              <w:t>articolului</w:t>
            </w:r>
            <w:r w:rsidRPr="008C0F66">
              <w:t> </w:t>
            </w:r>
            <w:r w:rsidRPr="008C0F66">
              <w:rPr>
                <w:b/>
                <w:i/>
              </w:rPr>
              <w:t>7 alineatul</w:t>
            </w:r>
            <w:r w:rsidRPr="008C0F66">
              <w:t> </w:t>
            </w:r>
            <w:r w:rsidRPr="008C0F66">
              <w:rPr>
                <w:b/>
                <w:i/>
              </w:rPr>
              <w:t>(7)</w:t>
            </w:r>
            <w:r w:rsidRPr="008C0F66">
              <w:t xml:space="preserve">. </w:t>
            </w:r>
            <w:proofErr w:type="spellStart"/>
            <w:r w:rsidRPr="008C0F66">
              <w:t>EE</w:t>
            </w:r>
            <w:r w:rsidRPr="008C0F66">
              <w:rPr>
                <w:vertAlign w:val="subscript"/>
              </w:rPr>
              <w:t>InpMat</w:t>
            </w:r>
            <w:proofErr w:type="spellEnd"/>
            <w:r w:rsidRPr="008C0F66">
              <w:rPr>
                <w:b/>
                <w:i/>
              </w:rPr>
              <w:t xml:space="preserve"> </w:t>
            </w:r>
            <w:r w:rsidRPr="008C0F66">
              <w:t>relevante se calculează după cum urmează:</w:t>
            </w:r>
          </w:p>
        </w:tc>
        <w:tc>
          <w:tcPr>
            <w:tcW w:w="4876" w:type="dxa"/>
          </w:tcPr>
          <w:p w:rsidR="008B72E8" w:rsidRPr="008C0F66" w:rsidRDefault="008B72E8" w:rsidP="008C0F66">
            <w:pPr>
              <w:pStyle w:val="RollCallVotes"/>
              <w:spacing w:before="0"/>
              <w:jc w:val="left"/>
              <w:rPr>
                <w:szCs w:val="24"/>
              </w:rPr>
            </w:pPr>
            <w:r w:rsidRPr="008C0F66">
              <w:rPr>
                <w:b w:val="0"/>
                <w:sz w:val="24"/>
                <w:szCs w:val="24"/>
              </w:rPr>
              <w:t xml:space="preserve">reprezintă emisiile încorporate ale materiilor prime (precursori) consumate în procesul de producție. Trebuie luate în considerare numai materiile prime (precursori) enumerate </w:t>
            </w:r>
            <w:r w:rsidRPr="008C0F66">
              <w:rPr>
                <w:i/>
                <w:sz w:val="24"/>
                <w:szCs w:val="24"/>
              </w:rPr>
              <w:t>în anexa I și originare din țări și teritorii terțe care nu sunt exceptate</w:t>
            </w:r>
            <w:r w:rsidRPr="008C0F66">
              <w:rPr>
                <w:sz w:val="24"/>
                <w:szCs w:val="24"/>
              </w:rPr>
              <w:t xml:space="preserve"> </w:t>
            </w:r>
            <w:r w:rsidRPr="008C0F66">
              <w:rPr>
                <w:b w:val="0"/>
                <w:sz w:val="24"/>
                <w:szCs w:val="24"/>
              </w:rPr>
              <w:t>în temeiul</w:t>
            </w:r>
            <w:r w:rsidRPr="008C0F66">
              <w:rPr>
                <w:sz w:val="24"/>
                <w:szCs w:val="24"/>
              </w:rPr>
              <w:t xml:space="preserve"> </w:t>
            </w:r>
            <w:r w:rsidRPr="008C0F66">
              <w:rPr>
                <w:i/>
                <w:sz w:val="24"/>
                <w:szCs w:val="24"/>
              </w:rPr>
              <w:t>anexei</w:t>
            </w:r>
            <w:r w:rsidRPr="008C0F66">
              <w:rPr>
                <w:sz w:val="24"/>
                <w:szCs w:val="24"/>
              </w:rPr>
              <w:t> </w:t>
            </w:r>
            <w:r w:rsidRPr="008C0F66">
              <w:rPr>
                <w:i/>
                <w:sz w:val="24"/>
                <w:szCs w:val="24"/>
              </w:rPr>
              <w:t xml:space="preserve">III </w:t>
            </w:r>
            <w:r w:rsidR="00476256" w:rsidRPr="008C0F66">
              <w:rPr>
                <w:i/>
                <w:sz w:val="24"/>
                <w:szCs w:val="24"/>
              </w:rPr>
              <w:t>punctul</w:t>
            </w:r>
            <w:r w:rsidRPr="008C0F66">
              <w:rPr>
                <w:sz w:val="24"/>
                <w:szCs w:val="24"/>
              </w:rPr>
              <w:t> </w:t>
            </w:r>
            <w:r w:rsidRPr="008C0F66">
              <w:rPr>
                <w:i/>
                <w:sz w:val="24"/>
                <w:szCs w:val="24"/>
              </w:rPr>
              <w:t>1</w:t>
            </w:r>
            <w:r w:rsidRPr="008C0F66">
              <w:rPr>
                <w:sz w:val="24"/>
                <w:szCs w:val="24"/>
              </w:rPr>
              <w:t xml:space="preserve">. </w:t>
            </w:r>
            <w:proofErr w:type="spellStart"/>
            <w:r w:rsidRPr="008C0F66">
              <w:rPr>
                <w:b w:val="0"/>
                <w:sz w:val="24"/>
                <w:szCs w:val="24"/>
              </w:rPr>
              <w:t>EE</w:t>
            </w:r>
            <w:r w:rsidRPr="008C0F66">
              <w:rPr>
                <w:b w:val="0"/>
                <w:sz w:val="24"/>
                <w:szCs w:val="24"/>
                <w:vertAlign w:val="subscript"/>
              </w:rPr>
              <w:t>InpMat</w:t>
            </w:r>
            <w:proofErr w:type="spellEnd"/>
            <w:r w:rsidRPr="008C0F66">
              <w:rPr>
                <w:b w:val="0"/>
                <w:i/>
                <w:sz w:val="24"/>
                <w:szCs w:val="24"/>
              </w:rPr>
              <w:t> </w:t>
            </w:r>
            <w:r w:rsidRPr="008C0F66">
              <w:rPr>
                <w:b w:val="0"/>
                <w:sz w:val="24"/>
                <w:szCs w:val="24"/>
              </w:rPr>
              <w:t>relevante se calculează după cum urmează:</w:t>
            </w:r>
          </w:p>
        </w:tc>
      </w:tr>
    </w:tbl>
    <w:p w:rsidR="008B72E8" w:rsidRPr="008C0F66" w:rsidRDefault="008B72E8" w:rsidP="008B72E8"/>
    <w:p w:rsidR="008B72E8" w:rsidRPr="008C0F66" w:rsidRDefault="008B72E8" w:rsidP="008B72E8"/>
    <w:sectPr w:rsidR="008B72E8" w:rsidRPr="008C0F66" w:rsidSect="000773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E81" w:rsidRPr="00077355" w:rsidRDefault="00425E81">
      <w:r w:rsidRPr="00077355">
        <w:separator/>
      </w:r>
    </w:p>
  </w:endnote>
  <w:endnote w:type="continuationSeparator" w:id="0">
    <w:p w:rsidR="00425E81" w:rsidRPr="00077355" w:rsidRDefault="00425E81">
      <w:r w:rsidRPr="000773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73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73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73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E81" w:rsidRPr="00077355" w:rsidRDefault="00425E81">
      <w:r w:rsidRPr="00077355">
        <w:separator/>
      </w:r>
    </w:p>
  </w:footnote>
  <w:footnote w:type="continuationSeparator" w:id="0">
    <w:p w:rsidR="00425E81" w:rsidRPr="00077355" w:rsidRDefault="00425E81">
      <w:r w:rsidRPr="00077355">
        <w:continuationSeparator/>
      </w:r>
    </w:p>
  </w:footnote>
  <w:footnote w:id="1">
    <w:p w:rsidR="009525C1" w:rsidRPr="004118C0" w:rsidRDefault="009525C1" w:rsidP="009525C1">
      <w:pPr>
        <w:pStyle w:val="FootnoteText"/>
        <w:ind w:left="567" w:hanging="567"/>
        <w:rPr>
          <w:sz w:val="24"/>
          <w:lang w:val="ro-RO"/>
        </w:rPr>
      </w:pPr>
      <w:r w:rsidRPr="004118C0">
        <w:rPr>
          <w:rStyle w:val="FootnoteReference"/>
          <w:sz w:val="24"/>
          <w:lang w:val="ro-RO"/>
        </w:rPr>
        <w:footnoteRef/>
      </w:r>
      <w:r w:rsidRPr="004118C0">
        <w:rPr>
          <w:sz w:val="24"/>
          <w:lang w:val="ro-RO"/>
        </w:rPr>
        <w:t xml:space="preserve"> </w:t>
      </w:r>
      <w:r w:rsidRPr="004118C0">
        <w:rPr>
          <w:sz w:val="24"/>
          <w:lang w:val="ro-RO"/>
        </w:rPr>
        <w:tab/>
      </w:r>
      <w:r w:rsidRPr="008C0F66">
        <w:rPr>
          <w:sz w:val="24"/>
          <w:lang w:val="ro-RO"/>
        </w:rPr>
        <w:t xml:space="preserve">Chestiunea a fost retrimisă </w:t>
      </w:r>
      <w:r w:rsidRPr="009525C1">
        <w:rPr>
          <w:sz w:val="24"/>
          <w:lang w:val="ro-RO"/>
        </w:rPr>
        <w:t>pentru negocieri interinstituționale</w:t>
      </w:r>
      <w:r w:rsidRPr="008C0F66">
        <w:rPr>
          <w:sz w:val="24"/>
          <w:lang w:val="ro-RO"/>
        </w:rPr>
        <w:t xml:space="preserve"> comisiei competente în temeiul articolului 60 alineatul (4) al patrulea paragraf din Regulamentul de procedură (A10-0085/2025).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73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73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73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RO"/>
    <w:docVar w:name="dvnumam" w:val="0"/>
    <w:docVar w:name="dvpe" w:val="773.301"/>
    <w:docVar w:name="dvrapporteur" w:val="Raportor: "/>
    <w:docVar w:name="dvstar" w:val="***I"/>
    <w:docVar w:name="dvtitre" w:val="Rezoluția legislativă a Parlamentului European din 22 mai 2025 referitoare la propunerea de regulament al Parlamentului European și al Consiliului de modificare a Regulamentului (UE) 2023/956 în ceea ce privește simplificarea și consolidarea mecanismului de ajustare a carbonului la frontieră(COM(2025)0087 – C10-0035/2025 – 2025/0039(COD))"/>
  </w:docVars>
  <w:rsids>
    <w:rsidRoot w:val="00425E81"/>
    <w:rsid w:val="00002272"/>
    <w:rsid w:val="00064002"/>
    <w:rsid w:val="000677B9"/>
    <w:rsid w:val="00077355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E81"/>
    <w:rsid w:val="00471C19"/>
    <w:rsid w:val="0047625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2E8"/>
    <w:rsid w:val="008C0F66"/>
    <w:rsid w:val="008C2AC6"/>
    <w:rsid w:val="00930C23"/>
    <w:rsid w:val="0093193B"/>
    <w:rsid w:val="009509D8"/>
    <w:rsid w:val="00950B64"/>
    <w:rsid w:val="009525C1"/>
    <w:rsid w:val="00981893"/>
    <w:rsid w:val="00A1687D"/>
    <w:rsid w:val="00A43E52"/>
    <w:rsid w:val="00A4678D"/>
    <w:rsid w:val="00A778C7"/>
    <w:rsid w:val="00AB441E"/>
    <w:rsid w:val="00AB6293"/>
    <w:rsid w:val="00AE0928"/>
    <w:rsid w:val="00AE665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EE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CAA52-B281-4FD4-A921-0B96203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B72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8B72E8"/>
    <w:pPr>
      <w:spacing w:after="120"/>
    </w:pPr>
  </w:style>
  <w:style w:type="paragraph" w:customStyle="1" w:styleId="PageHeading">
    <w:name w:val="PageHeading"/>
    <w:basedOn w:val="Normal"/>
    <w:rsid w:val="008B72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B72E8"/>
    <w:rPr>
      <w:b/>
    </w:rPr>
  </w:style>
  <w:style w:type="paragraph" w:customStyle="1" w:styleId="NormalHanging12a">
    <w:name w:val="NormalHanging12a"/>
    <w:basedOn w:val="Normal"/>
    <w:link w:val="NormalHanging12aChar"/>
    <w:rsid w:val="008B72E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B72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72E8"/>
    <w:rPr>
      <w:sz w:val="24"/>
      <w:lang w:val="ro-RO"/>
    </w:rPr>
  </w:style>
  <w:style w:type="paragraph" w:customStyle="1" w:styleId="AmColumnHeading">
    <w:name w:val="AmColumnHeading"/>
    <w:basedOn w:val="Normal"/>
    <w:rsid w:val="008B72E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B72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B72E8"/>
    <w:pPr>
      <w:spacing w:before="240"/>
    </w:pPr>
    <w:rPr>
      <w:b/>
    </w:rPr>
  </w:style>
  <w:style w:type="paragraph" w:customStyle="1" w:styleId="EPFooter">
    <w:name w:val="EPFooter"/>
    <w:basedOn w:val="Normal"/>
    <w:rsid w:val="008B72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B72E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8B72E8"/>
    <w:rPr>
      <w:b/>
      <w:sz w:val="24"/>
      <w:lang w:val="ro-RO"/>
    </w:rPr>
  </w:style>
  <w:style w:type="paragraph" w:customStyle="1" w:styleId="Normal6">
    <w:name w:val="Normal6"/>
    <w:basedOn w:val="Normal"/>
    <w:link w:val="Normal6Char"/>
    <w:rsid w:val="008B72E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8B72E8"/>
    <w:rPr>
      <w:sz w:val="24"/>
      <w:lang w:val="ro-RO"/>
    </w:rPr>
  </w:style>
  <w:style w:type="paragraph" w:customStyle="1" w:styleId="ColumnHeading">
    <w:name w:val="ColumnHeading"/>
    <w:basedOn w:val="Normal"/>
    <w:rsid w:val="008B72E8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8B72E8"/>
    <w:rPr>
      <w:b/>
      <w:sz w:val="24"/>
      <w:lang w:val="ro-RO"/>
    </w:rPr>
  </w:style>
  <w:style w:type="character" w:customStyle="1" w:styleId="oj-sub">
    <w:name w:val="oj-sub"/>
    <w:rsid w:val="008B72E8"/>
  </w:style>
  <w:style w:type="paragraph" w:customStyle="1" w:styleId="Normal12a">
    <w:name w:val="Normal12a"/>
    <w:basedOn w:val="Normal"/>
    <w:rsid w:val="008B72E8"/>
    <w:pPr>
      <w:spacing w:after="240"/>
    </w:pPr>
  </w:style>
  <w:style w:type="paragraph" w:customStyle="1" w:styleId="PageHeadingNotTOC">
    <w:name w:val="PageHeadingNotTOC"/>
    <w:basedOn w:val="Normal"/>
    <w:rsid w:val="008B72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Center12a">
    <w:name w:val="NormalCenter12a"/>
    <w:basedOn w:val="Normal"/>
    <w:rsid w:val="008B72E8"/>
    <w:pPr>
      <w:spacing w:after="240"/>
      <w:jc w:val="center"/>
    </w:pPr>
  </w:style>
  <w:style w:type="paragraph" w:customStyle="1" w:styleId="RollCallSymbols14pt">
    <w:name w:val="RollCallSymbols14pt"/>
    <w:basedOn w:val="Normal"/>
    <w:rsid w:val="008B72E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B72E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B72E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B72E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8B72E8"/>
    <w:pPr>
      <w:spacing w:after="480"/>
    </w:pPr>
  </w:style>
  <w:style w:type="paragraph" w:customStyle="1" w:styleId="NormalBoldCenter">
    <w:name w:val="NormalBoldCenter"/>
    <w:basedOn w:val="Normal"/>
    <w:rsid w:val="008B72E8"/>
    <w:pPr>
      <w:jc w:val="center"/>
    </w:pPr>
    <w:rPr>
      <w:b/>
    </w:rPr>
  </w:style>
  <w:style w:type="paragraph" w:customStyle="1" w:styleId="Footprint12b">
    <w:name w:val="Footprint12b"/>
    <w:basedOn w:val="Normal"/>
    <w:rsid w:val="008B72E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B72E8"/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8B72E8"/>
    <w:rPr>
      <w:sz w:val="24"/>
      <w:lang w:val="ro-RO"/>
    </w:rPr>
  </w:style>
  <w:style w:type="character" w:styleId="Hyperlink">
    <w:name w:val="Hyperlink"/>
    <w:basedOn w:val="DefaultParagraphFont"/>
    <w:rsid w:val="008B72E8"/>
    <w:rPr>
      <w:color w:val="0563C1" w:themeColor="hyperlink"/>
      <w:u w:val="single"/>
    </w:rPr>
  </w:style>
  <w:style w:type="paragraph" w:customStyle="1" w:styleId="Normal12">
    <w:name w:val="Normal12"/>
    <w:basedOn w:val="Normal"/>
    <w:qFormat/>
    <w:rsid w:val="008B72E8"/>
    <w:pPr>
      <w:spacing w:after="240"/>
    </w:pPr>
    <w:rPr>
      <w:snapToGrid w:val="0"/>
      <w:lang w:eastAsia="en-US"/>
    </w:rPr>
  </w:style>
  <w:style w:type="paragraph" w:styleId="Footer">
    <w:name w:val="footer"/>
    <w:basedOn w:val="Normal"/>
    <w:link w:val="FooterChar"/>
    <w:rsid w:val="004762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76256"/>
    <w:rPr>
      <w:sz w:val="24"/>
      <w:lang w:val="ro-RO"/>
    </w:rPr>
  </w:style>
  <w:style w:type="paragraph" w:styleId="BalloonText">
    <w:name w:val="Balloon Text"/>
    <w:basedOn w:val="Normal"/>
    <w:link w:val="BalloonTextChar"/>
    <w:rsid w:val="004762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76256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29841-3FBC-450A-BF2F-7ECD33285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2025-05-22T13:28:00Z</dcterms:created>
  <dcterms:modified xsi:type="dcterms:W3CDTF">2025-05-22T13:28:00Z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