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E69E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E69E7" w:rsidRDefault="00104FA8" w:rsidP="0010095E">
            <w:pPr>
              <w:pStyle w:val="EPName"/>
            </w:pPr>
            <w:bookmarkStart w:id="0" w:name="_GoBack"/>
            <w:bookmarkEnd w:id="0"/>
            <w:r w:rsidRPr="004E69E7">
              <w:t>Európsky parlament</w:t>
            </w:r>
          </w:p>
          <w:p w:rsidR="00751A4A" w:rsidRPr="004E69E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E69E7">
              <w:t>2024</w:t>
            </w:r>
            <w:r w:rsidR="00817416" w:rsidRPr="004E69E7">
              <w:t>-202</w:t>
            </w:r>
            <w:r w:rsidRPr="004E69E7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4E69E7" w:rsidRDefault="00187494" w:rsidP="0010095E">
            <w:pPr>
              <w:pStyle w:val="EPLogo"/>
            </w:pPr>
            <w:r w:rsidRPr="004E69E7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E69E7" w:rsidRDefault="00D058B8" w:rsidP="004C5D52">
      <w:pPr>
        <w:pStyle w:val="LineTop"/>
      </w:pPr>
    </w:p>
    <w:p w:rsidR="00680577" w:rsidRPr="004E69E7" w:rsidRDefault="00104FA8" w:rsidP="00680577">
      <w:pPr>
        <w:pStyle w:val="EPBodyTA1"/>
      </w:pPr>
      <w:r w:rsidRPr="004E69E7">
        <w:t>PRIJATÉ TEXTY</w:t>
      </w:r>
    </w:p>
    <w:p w:rsidR="00D058B8" w:rsidRPr="004E69E7" w:rsidRDefault="00D058B8" w:rsidP="00D058B8">
      <w:pPr>
        <w:pStyle w:val="LineBottom"/>
      </w:pPr>
    </w:p>
    <w:p w:rsidR="00104FA8" w:rsidRPr="004E69E7" w:rsidRDefault="00104FA8" w:rsidP="00104FA8">
      <w:pPr>
        <w:pStyle w:val="ATHeading1"/>
      </w:pPr>
      <w:bookmarkStart w:id="1" w:name="TANumber"/>
      <w:r w:rsidRPr="004E69E7">
        <w:t>P10_TA(2025)0</w:t>
      </w:r>
      <w:r w:rsidR="00877384" w:rsidRPr="004E69E7">
        <w:t>108</w:t>
      </w:r>
      <w:bookmarkEnd w:id="1"/>
    </w:p>
    <w:p w:rsidR="00104FA8" w:rsidRPr="004E69E7" w:rsidRDefault="00104FA8" w:rsidP="00104FA8">
      <w:pPr>
        <w:pStyle w:val="ATHeading2"/>
      </w:pPr>
      <w:bookmarkStart w:id="2" w:name="title"/>
      <w:r w:rsidRPr="004E69E7">
        <w:t>Zmena nariadenia (EÚ) 2023/956, pokiaľ ide o zjednodušenie a posilnenie mechanizmu uhlíkovej kompenzácie na hraniciach</w:t>
      </w:r>
      <w:bookmarkEnd w:id="2"/>
    </w:p>
    <w:p w:rsidR="00104FA8" w:rsidRPr="004E69E7" w:rsidRDefault="00104FA8" w:rsidP="00104FA8">
      <w:pPr>
        <w:rPr>
          <w:i/>
          <w:vanish/>
        </w:rPr>
      </w:pPr>
      <w:r w:rsidRPr="004E69E7">
        <w:rPr>
          <w:i/>
        </w:rPr>
        <w:fldChar w:fldCharType="begin"/>
      </w:r>
      <w:r w:rsidRPr="004E69E7">
        <w:rPr>
          <w:i/>
        </w:rPr>
        <w:instrText xml:space="preserve"> TC"(</w:instrText>
      </w:r>
      <w:bookmarkStart w:id="3" w:name="DocNumber"/>
      <w:r w:rsidRPr="004E69E7">
        <w:rPr>
          <w:i/>
        </w:rPr>
        <w:instrText>A10-0085/2025</w:instrText>
      </w:r>
      <w:bookmarkEnd w:id="3"/>
      <w:r w:rsidRPr="004E69E7">
        <w:rPr>
          <w:i/>
        </w:rPr>
        <w:instrText xml:space="preserve"> - Spravodajca: Antonio Decaro)"\l3 \n&gt; \* MERGEFORMAT </w:instrText>
      </w:r>
      <w:r w:rsidRPr="004E69E7">
        <w:rPr>
          <w:i/>
        </w:rPr>
        <w:fldChar w:fldCharType="end"/>
      </w:r>
    </w:p>
    <w:p w:rsidR="00104FA8" w:rsidRPr="004E69E7" w:rsidRDefault="00104FA8" w:rsidP="00104FA8">
      <w:pPr>
        <w:rPr>
          <w:vanish/>
        </w:rPr>
      </w:pPr>
      <w:bookmarkStart w:id="4" w:name="Commission"/>
      <w:r w:rsidRPr="004E69E7">
        <w:rPr>
          <w:vanish/>
        </w:rPr>
        <w:t>Výbor pre životné prostredie, klímu a bezpečnosť potravín</w:t>
      </w:r>
      <w:bookmarkEnd w:id="4"/>
    </w:p>
    <w:p w:rsidR="00104FA8" w:rsidRPr="004E69E7" w:rsidRDefault="00104FA8" w:rsidP="00104FA8">
      <w:pPr>
        <w:rPr>
          <w:vanish/>
        </w:rPr>
      </w:pPr>
      <w:bookmarkStart w:id="5" w:name="PE"/>
      <w:r w:rsidRPr="004E69E7">
        <w:rPr>
          <w:vanish/>
        </w:rPr>
        <w:t>PE773.301</w:t>
      </w:r>
      <w:bookmarkEnd w:id="5"/>
    </w:p>
    <w:p w:rsidR="00104FA8" w:rsidRPr="004E69E7" w:rsidRDefault="00877384" w:rsidP="00104FA8">
      <w:pPr>
        <w:pStyle w:val="ATHeading3"/>
      </w:pPr>
      <w:bookmarkStart w:id="6" w:name="Sujet"/>
      <w:r w:rsidRPr="004E69E7">
        <w:t xml:space="preserve">Pozmeňujúce návrhy prijaté </w:t>
      </w:r>
      <w:r w:rsidR="00104FA8" w:rsidRPr="004E69E7">
        <w:t>Európsk</w:t>
      </w:r>
      <w:r w:rsidRPr="004E69E7">
        <w:t>ym</w:t>
      </w:r>
      <w:r w:rsidR="00104FA8" w:rsidRPr="004E69E7">
        <w:t xml:space="preserve"> parlament</w:t>
      </w:r>
      <w:r w:rsidRPr="004E69E7">
        <w:t>om</w:t>
      </w:r>
      <w:r w:rsidR="00083883" w:rsidRPr="004E69E7">
        <w:t> 22</w:t>
      </w:r>
      <w:r w:rsidR="00104FA8" w:rsidRPr="004E69E7">
        <w:t xml:space="preserve">. mája 2025 </w:t>
      </w:r>
      <w:r w:rsidRPr="004E69E7">
        <w:t>k</w:t>
      </w:r>
      <w:r w:rsidR="00104FA8" w:rsidRPr="004E69E7">
        <w:t xml:space="preserve"> návrhu nariadenia Európskeho parlamentu a Rady, ktorým sa mení nariadenie (EÚ) 2023/956, pokiaľ ide o zjednodušenie a posilnenie mechanizmu uhlíkovej kompenzácie na hraniciach</w:t>
      </w:r>
      <w:bookmarkEnd w:id="6"/>
      <w:r w:rsidR="00104FA8" w:rsidRPr="004E69E7">
        <w:t xml:space="preserve"> </w:t>
      </w:r>
      <w:bookmarkStart w:id="7" w:name="References"/>
      <w:r w:rsidR="00104FA8" w:rsidRPr="004E69E7">
        <w:t>(COM(2025)0087 – C10-0035/2025 – 2025/0039(COD)</w:t>
      </w:r>
      <w:r w:rsidRPr="004E69E7">
        <w:t>)</w:t>
      </w:r>
      <w:r w:rsidRPr="004E69E7">
        <w:rPr>
          <w:rStyle w:val="FootnoteReference"/>
        </w:rPr>
        <w:footnoteReference w:id="1"/>
      </w:r>
      <w:bookmarkEnd w:id="7"/>
    </w:p>
    <w:p w:rsidR="00104FA8" w:rsidRPr="004E69E7" w:rsidRDefault="00104FA8" w:rsidP="00104FA8"/>
    <w:p w:rsidR="00E00003" w:rsidRPr="004E69E7" w:rsidRDefault="00E00003" w:rsidP="00E00003">
      <w:pPr>
        <w:pStyle w:val="NormalBold"/>
      </w:pPr>
      <w:bookmarkStart w:id="8" w:name="TextBodyBegin"/>
      <w:bookmarkEnd w:id="8"/>
      <w:r w:rsidRPr="004E69E7">
        <w:t>(Riadny legislatívny postup: prvé čítanie)</w:t>
      </w:r>
    </w:p>
    <w:p w:rsidR="00083883" w:rsidRPr="004E69E7" w:rsidRDefault="00083883" w:rsidP="00E00003"/>
    <w:p w:rsidR="00877384" w:rsidRPr="004E69E7" w:rsidRDefault="00877384" w:rsidP="00E00003"/>
    <w:p w:rsidR="00476926" w:rsidRPr="004E69E7" w:rsidRDefault="00476926" w:rsidP="00E00003"/>
    <w:p w:rsidR="00E00003" w:rsidRPr="004E69E7" w:rsidRDefault="00E00003" w:rsidP="00372D13">
      <w:pPr>
        <w:pStyle w:val="AmNumberTabs"/>
      </w:pPr>
      <w:r w:rsidRPr="004E69E7">
        <w:t>Pozmeňujúci návrh</w:t>
      </w:r>
      <w:r w:rsidRPr="004E69E7">
        <w:tab/>
      </w:r>
      <w:r w:rsidRPr="004E69E7">
        <w:tab/>
        <w:t>1</w:t>
      </w:r>
    </w:p>
    <w:p w:rsidR="00E00003" w:rsidRPr="004E69E7" w:rsidRDefault="00E00003" w:rsidP="00E00003">
      <w:pPr>
        <w:pStyle w:val="NormalBold12b"/>
      </w:pPr>
      <w:r w:rsidRPr="004E69E7">
        <w:t>Návrh nariadenia</w:t>
      </w:r>
    </w:p>
    <w:p w:rsidR="00E00003" w:rsidRPr="004E69E7" w:rsidRDefault="00E00003" w:rsidP="00E00003">
      <w:pPr>
        <w:pStyle w:val="NormalBold"/>
      </w:pPr>
      <w:r w:rsidRPr="004E69E7">
        <w:t>Odôvodnenie 25 a (nové)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00003" w:rsidRPr="004E69E7" w:rsidTr="0085631F">
        <w:trPr>
          <w:jc w:val="center"/>
        </w:trPr>
        <w:tc>
          <w:tcPr>
            <w:tcW w:w="9752" w:type="dxa"/>
            <w:gridSpan w:val="2"/>
          </w:tcPr>
          <w:p w:rsidR="00E00003" w:rsidRPr="004E69E7" w:rsidRDefault="00E00003" w:rsidP="0085631F">
            <w:pPr>
              <w:keepNext/>
            </w:pPr>
          </w:p>
        </w:tc>
      </w:tr>
      <w:tr w:rsidR="00E00003" w:rsidRPr="004E69E7" w:rsidTr="0085631F">
        <w:trPr>
          <w:jc w:val="center"/>
        </w:trPr>
        <w:tc>
          <w:tcPr>
            <w:tcW w:w="4876" w:type="dxa"/>
          </w:tcPr>
          <w:p w:rsidR="00E00003" w:rsidRPr="004E69E7" w:rsidRDefault="00E00003" w:rsidP="0085631F">
            <w:pPr>
              <w:pStyle w:val="ColumnHeading"/>
              <w:keepNext/>
            </w:pPr>
            <w:r w:rsidRPr="004E69E7">
              <w:t>Text predložený Komisiou</w:t>
            </w:r>
          </w:p>
        </w:tc>
        <w:tc>
          <w:tcPr>
            <w:tcW w:w="4876" w:type="dxa"/>
          </w:tcPr>
          <w:p w:rsidR="00E00003" w:rsidRPr="004E69E7" w:rsidRDefault="00E00003" w:rsidP="0085631F">
            <w:pPr>
              <w:pStyle w:val="ColumnHeading"/>
              <w:keepNext/>
            </w:pPr>
            <w:r w:rsidRPr="004E69E7">
              <w:t>Pozmeňujúci návrh</w:t>
            </w:r>
          </w:p>
        </w:tc>
      </w:tr>
      <w:tr w:rsidR="00E00003" w:rsidRPr="004E69E7" w:rsidTr="0085631F">
        <w:trPr>
          <w:jc w:val="center"/>
        </w:trPr>
        <w:tc>
          <w:tcPr>
            <w:tcW w:w="4876" w:type="dxa"/>
          </w:tcPr>
          <w:p w:rsidR="00E00003" w:rsidRPr="004E69E7" w:rsidRDefault="00E00003" w:rsidP="0085631F">
            <w:pPr>
              <w:pStyle w:val="Normal6"/>
            </w:pPr>
          </w:p>
        </w:tc>
        <w:tc>
          <w:tcPr>
            <w:tcW w:w="4876" w:type="dxa"/>
          </w:tcPr>
          <w:p w:rsidR="00E00003" w:rsidRPr="004E69E7" w:rsidRDefault="00E00003" w:rsidP="0085631F">
            <w:pPr>
              <w:pStyle w:val="Normal6"/>
              <w:rPr>
                <w:szCs w:val="24"/>
              </w:rPr>
            </w:pPr>
            <w:r w:rsidRPr="004E69E7">
              <w:rPr>
                <w:b/>
                <w:i/>
              </w:rPr>
              <w:t>(25a)</w:t>
            </w:r>
            <w:r w:rsidRPr="004E69E7">
              <w:rPr>
                <w:b/>
                <w:i/>
              </w:rPr>
              <w:tab/>
              <w:t>Mechanizmus CBAM sa vzťahuje na dovoz elektriny, ale nemal by sa vzťahovať na elektrinu vyrobenú výlučne vo výhradnej hospodárskej zóne členského štátu EHP a dovezenú priamo na colné územie</w:t>
            </w:r>
            <w:r w:rsidRPr="004E69E7">
              <w:t xml:space="preserve"> </w:t>
            </w:r>
            <w:r w:rsidRPr="004E69E7">
              <w:rPr>
                <w:b/>
                <w:i/>
              </w:rPr>
              <w:t>Únie</w:t>
            </w:r>
            <w:r w:rsidR="00E03127" w:rsidRPr="004E69E7">
              <w:rPr>
                <w:b/>
                <w:i/>
              </w:rPr>
              <w:t>.</w:t>
            </w:r>
          </w:p>
        </w:tc>
      </w:tr>
    </w:tbl>
    <w:p w:rsidR="00E00003" w:rsidRPr="004E69E7" w:rsidRDefault="00E00003" w:rsidP="00E00003"/>
    <w:p w:rsidR="00E00003" w:rsidRPr="004E69E7" w:rsidRDefault="00E00003" w:rsidP="00E00003">
      <w:pPr>
        <w:pStyle w:val="AmNumberTabs"/>
      </w:pPr>
      <w:r w:rsidRPr="004E69E7">
        <w:t>Pozmeňujúci návrh</w:t>
      </w:r>
      <w:r w:rsidRPr="004E69E7">
        <w:tab/>
      </w:r>
      <w:r w:rsidRPr="004E69E7">
        <w:tab/>
        <w:t>2</w:t>
      </w:r>
    </w:p>
    <w:p w:rsidR="00E00003" w:rsidRPr="004E69E7" w:rsidRDefault="00E00003" w:rsidP="00E00003">
      <w:pPr>
        <w:pStyle w:val="NormalBold12b"/>
      </w:pPr>
      <w:r w:rsidRPr="004E69E7">
        <w:t>Návrh nariadenia</w:t>
      </w:r>
    </w:p>
    <w:p w:rsidR="00E00003" w:rsidRPr="004E69E7" w:rsidRDefault="00E00003" w:rsidP="00E00003">
      <w:pPr>
        <w:pStyle w:val="NormalBold"/>
      </w:pPr>
      <w:r w:rsidRPr="004E69E7">
        <w:t>Článok 1 – odsek 1 – bod 1 – písmeno b a (nové)</w:t>
      </w:r>
    </w:p>
    <w:p w:rsidR="00E00003" w:rsidRPr="004E69E7" w:rsidRDefault="00E00003" w:rsidP="00E00003">
      <w:pPr>
        <w:keepNext/>
      </w:pPr>
      <w:r w:rsidRPr="004E69E7">
        <w:t>Nariadenie (EÚ) 2023/956</w:t>
      </w:r>
    </w:p>
    <w:p w:rsidR="00E00003" w:rsidRPr="004E69E7" w:rsidRDefault="00E00003" w:rsidP="00E00003">
      <w:r w:rsidRPr="004E69E7">
        <w:t>Článok 2 – odsek 3 b (nový)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00003" w:rsidRPr="004E69E7" w:rsidTr="0085631F">
        <w:trPr>
          <w:jc w:val="center"/>
        </w:trPr>
        <w:tc>
          <w:tcPr>
            <w:tcW w:w="9752" w:type="dxa"/>
            <w:gridSpan w:val="2"/>
          </w:tcPr>
          <w:p w:rsidR="00E00003" w:rsidRPr="004E69E7" w:rsidRDefault="00E00003" w:rsidP="0085631F">
            <w:pPr>
              <w:keepNext/>
            </w:pPr>
          </w:p>
        </w:tc>
      </w:tr>
      <w:tr w:rsidR="00E00003" w:rsidRPr="004E69E7" w:rsidTr="0085631F">
        <w:trPr>
          <w:jc w:val="center"/>
        </w:trPr>
        <w:tc>
          <w:tcPr>
            <w:tcW w:w="4876" w:type="dxa"/>
          </w:tcPr>
          <w:p w:rsidR="00E00003" w:rsidRPr="004E69E7" w:rsidRDefault="00E00003" w:rsidP="0085631F">
            <w:pPr>
              <w:pStyle w:val="ColumnHeading"/>
              <w:keepNext/>
            </w:pPr>
            <w:r w:rsidRPr="004E69E7">
              <w:t>Text predložený Komisiou</w:t>
            </w:r>
          </w:p>
        </w:tc>
        <w:tc>
          <w:tcPr>
            <w:tcW w:w="4876" w:type="dxa"/>
          </w:tcPr>
          <w:p w:rsidR="00E00003" w:rsidRPr="004E69E7" w:rsidRDefault="00E00003" w:rsidP="0085631F">
            <w:pPr>
              <w:pStyle w:val="ColumnHeading"/>
              <w:keepNext/>
            </w:pPr>
            <w:r w:rsidRPr="004E69E7">
              <w:t>Pozmeňujúci návrh</w:t>
            </w:r>
          </w:p>
        </w:tc>
      </w:tr>
      <w:tr w:rsidR="00E00003" w:rsidRPr="004E69E7" w:rsidTr="0085631F">
        <w:trPr>
          <w:jc w:val="center"/>
        </w:trPr>
        <w:tc>
          <w:tcPr>
            <w:tcW w:w="4876" w:type="dxa"/>
          </w:tcPr>
          <w:p w:rsidR="00E00003" w:rsidRPr="004E69E7" w:rsidRDefault="00E00003" w:rsidP="0085631F">
            <w:pPr>
              <w:pStyle w:val="Normal6"/>
            </w:pPr>
          </w:p>
        </w:tc>
        <w:tc>
          <w:tcPr>
            <w:tcW w:w="4876" w:type="dxa"/>
          </w:tcPr>
          <w:p w:rsidR="00E00003" w:rsidRPr="004E69E7" w:rsidRDefault="00E00003" w:rsidP="00FB099A">
            <w:pPr>
              <w:pStyle w:val="Normal6"/>
              <w:rPr>
                <w:szCs w:val="24"/>
              </w:rPr>
            </w:pPr>
            <w:r w:rsidRPr="004E69E7">
              <w:rPr>
                <w:b/>
                <w:i/>
              </w:rPr>
              <w:t>ba)</w:t>
            </w:r>
            <w:r w:rsidRPr="004E69E7">
              <w:rPr>
                <w:b/>
                <w:i/>
              </w:rPr>
              <w:tab/>
            </w:r>
            <w:r w:rsidR="00FB099A" w:rsidRPr="004E69E7">
              <w:rPr>
                <w:b/>
                <w:i/>
              </w:rPr>
              <w:t>v</w:t>
            </w:r>
            <w:r w:rsidRPr="004E69E7">
              <w:rPr>
                <w:b/>
                <w:i/>
              </w:rPr>
              <w:t>kladá sa tento odsek 3b:</w:t>
            </w:r>
          </w:p>
        </w:tc>
      </w:tr>
      <w:tr w:rsidR="00E00003" w:rsidRPr="004E69E7" w:rsidTr="0085631F">
        <w:trPr>
          <w:jc w:val="center"/>
        </w:trPr>
        <w:tc>
          <w:tcPr>
            <w:tcW w:w="4876" w:type="dxa"/>
          </w:tcPr>
          <w:p w:rsidR="00E00003" w:rsidRPr="004E69E7" w:rsidRDefault="00E00003" w:rsidP="0085631F">
            <w:pPr>
              <w:pStyle w:val="Normal6"/>
            </w:pPr>
          </w:p>
        </w:tc>
        <w:tc>
          <w:tcPr>
            <w:tcW w:w="4876" w:type="dxa"/>
          </w:tcPr>
          <w:p w:rsidR="00E00003" w:rsidRPr="004E69E7" w:rsidRDefault="00E03127" w:rsidP="0085631F">
            <w:pPr>
              <w:pStyle w:val="Normal6"/>
              <w:rPr>
                <w:szCs w:val="24"/>
              </w:rPr>
            </w:pPr>
            <w:r w:rsidRPr="004E69E7">
              <w:rPr>
                <w:b/>
                <w:i/>
              </w:rPr>
              <w:t>„</w:t>
            </w:r>
            <w:r w:rsidR="00E00003" w:rsidRPr="004E69E7">
              <w:rPr>
                <w:b/>
                <w:i/>
              </w:rPr>
              <w:t>3b.</w:t>
            </w:r>
            <w:r w:rsidR="00E00003" w:rsidRPr="004E69E7">
              <w:tab/>
            </w:r>
            <w:r w:rsidR="00E00003" w:rsidRPr="004E69E7">
              <w:rPr>
                <w:b/>
                <w:i/>
              </w:rPr>
              <w:t>Odchylne od odsekov 1 a 2 sa toto nariadenie nevzťahuje na elektrinu vyrobenú v plnom rozsahu vo výhradnej hospodárskej zóne členského štátu EHP a dovezenú priamo na colné územie</w:t>
            </w:r>
            <w:r w:rsidR="00E00003" w:rsidRPr="004E69E7">
              <w:t xml:space="preserve"> </w:t>
            </w:r>
            <w:r w:rsidR="00E00003" w:rsidRPr="004E69E7">
              <w:rPr>
                <w:b/>
                <w:i/>
              </w:rPr>
              <w:t>Únie.</w:t>
            </w:r>
            <w:r w:rsidRPr="004E69E7">
              <w:rPr>
                <w:b/>
                <w:i/>
              </w:rPr>
              <w:t>“</w:t>
            </w:r>
          </w:p>
        </w:tc>
      </w:tr>
    </w:tbl>
    <w:p w:rsidR="00E00003" w:rsidRPr="004E69E7" w:rsidRDefault="00E00003" w:rsidP="00E00003"/>
    <w:p w:rsidR="00E00003" w:rsidRPr="004E69E7" w:rsidRDefault="00E00003" w:rsidP="00E00003">
      <w:pPr>
        <w:pStyle w:val="AmNumberTabs"/>
      </w:pPr>
      <w:r w:rsidRPr="004E69E7">
        <w:t>Pozmeňujúci návrh</w:t>
      </w:r>
      <w:r w:rsidRPr="004E69E7">
        <w:tab/>
      </w:r>
      <w:r w:rsidRPr="004E69E7">
        <w:tab/>
        <w:t>3</w:t>
      </w:r>
    </w:p>
    <w:p w:rsidR="00E00003" w:rsidRPr="004E69E7" w:rsidRDefault="00E00003" w:rsidP="00E00003">
      <w:pPr>
        <w:pStyle w:val="NormalBold12b"/>
      </w:pPr>
      <w:r w:rsidRPr="004E69E7">
        <w:t>Návrh nariadenia</w:t>
      </w:r>
    </w:p>
    <w:p w:rsidR="00E00003" w:rsidRPr="004E69E7" w:rsidRDefault="00E00003" w:rsidP="00E00003">
      <w:pPr>
        <w:pStyle w:val="NormalBold"/>
      </w:pPr>
      <w:r w:rsidRPr="004E69E7">
        <w:t>Príloha I – odsek 1 – bod 1 a (nový)</w:t>
      </w:r>
    </w:p>
    <w:p w:rsidR="00E00003" w:rsidRPr="004E69E7" w:rsidRDefault="00E00003" w:rsidP="00E00003">
      <w:pPr>
        <w:keepNext/>
      </w:pPr>
      <w:r w:rsidRPr="004E69E7">
        <w:t>Nariadenie (EÚ) 2023/956</w:t>
      </w:r>
    </w:p>
    <w:p w:rsidR="00E00003" w:rsidRPr="004E69E7" w:rsidRDefault="00E00003" w:rsidP="00E00003">
      <w:r w:rsidRPr="004E69E7">
        <w:t xml:space="preserve">Príloha IV – bod 3 – odsek 1 – </w:t>
      </w:r>
      <w:proofErr w:type="spellStart"/>
      <w:r w:rsidRPr="004E69E7">
        <w:t>pododsek</w:t>
      </w:r>
      <w:proofErr w:type="spellEnd"/>
      <w:r w:rsidRPr="004E69E7">
        <w:t xml:space="preserve"> 5 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00003" w:rsidRPr="004E69E7" w:rsidTr="0085631F">
        <w:trPr>
          <w:jc w:val="center"/>
        </w:trPr>
        <w:tc>
          <w:tcPr>
            <w:tcW w:w="9752" w:type="dxa"/>
            <w:gridSpan w:val="2"/>
          </w:tcPr>
          <w:p w:rsidR="00E00003" w:rsidRPr="004E69E7" w:rsidRDefault="00E00003" w:rsidP="0085631F">
            <w:pPr>
              <w:keepNext/>
            </w:pPr>
          </w:p>
        </w:tc>
      </w:tr>
      <w:tr w:rsidR="00E00003" w:rsidRPr="004E69E7" w:rsidTr="0085631F">
        <w:trPr>
          <w:jc w:val="center"/>
        </w:trPr>
        <w:tc>
          <w:tcPr>
            <w:tcW w:w="4876" w:type="dxa"/>
          </w:tcPr>
          <w:p w:rsidR="00E00003" w:rsidRPr="004E69E7" w:rsidRDefault="00E00003" w:rsidP="0085631F">
            <w:pPr>
              <w:pStyle w:val="ColumnHeading"/>
              <w:keepNext/>
            </w:pPr>
            <w:r w:rsidRPr="004E69E7">
              <w:t>Platný text</w:t>
            </w:r>
          </w:p>
        </w:tc>
        <w:tc>
          <w:tcPr>
            <w:tcW w:w="4876" w:type="dxa"/>
          </w:tcPr>
          <w:p w:rsidR="00E00003" w:rsidRPr="004E69E7" w:rsidRDefault="00E00003" w:rsidP="0085631F">
            <w:pPr>
              <w:pStyle w:val="ColumnHeading"/>
              <w:keepNext/>
            </w:pPr>
            <w:r w:rsidRPr="004E69E7">
              <w:t>Pozmeňujúci návrh</w:t>
            </w:r>
          </w:p>
        </w:tc>
      </w:tr>
      <w:tr w:rsidR="00E00003" w:rsidRPr="004E69E7" w:rsidTr="0085631F">
        <w:trPr>
          <w:jc w:val="center"/>
        </w:trPr>
        <w:tc>
          <w:tcPr>
            <w:tcW w:w="4876" w:type="dxa"/>
          </w:tcPr>
          <w:p w:rsidR="00E00003" w:rsidRPr="004E69E7" w:rsidRDefault="00E00003" w:rsidP="0085631F">
            <w:pPr>
              <w:pStyle w:val="Normal6"/>
            </w:pPr>
          </w:p>
        </w:tc>
        <w:tc>
          <w:tcPr>
            <w:tcW w:w="4876" w:type="dxa"/>
          </w:tcPr>
          <w:p w:rsidR="00E00003" w:rsidRPr="004E69E7" w:rsidRDefault="00E00003" w:rsidP="00083883">
            <w:pPr>
              <w:pStyle w:val="Normal6"/>
              <w:rPr>
                <w:szCs w:val="24"/>
              </w:rPr>
            </w:pPr>
            <w:r w:rsidRPr="004E69E7">
              <w:rPr>
                <w:b/>
                <w:i/>
              </w:rPr>
              <w:t>1a</w:t>
            </w:r>
            <w:r w:rsidR="00083883" w:rsidRPr="004E69E7">
              <w:rPr>
                <w:b/>
                <w:i/>
              </w:rPr>
              <w:t>.</w:t>
            </w:r>
            <w:r w:rsidRPr="004E69E7">
              <w:rPr>
                <w:b/>
                <w:i/>
              </w:rPr>
              <w:tab/>
              <w:t xml:space="preserve">V bode 3 v poznámkach vysvetľujúcich vzorec pre </w:t>
            </w:r>
            <w:proofErr w:type="spellStart"/>
            <w:r w:rsidRPr="004E69E7">
              <w:rPr>
                <w:b/>
                <w:i/>
              </w:rPr>
              <w:t>SEEg</w:t>
            </w:r>
            <w:proofErr w:type="spellEnd"/>
            <w:r w:rsidRPr="004E69E7">
              <w:rPr>
                <w:b/>
                <w:i/>
              </w:rPr>
              <w:t xml:space="preserve"> v prvom odseku sa poznámka pre </w:t>
            </w:r>
            <w:proofErr w:type="spellStart"/>
            <w:r w:rsidRPr="004E69E7">
              <w:rPr>
                <w:b/>
                <w:i/>
              </w:rPr>
              <w:t>EEI</w:t>
            </w:r>
            <w:r w:rsidR="00083883" w:rsidRPr="004E69E7">
              <w:rPr>
                <w:b/>
                <w:i/>
              </w:rPr>
              <w:t>n</w:t>
            </w:r>
            <w:r w:rsidRPr="004E69E7">
              <w:rPr>
                <w:b/>
                <w:i/>
              </w:rPr>
              <w:t>pMat</w:t>
            </w:r>
            <w:proofErr w:type="spellEnd"/>
            <w:r w:rsidRPr="004E69E7">
              <w:rPr>
                <w:b/>
                <w:i/>
              </w:rPr>
              <w:t xml:space="preserve"> nahrádza takto:</w:t>
            </w:r>
          </w:p>
        </w:tc>
      </w:tr>
      <w:tr w:rsidR="00E00003" w:rsidRPr="004E69E7" w:rsidTr="0085631F">
        <w:trPr>
          <w:jc w:val="center"/>
        </w:trPr>
        <w:tc>
          <w:tcPr>
            <w:tcW w:w="4876" w:type="dxa"/>
          </w:tcPr>
          <w:p w:rsidR="00E00003" w:rsidRPr="004E69E7" w:rsidRDefault="00E00003" w:rsidP="0085631F">
            <w:pPr>
              <w:pStyle w:val="Normal6"/>
            </w:pPr>
            <w:proofErr w:type="spellStart"/>
            <w:r w:rsidRPr="004E69E7">
              <w:rPr>
                <w:sz w:val="27"/>
                <w:shd w:val="clear" w:color="auto" w:fill="FFFFFF"/>
              </w:rPr>
              <w:t>EE</w:t>
            </w:r>
            <w:r w:rsidRPr="004E69E7">
              <w:rPr>
                <w:rStyle w:val="oj-sub"/>
                <w:sz w:val="17"/>
                <w:shd w:val="clear" w:color="auto" w:fill="FFFFFF"/>
                <w:vertAlign w:val="subscript"/>
              </w:rPr>
              <w:t>InpMat</w:t>
            </w:r>
            <w:proofErr w:type="spellEnd"/>
          </w:p>
        </w:tc>
        <w:tc>
          <w:tcPr>
            <w:tcW w:w="4876" w:type="dxa"/>
          </w:tcPr>
          <w:p w:rsidR="00E00003" w:rsidRPr="004E69E7" w:rsidRDefault="00E03127" w:rsidP="0085631F">
            <w:pPr>
              <w:pStyle w:val="Normal6"/>
              <w:rPr>
                <w:szCs w:val="24"/>
              </w:rPr>
            </w:pPr>
            <w:r w:rsidRPr="004E69E7">
              <w:rPr>
                <w:sz w:val="27"/>
                <w:shd w:val="clear" w:color="auto" w:fill="FFFFFF"/>
              </w:rPr>
              <w:t>„</w:t>
            </w:r>
            <w:proofErr w:type="spellStart"/>
            <w:r w:rsidR="00E00003" w:rsidRPr="004E69E7">
              <w:rPr>
                <w:sz w:val="27"/>
                <w:shd w:val="clear" w:color="auto" w:fill="FFFFFF"/>
              </w:rPr>
              <w:t>EE</w:t>
            </w:r>
            <w:r w:rsidR="00E00003" w:rsidRPr="004E69E7">
              <w:rPr>
                <w:rStyle w:val="oj-sub"/>
                <w:sz w:val="17"/>
                <w:shd w:val="clear" w:color="auto" w:fill="FFFFFF"/>
                <w:vertAlign w:val="subscript"/>
              </w:rPr>
              <w:t>InpMat</w:t>
            </w:r>
            <w:proofErr w:type="spellEnd"/>
          </w:p>
        </w:tc>
      </w:tr>
      <w:tr w:rsidR="00E00003" w:rsidRPr="004E69E7" w:rsidTr="0085631F">
        <w:trPr>
          <w:jc w:val="center"/>
        </w:trPr>
        <w:tc>
          <w:tcPr>
            <w:tcW w:w="4876" w:type="dxa"/>
          </w:tcPr>
          <w:p w:rsidR="00E00003" w:rsidRPr="004E69E7" w:rsidRDefault="00E00003" w:rsidP="0085631F">
            <w:pPr>
              <w:pStyle w:val="Normal6"/>
              <w:rPr>
                <w:color w:val="333333"/>
                <w:sz w:val="27"/>
                <w:szCs w:val="27"/>
                <w:shd w:val="clear" w:color="auto" w:fill="FFFFFF"/>
              </w:rPr>
            </w:pPr>
            <w:r w:rsidRPr="004E69E7">
              <w:t xml:space="preserve">sú viazané emisie vstupných materiálov (prekurzorov) spotrebovaných vo </w:t>
            </w:r>
            <w:r w:rsidRPr="004E69E7">
              <w:lastRenderedPageBreak/>
              <w:t xml:space="preserve">výrobnom procese. Zohľadnené majú byť len vstupné materiály (prekurzory), ktoré sú uvedené </w:t>
            </w:r>
            <w:r w:rsidRPr="004E69E7">
              <w:rPr>
                <w:b/>
                <w:i/>
              </w:rPr>
              <w:t>ako relevantné pre systémové hranice výrobného procesu, ako sa stanovuje vo vykonávacom akte prijatom</w:t>
            </w:r>
            <w:r w:rsidRPr="004E69E7">
              <w:t xml:space="preserve"> podľa </w:t>
            </w:r>
            <w:r w:rsidRPr="004E69E7">
              <w:rPr>
                <w:b/>
                <w:i/>
              </w:rPr>
              <w:t>článku 7 ods. 7</w:t>
            </w:r>
            <w:r w:rsidRPr="004E69E7">
              <w:t xml:space="preserve">. Príslušné </w:t>
            </w:r>
            <w:proofErr w:type="spellStart"/>
            <w:r w:rsidRPr="004E69E7">
              <w:t>EE</w:t>
            </w:r>
            <w:r w:rsidRPr="004E69E7">
              <w:rPr>
                <w:vertAlign w:val="subscript"/>
              </w:rPr>
              <w:t>InpMat</w:t>
            </w:r>
            <w:proofErr w:type="spellEnd"/>
            <w:r w:rsidRPr="004E69E7">
              <w:t xml:space="preserve"> sa vypočítajú takto:</w:t>
            </w:r>
          </w:p>
        </w:tc>
        <w:tc>
          <w:tcPr>
            <w:tcW w:w="4876" w:type="dxa"/>
          </w:tcPr>
          <w:p w:rsidR="00E00003" w:rsidRPr="004E69E7" w:rsidRDefault="00E00003">
            <w:pPr>
              <w:pStyle w:val="Normal6"/>
            </w:pPr>
            <w:r w:rsidRPr="004E69E7">
              <w:lastRenderedPageBreak/>
              <w:t xml:space="preserve">sú viazané emisie vstupných materiálov (prekurzorov) spotrebovaných vo </w:t>
            </w:r>
            <w:r w:rsidRPr="004E69E7">
              <w:lastRenderedPageBreak/>
              <w:t xml:space="preserve">výrobnom procese. Zohľadnené majú byť len vstupné materiály (prekurzory), ktoré sú uvedené </w:t>
            </w:r>
            <w:r w:rsidRPr="004E69E7">
              <w:rPr>
                <w:b/>
                <w:i/>
              </w:rPr>
              <w:t>v prílohe I a pochádzajú z tretích krajín a území, ktoré nie sú vyňaté</w:t>
            </w:r>
            <w:r w:rsidRPr="004E69E7">
              <w:t xml:space="preserve"> podľa </w:t>
            </w:r>
            <w:r w:rsidRPr="004E69E7">
              <w:rPr>
                <w:b/>
                <w:i/>
              </w:rPr>
              <w:t xml:space="preserve">prílohy III </w:t>
            </w:r>
            <w:r w:rsidR="00083883" w:rsidRPr="004E69E7">
              <w:rPr>
                <w:b/>
                <w:i/>
              </w:rPr>
              <w:t xml:space="preserve">bodu </w:t>
            </w:r>
            <w:r w:rsidRPr="004E69E7">
              <w:rPr>
                <w:b/>
                <w:i/>
              </w:rPr>
              <w:t>1</w:t>
            </w:r>
            <w:r w:rsidRPr="004E69E7">
              <w:t xml:space="preserve">. Príslušné </w:t>
            </w:r>
            <w:proofErr w:type="spellStart"/>
            <w:r w:rsidRPr="004E69E7">
              <w:t>EE</w:t>
            </w:r>
            <w:r w:rsidRPr="004E69E7">
              <w:rPr>
                <w:vertAlign w:val="subscript"/>
              </w:rPr>
              <w:t>InpMat</w:t>
            </w:r>
            <w:proofErr w:type="spellEnd"/>
            <w:r w:rsidRPr="004E69E7">
              <w:t xml:space="preserve"> sa vypočítajú takto:</w:t>
            </w:r>
            <w:r w:rsidR="00E03127" w:rsidRPr="004E69E7">
              <w:t>“</w:t>
            </w:r>
          </w:p>
        </w:tc>
      </w:tr>
    </w:tbl>
    <w:p w:rsidR="00E365E1" w:rsidRPr="004E69E7" w:rsidRDefault="00E365E1" w:rsidP="00104FA8"/>
    <w:sectPr w:rsidR="00E365E1" w:rsidRPr="004E69E7" w:rsidSect="006A03F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4FA8" w:rsidRPr="006A03FC" w:rsidRDefault="00104FA8">
      <w:r w:rsidRPr="006A03FC">
        <w:separator/>
      </w:r>
    </w:p>
  </w:endnote>
  <w:endnote w:type="continuationSeparator" w:id="0">
    <w:p w:rsidR="00104FA8" w:rsidRPr="006A03FC" w:rsidRDefault="00104FA8">
      <w:r w:rsidRPr="006A03F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A03F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A03F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A03F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4FA8" w:rsidRPr="006A03FC" w:rsidRDefault="00104FA8">
      <w:r w:rsidRPr="006A03FC">
        <w:separator/>
      </w:r>
    </w:p>
  </w:footnote>
  <w:footnote w:type="continuationSeparator" w:id="0">
    <w:p w:rsidR="00104FA8" w:rsidRPr="006A03FC" w:rsidRDefault="00104FA8">
      <w:r w:rsidRPr="006A03FC">
        <w:continuationSeparator/>
      </w:r>
    </w:p>
  </w:footnote>
  <w:footnote w:id="1">
    <w:p w:rsidR="00877384" w:rsidRPr="00AD384D" w:rsidRDefault="00877384" w:rsidP="00AD384D">
      <w:pPr>
        <w:pStyle w:val="FootnoteText"/>
        <w:ind w:left="567" w:hanging="567"/>
        <w:rPr>
          <w:sz w:val="24"/>
          <w:szCs w:val="24"/>
          <w:lang w:val="sk-SK"/>
        </w:rPr>
      </w:pPr>
      <w:r w:rsidRPr="00AD384D">
        <w:rPr>
          <w:rStyle w:val="FootnoteReference"/>
          <w:sz w:val="24"/>
          <w:szCs w:val="24"/>
        </w:rPr>
        <w:footnoteRef/>
      </w:r>
      <w:r w:rsidRPr="00AD384D">
        <w:rPr>
          <w:sz w:val="24"/>
          <w:szCs w:val="24"/>
        </w:rPr>
        <w:t xml:space="preserve"> </w:t>
      </w:r>
      <w:r w:rsidRPr="00AD384D">
        <w:rPr>
          <w:sz w:val="24"/>
          <w:szCs w:val="24"/>
          <w:lang w:val="sk-SK"/>
        </w:rPr>
        <w:tab/>
        <w:t xml:space="preserve">Vec bola vrátená gestorskému výboru na </w:t>
      </w:r>
      <w:proofErr w:type="spellStart"/>
      <w:r w:rsidRPr="00AD384D">
        <w:rPr>
          <w:sz w:val="24"/>
          <w:szCs w:val="24"/>
          <w:lang w:val="sk-SK"/>
        </w:rPr>
        <w:t>medziinštitucionálne</w:t>
      </w:r>
      <w:proofErr w:type="spellEnd"/>
      <w:r w:rsidRPr="00AD384D">
        <w:rPr>
          <w:sz w:val="24"/>
          <w:szCs w:val="24"/>
          <w:lang w:val="sk-SK"/>
        </w:rPr>
        <w:t xml:space="preserve"> rokovania podľa článku </w:t>
      </w:r>
      <w:r w:rsidR="00304B5B">
        <w:rPr>
          <w:sz w:val="24"/>
          <w:szCs w:val="24"/>
          <w:lang w:val="sk-SK"/>
        </w:rPr>
        <w:t>60</w:t>
      </w:r>
      <w:r w:rsidRPr="00AD384D">
        <w:rPr>
          <w:sz w:val="24"/>
          <w:szCs w:val="24"/>
          <w:lang w:val="sk-SK"/>
        </w:rPr>
        <w:t xml:space="preserve"> ods. 4 štvrtého </w:t>
      </w:r>
      <w:proofErr w:type="spellStart"/>
      <w:r w:rsidRPr="00AD384D">
        <w:rPr>
          <w:sz w:val="24"/>
          <w:szCs w:val="24"/>
          <w:lang w:val="sk-SK"/>
        </w:rPr>
        <w:t>pododseku</w:t>
      </w:r>
      <w:proofErr w:type="spellEnd"/>
      <w:r w:rsidRPr="00AD384D">
        <w:rPr>
          <w:sz w:val="24"/>
          <w:szCs w:val="24"/>
          <w:lang w:val="sk-SK"/>
        </w:rPr>
        <w:t xml:space="preserve"> (A10-0085/2025).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A03F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A03F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A03F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85/2025"/>
    <w:docVar w:name="dvlangue" w:val="SK"/>
    <w:docVar w:name="dvnumam" w:val="4"/>
    <w:docVar w:name="dvpe" w:val="773.301"/>
    <w:docVar w:name="dvrapporteur" w:val="Spravodajca: "/>
    <w:docVar w:name="dvstar" w:val="***I"/>
    <w:docVar w:name="dvtitre" w:val="Legislatívne uznesenie Európskeho parlamentu z xx. mája 2025 o návrhu nariadenia Európskeho parlamentu a Rady, ktorým sa mení nariadenie (EÚ) 2023/956, pokiaľ ide o zjednodušenie a posilnenie mechanizmu uhlíkovej kompenzácie na hraniciach(COM(2025)0087 – C10-0035/2025 – 2025/0039(COD))"/>
  </w:docVars>
  <w:rsids>
    <w:rsidRoot w:val="00104FA8"/>
    <w:rsid w:val="00002272"/>
    <w:rsid w:val="00013195"/>
    <w:rsid w:val="00064002"/>
    <w:rsid w:val="000677B9"/>
    <w:rsid w:val="000831BA"/>
    <w:rsid w:val="00083883"/>
    <w:rsid w:val="000A42CC"/>
    <w:rsid w:val="000E7DD9"/>
    <w:rsid w:val="0010095E"/>
    <w:rsid w:val="00104FA8"/>
    <w:rsid w:val="00125B37"/>
    <w:rsid w:val="00187494"/>
    <w:rsid w:val="001F32AE"/>
    <w:rsid w:val="002767FF"/>
    <w:rsid w:val="002B18FE"/>
    <w:rsid w:val="002B5493"/>
    <w:rsid w:val="00304B5B"/>
    <w:rsid w:val="00343214"/>
    <w:rsid w:val="00361C00"/>
    <w:rsid w:val="00372D13"/>
    <w:rsid w:val="00395FA1"/>
    <w:rsid w:val="003E15D4"/>
    <w:rsid w:val="00411CCE"/>
    <w:rsid w:val="0041666E"/>
    <w:rsid w:val="00421060"/>
    <w:rsid w:val="00471C19"/>
    <w:rsid w:val="00476926"/>
    <w:rsid w:val="004867E3"/>
    <w:rsid w:val="00494A28"/>
    <w:rsid w:val="004C0004"/>
    <w:rsid w:val="004C5D52"/>
    <w:rsid w:val="004E69E7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A03FC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77384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D384D"/>
    <w:rsid w:val="00AE0928"/>
    <w:rsid w:val="00AF3B82"/>
    <w:rsid w:val="00B12E95"/>
    <w:rsid w:val="00B22876"/>
    <w:rsid w:val="00B35574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07BA5"/>
    <w:rsid w:val="00D56C11"/>
    <w:rsid w:val="00D834A0"/>
    <w:rsid w:val="00D872DF"/>
    <w:rsid w:val="00D91E21"/>
    <w:rsid w:val="00DA7FCD"/>
    <w:rsid w:val="00E00003"/>
    <w:rsid w:val="00E03127"/>
    <w:rsid w:val="00E365E1"/>
    <w:rsid w:val="00E820A4"/>
    <w:rsid w:val="00EB006A"/>
    <w:rsid w:val="00EB4772"/>
    <w:rsid w:val="00ED169E"/>
    <w:rsid w:val="00ED4235"/>
    <w:rsid w:val="00EF6FC3"/>
    <w:rsid w:val="00F04346"/>
    <w:rsid w:val="00F075DC"/>
    <w:rsid w:val="00F149E9"/>
    <w:rsid w:val="00F5134D"/>
    <w:rsid w:val="00F74202"/>
    <w:rsid w:val="00F87713"/>
    <w:rsid w:val="00FB099A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2045B4"/>
  <w15:chartTrackingRefBased/>
  <w15:docId w15:val="{65B95D68-03DF-4DF6-8A03-022AFE19B1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E00003"/>
    <w:rPr>
      <w:b/>
    </w:rPr>
  </w:style>
  <w:style w:type="paragraph" w:customStyle="1" w:styleId="NormalHanging12a">
    <w:name w:val="NormalHanging12a"/>
    <w:basedOn w:val="Normal"/>
    <w:link w:val="NormalHanging12aChar"/>
    <w:rsid w:val="00E00003"/>
    <w:pPr>
      <w:spacing w:after="240"/>
      <w:ind w:left="567" w:hanging="567"/>
    </w:pPr>
  </w:style>
  <w:style w:type="paragraph" w:customStyle="1" w:styleId="AmNumberTabs">
    <w:name w:val="AmNumberTabs"/>
    <w:basedOn w:val="Normal"/>
    <w:rsid w:val="00E0000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E00003"/>
    <w:pPr>
      <w:spacing w:before="240"/>
    </w:pPr>
    <w:rPr>
      <w:b/>
    </w:rPr>
  </w:style>
  <w:style w:type="paragraph" w:customStyle="1" w:styleId="EPComma">
    <w:name w:val="EPComma"/>
    <w:basedOn w:val="Normal"/>
    <w:rsid w:val="00E00003"/>
    <w:pPr>
      <w:spacing w:before="480" w:after="240"/>
    </w:pPr>
  </w:style>
  <w:style w:type="character" w:customStyle="1" w:styleId="NormalBoldChar">
    <w:name w:val="NormalBold Char"/>
    <w:basedOn w:val="DefaultParagraphFont"/>
    <w:link w:val="NormalBold"/>
    <w:rsid w:val="00E00003"/>
    <w:rPr>
      <w:b/>
      <w:sz w:val="24"/>
      <w:lang w:val="sk-SK"/>
    </w:rPr>
  </w:style>
  <w:style w:type="paragraph" w:customStyle="1" w:styleId="Normal6">
    <w:name w:val="Normal6"/>
    <w:basedOn w:val="Normal"/>
    <w:link w:val="Normal6Char"/>
    <w:rsid w:val="00E00003"/>
    <w:pPr>
      <w:spacing w:after="120"/>
    </w:pPr>
  </w:style>
  <w:style w:type="character" w:customStyle="1" w:styleId="Normal6Char">
    <w:name w:val="Normal6 Char"/>
    <w:basedOn w:val="DefaultParagraphFont"/>
    <w:link w:val="Normal6"/>
    <w:rsid w:val="00E00003"/>
    <w:rPr>
      <w:sz w:val="24"/>
      <w:lang w:val="sk-SK"/>
    </w:rPr>
  </w:style>
  <w:style w:type="paragraph" w:customStyle="1" w:styleId="ColumnHeading">
    <w:name w:val="ColumnHeading"/>
    <w:basedOn w:val="Normal"/>
    <w:rsid w:val="00E00003"/>
    <w:pPr>
      <w:spacing w:after="240"/>
      <w:jc w:val="center"/>
    </w:pPr>
    <w:rPr>
      <w:i/>
    </w:rPr>
  </w:style>
  <w:style w:type="character" w:customStyle="1" w:styleId="NormalBold12bChar">
    <w:name w:val="NormalBold12b Char"/>
    <w:basedOn w:val="DefaultParagraphFont"/>
    <w:link w:val="NormalBold12b"/>
    <w:rsid w:val="00E00003"/>
    <w:rPr>
      <w:b/>
      <w:sz w:val="24"/>
      <w:lang w:val="sk-SK"/>
    </w:rPr>
  </w:style>
  <w:style w:type="character" w:customStyle="1" w:styleId="oj-sub">
    <w:name w:val="oj-sub"/>
    <w:rsid w:val="00E00003"/>
  </w:style>
  <w:style w:type="character" w:customStyle="1" w:styleId="NormalHanging12aChar">
    <w:name w:val="NormalHanging12a Char"/>
    <w:basedOn w:val="DefaultParagraphFont"/>
    <w:link w:val="NormalHanging12a"/>
    <w:locked/>
    <w:rsid w:val="00E00003"/>
    <w:rPr>
      <w:sz w:val="24"/>
      <w:lang w:val="sk-SK"/>
    </w:rPr>
  </w:style>
  <w:style w:type="paragraph" w:styleId="BalloonText">
    <w:name w:val="Balloon Text"/>
    <w:basedOn w:val="Normal"/>
    <w:link w:val="BalloonTextChar"/>
    <w:rsid w:val="00FB099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FB099A"/>
    <w:rPr>
      <w:rFonts w:ascii="Segoe UI" w:hAnsi="Segoe UI" w:cs="Segoe UI"/>
      <w:sz w:val="18"/>
      <w:szCs w:val="18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366542-61F4-4AA1-AF54-434DF14C84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328</Words>
  <Characters>2002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2025-05-22T11:12:00Z</dcterms:created>
  <dcterms:modified xsi:type="dcterms:W3CDTF">2025-05-22T11:12:00Z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A10-0085/2025</vt:lpwstr>
  </property>
  <property fmtid="{D5CDD505-2E9C-101B-9397-08002B2CF9AE}" pid="4" name="&lt;Type&gt;">
    <vt:lpwstr>RR</vt:lpwstr>
  </property>
</Properties>
</file>