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16B50" w14:paraId="663B4C6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E54FF28" w14:textId="77777777" w:rsidR="00751A4A" w:rsidRPr="00616B50" w:rsidRDefault="00757E33" w:rsidP="0010095E">
            <w:pPr>
              <w:pStyle w:val="EPName"/>
            </w:pPr>
            <w:r w:rsidRPr="00616B50">
              <w:t>Evropski parlament</w:t>
            </w:r>
          </w:p>
          <w:p w14:paraId="7DCD81A9" w14:textId="77777777" w:rsidR="00751A4A" w:rsidRPr="00616B5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16B50">
              <w:t>2024</w:t>
            </w:r>
            <w:r w:rsidR="00817416" w:rsidRPr="00616B50">
              <w:t>-202</w:t>
            </w:r>
            <w:r w:rsidRPr="00616B50">
              <w:t>9</w:t>
            </w:r>
          </w:p>
        </w:tc>
        <w:tc>
          <w:tcPr>
            <w:tcW w:w="2268" w:type="dxa"/>
            <w:shd w:val="clear" w:color="auto" w:fill="auto"/>
          </w:tcPr>
          <w:p w14:paraId="4FF43252" w14:textId="77777777" w:rsidR="00751A4A" w:rsidRPr="00616B50" w:rsidRDefault="00187494" w:rsidP="0010095E">
            <w:pPr>
              <w:pStyle w:val="EPLogo"/>
            </w:pPr>
            <w:r w:rsidRPr="00616B50">
              <w:rPr>
                <w:noProof/>
                <w:lang w:val="en-GB"/>
              </w:rPr>
              <w:drawing>
                <wp:inline distT="0" distB="0" distL="0" distR="0" wp14:anchorId="291BA9BB" wp14:editId="254B3B5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BEFED3C" w14:textId="77777777" w:rsidR="00D058B8" w:rsidRPr="00616B50" w:rsidRDefault="00D058B8" w:rsidP="004C5D52">
      <w:pPr>
        <w:pStyle w:val="LineTop"/>
      </w:pPr>
    </w:p>
    <w:p w14:paraId="0E6CBF09" w14:textId="77777777" w:rsidR="00680577" w:rsidRPr="00616B50" w:rsidRDefault="00757E33" w:rsidP="00680577">
      <w:pPr>
        <w:pStyle w:val="EPBodyTA1"/>
      </w:pPr>
      <w:r w:rsidRPr="00616B50">
        <w:t>SPREJETA BESEDILA</w:t>
      </w:r>
    </w:p>
    <w:p w14:paraId="7CE9847F" w14:textId="77777777" w:rsidR="00D058B8" w:rsidRPr="00616B50" w:rsidRDefault="00D058B8" w:rsidP="00D058B8">
      <w:pPr>
        <w:pStyle w:val="LineBottom"/>
      </w:pPr>
    </w:p>
    <w:p w14:paraId="258D003D" w14:textId="472D70B0" w:rsidR="00757E33" w:rsidRPr="00616B50" w:rsidRDefault="00757E33" w:rsidP="00757E33">
      <w:pPr>
        <w:pStyle w:val="ATHeading1"/>
      </w:pPr>
      <w:bookmarkStart w:id="0" w:name="TANumber"/>
      <w:r w:rsidRPr="00616B50">
        <w:t>P10_TA(2025)</w:t>
      </w:r>
      <w:bookmarkEnd w:id="0"/>
      <w:r w:rsidR="00B226F2" w:rsidRPr="00616B50">
        <w:t>0</w:t>
      </w:r>
      <w:r w:rsidR="00B226F2">
        <w:t>108</w:t>
      </w:r>
    </w:p>
    <w:p w14:paraId="2D4EE0A1" w14:textId="77777777" w:rsidR="00757E33" w:rsidRPr="00616B50" w:rsidRDefault="00757E33" w:rsidP="00757E33">
      <w:pPr>
        <w:pStyle w:val="ATHeading2"/>
      </w:pPr>
      <w:bookmarkStart w:id="1" w:name="title"/>
      <w:r w:rsidRPr="00616B50">
        <w:t xml:space="preserve">Sprememba Uredbe (EU) 2023/956 glede poenostavitve in okrepitve mehanizma za </w:t>
      </w:r>
      <w:proofErr w:type="spellStart"/>
      <w:r w:rsidRPr="00616B50">
        <w:t>ogljično</w:t>
      </w:r>
      <w:proofErr w:type="spellEnd"/>
      <w:r w:rsidRPr="00616B50">
        <w:t xml:space="preserve"> prilagoditev na mejah</w:t>
      </w:r>
      <w:bookmarkEnd w:id="1"/>
    </w:p>
    <w:p w14:paraId="460C4A5E" w14:textId="77777777" w:rsidR="00757E33" w:rsidRPr="00616B50" w:rsidRDefault="00757E33" w:rsidP="00757E33">
      <w:pPr>
        <w:rPr>
          <w:i/>
          <w:vanish/>
        </w:rPr>
      </w:pPr>
      <w:r w:rsidRPr="00616B50">
        <w:rPr>
          <w:i/>
        </w:rPr>
        <w:fldChar w:fldCharType="begin"/>
      </w:r>
      <w:r w:rsidRPr="00616B50">
        <w:rPr>
          <w:i/>
        </w:rPr>
        <w:instrText xml:space="preserve"> TC"(</w:instrText>
      </w:r>
      <w:bookmarkStart w:id="2" w:name="DocNumber"/>
      <w:r w:rsidRPr="00616B50">
        <w:rPr>
          <w:i/>
        </w:rPr>
        <w:instrText>A10-0085/2025</w:instrText>
      </w:r>
      <w:bookmarkEnd w:id="2"/>
      <w:r w:rsidRPr="00616B50">
        <w:rPr>
          <w:i/>
        </w:rPr>
        <w:instrText xml:space="preserve"> - Poročevalec: Antonio Decaro)"\l3 \n&gt; \* MERGEFORMAT </w:instrText>
      </w:r>
      <w:r w:rsidRPr="00616B50">
        <w:rPr>
          <w:i/>
        </w:rPr>
        <w:fldChar w:fldCharType="end"/>
      </w:r>
    </w:p>
    <w:p w14:paraId="608DD5BB" w14:textId="77777777" w:rsidR="00757E33" w:rsidRPr="00616B50" w:rsidRDefault="00757E33" w:rsidP="00757E33">
      <w:pPr>
        <w:rPr>
          <w:vanish/>
        </w:rPr>
      </w:pPr>
      <w:bookmarkStart w:id="3" w:name="Commission"/>
      <w:r w:rsidRPr="00616B50">
        <w:rPr>
          <w:vanish/>
        </w:rPr>
        <w:t>Odbor za okolje, podnebje in varnost hrane</w:t>
      </w:r>
      <w:bookmarkEnd w:id="3"/>
    </w:p>
    <w:p w14:paraId="3C4D621E" w14:textId="77777777" w:rsidR="00757E33" w:rsidRPr="00616B50" w:rsidRDefault="00757E33" w:rsidP="00757E33">
      <w:pPr>
        <w:rPr>
          <w:vanish/>
        </w:rPr>
      </w:pPr>
      <w:bookmarkStart w:id="4" w:name="PE"/>
      <w:r w:rsidRPr="00616B50">
        <w:rPr>
          <w:vanish/>
        </w:rPr>
        <w:t>PE773.301</w:t>
      </w:r>
      <w:bookmarkEnd w:id="4"/>
    </w:p>
    <w:p w14:paraId="7FB9E40C" w14:textId="4B345255" w:rsidR="00757E33" w:rsidRPr="00616B50" w:rsidRDefault="00B226F2" w:rsidP="00757E33">
      <w:pPr>
        <w:pStyle w:val="ATHeading3"/>
      </w:pPr>
      <w:bookmarkStart w:id="5" w:name="Sujet"/>
      <w:r>
        <w:t>Spremembe</w:t>
      </w:r>
      <w:r w:rsidR="00757E33" w:rsidRPr="00616B50">
        <w:t xml:space="preserve"> Evropskega parlamenta</w:t>
      </w:r>
      <w:r>
        <w:t>, sprejete</w:t>
      </w:r>
      <w:r w:rsidR="00757E33" w:rsidRPr="00616B50">
        <w:t xml:space="preserve"> 22. maja 2025</w:t>
      </w:r>
      <w:r>
        <w:t>,</w:t>
      </w:r>
      <w:r w:rsidR="00757E33" w:rsidRPr="00616B50">
        <w:t xml:space="preserve"> o predlogu uredbe Evropskega parlamenta in Sveta o spremembi Uredbe (EU) 2023/956 glede poenostavitve in okrepitve mehanizma za </w:t>
      </w:r>
      <w:proofErr w:type="spellStart"/>
      <w:r w:rsidR="00757E33" w:rsidRPr="00616B50">
        <w:t>ogljično</w:t>
      </w:r>
      <w:proofErr w:type="spellEnd"/>
      <w:r w:rsidR="00757E33" w:rsidRPr="00616B50">
        <w:t xml:space="preserve"> prilagoditev na mejah</w:t>
      </w:r>
      <w:bookmarkEnd w:id="5"/>
      <w:r w:rsidR="00757E33" w:rsidRPr="00616B50">
        <w:t xml:space="preserve"> </w:t>
      </w:r>
      <w:bookmarkStart w:id="6" w:name="References"/>
      <w:r w:rsidR="00757E33" w:rsidRPr="00616B50">
        <w:t>(COM(2025)0087 – C10-0035/2025 – 2025/0039(COD))</w:t>
      </w:r>
      <w:bookmarkEnd w:id="6"/>
      <w:r w:rsidRPr="00B226F2">
        <w:rPr>
          <w:vertAlign w:val="superscript"/>
        </w:rPr>
        <w:footnoteReference w:id="1"/>
      </w:r>
    </w:p>
    <w:p w14:paraId="31CFD41D" w14:textId="77777777" w:rsidR="003A7DF9" w:rsidRPr="00616B50" w:rsidRDefault="003A7DF9" w:rsidP="003A7DF9">
      <w:pPr>
        <w:pStyle w:val="NormalBold"/>
      </w:pPr>
      <w:r w:rsidRPr="00616B50">
        <w:t>(Redni zakonodajni postopek: prva obravnava)</w:t>
      </w:r>
    </w:p>
    <w:p w14:paraId="42C18E22" w14:textId="77777777" w:rsidR="006F78E7" w:rsidRDefault="006F78E7" w:rsidP="008B35F3">
      <w:pPr>
        <w:pStyle w:val="AmNumberTabs"/>
      </w:pPr>
    </w:p>
    <w:p w14:paraId="200CC223" w14:textId="6AD68537" w:rsidR="003A7DF9" w:rsidRPr="00616B50" w:rsidRDefault="00B226F2" w:rsidP="008B35F3">
      <w:pPr>
        <w:pStyle w:val="AmNumberTabs"/>
      </w:pPr>
      <w:r>
        <w:t>S</w:t>
      </w:r>
      <w:r w:rsidR="003A7DF9" w:rsidRPr="00616B50">
        <w:t>prememb</w:t>
      </w:r>
      <w:r>
        <w:t>a</w:t>
      </w:r>
      <w:r w:rsidR="003A7DF9" w:rsidRPr="00616B50">
        <w:tab/>
      </w:r>
      <w:r w:rsidR="003A7DF9" w:rsidRPr="00616B50">
        <w:tab/>
        <w:t>1</w:t>
      </w:r>
    </w:p>
    <w:p w14:paraId="24806D17" w14:textId="77777777" w:rsidR="003A7DF9" w:rsidRPr="00616B50" w:rsidRDefault="003A7DF9" w:rsidP="003A7DF9">
      <w:pPr>
        <w:pStyle w:val="NormalBold12b"/>
      </w:pPr>
      <w:r w:rsidRPr="00616B50">
        <w:t>Predlog uredbe</w:t>
      </w:r>
    </w:p>
    <w:p w14:paraId="6DE5E3EB" w14:textId="77777777" w:rsidR="003A7DF9" w:rsidRPr="00616B50" w:rsidRDefault="003A7DF9" w:rsidP="003A7DF9">
      <w:pPr>
        <w:pStyle w:val="NormalBold"/>
      </w:pPr>
      <w:r w:rsidRPr="00616B50">
        <w:t>Uvodna izjava 25 a (novo)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A7DF9" w:rsidRPr="00616B50" w14:paraId="012C6312" w14:textId="77777777" w:rsidTr="00217464">
        <w:trPr>
          <w:jc w:val="center"/>
        </w:trPr>
        <w:tc>
          <w:tcPr>
            <w:tcW w:w="9752" w:type="dxa"/>
            <w:gridSpan w:val="2"/>
          </w:tcPr>
          <w:p w14:paraId="2765A309" w14:textId="77777777" w:rsidR="003A7DF9" w:rsidRPr="00616B50" w:rsidRDefault="003A7DF9" w:rsidP="00217464">
            <w:pPr>
              <w:keepNext/>
            </w:pPr>
          </w:p>
        </w:tc>
      </w:tr>
      <w:tr w:rsidR="003A7DF9" w:rsidRPr="00616B50" w14:paraId="1DFFC697" w14:textId="77777777" w:rsidTr="00217464">
        <w:trPr>
          <w:jc w:val="center"/>
        </w:trPr>
        <w:tc>
          <w:tcPr>
            <w:tcW w:w="4876" w:type="dxa"/>
          </w:tcPr>
          <w:p w14:paraId="1EE15201" w14:textId="77777777" w:rsidR="003A7DF9" w:rsidRPr="00616B50" w:rsidRDefault="003A7DF9" w:rsidP="00217464">
            <w:pPr>
              <w:pStyle w:val="ColumnHeading"/>
              <w:keepNext/>
            </w:pPr>
            <w:r w:rsidRPr="00616B50">
              <w:t>Besedilo, ki ga predlaga Komisija</w:t>
            </w:r>
          </w:p>
        </w:tc>
        <w:tc>
          <w:tcPr>
            <w:tcW w:w="4876" w:type="dxa"/>
          </w:tcPr>
          <w:p w14:paraId="4513A723" w14:textId="5741DDC4" w:rsidR="003A7DF9" w:rsidRPr="00616B50" w:rsidRDefault="00D621AE" w:rsidP="00217464">
            <w:pPr>
              <w:pStyle w:val="ColumnHeading"/>
              <w:keepNext/>
            </w:pPr>
            <w:r>
              <w:t>S</w:t>
            </w:r>
            <w:r w:rsidR="003A7DF9" w:rsidRPr="00616B50">
              <w:t>prememb</w:t>
            </w:r>
            <w:r>
              <w:t>a</w:t>
            </w:r>
          </w:p>
        </w:tc>
      </w:tr>
      <w:tr w:rsidR="003A7DF9" w:rsidRPr="00616B50" w14:paraId="216C78B8" w14:textId="77777777" w:rsidTr="00217464">
        <w:trPr>
          <w:jc w:val="center"/>
        </w:trPr>
        <w:tc>
          <w:tcPr>
            <w:tcW w:w="4876" w:type="dxa"/>
          </w:tcPr>
          <w:p w14:paraId="78725AFB" w14:textId="77777777" w:rsidR="003A7DF9" w:rsidRPr="00616B50" w:rsidRDefault="003A7DF9" w:rsidP="00217464">
            <w:pPr>
              <w:pStyle w:val="Normal6"/>
            </w:pPr>
          </w:p>
        </w:tc>
        <w:tc>
          <w:tcPr>
            <w:tcW w:w="4876" w:type="dxa"/>
          </w:tcPr>
          <w:p w14:paraId="56193E00" w14:textId="77777777" w:rsidR="003A7DF9" w:rsidRPr="00616B50" w:rsidRDefault="003A7DF9" w:rsidP="00217464">
            <w:pPr>
              <w:pStyle w:val="Normal6"/>
              <w:rPr>
                <w:szCs w:val="24"/>
              </w:rPr>
            </w:pPr>
            <w:r w:rsidRPr="00616B50">
              <w:rPr>
                <w:b/>
                <w:i/>
              </w:rPr>
              <w:t>(25a)</w:t>
            </w:r>
            <w:r w:rsidRPr="00616B50">
              <w:rPr>
                <w:b/>
                <w:i/>
              </w:rPr>
              <w:tab/>
              <w:t>CBAM se uporablja za uvoz električne energije, ne bi pa se smel uporabljati za električno energijo, ki se v celoti proizvede v izključni ekonomski coni države članice EGP in neposredno uvozi na carinsko območje Unije;</w:t>
            </w:r>
          </w:p>
        </w:tc>
      </w:tr>
    </w:tbl>
    <w:p w14:paraId="595FE1D7" w14:textId="77777777" w:rsidR="003A7DF9" w:rsidRPr="00616B50" w:rsidRDefault="003A7DF9" w:rsidP="003A7DF9"/>
    <w:p w14:paraId="4E67DB62" w14:textId="7F205CA9" w:rsidR="003A7DF9" w:rsidRPr="00616B50" w:rsidRDefault="00B226F2" w:rsidP="003A7DF9">
      <w:pPr>
        <w:pStyle w:val="AmNumberTabs"/>
      </w:pPr>
      <w:r>
        <w:t>S</w:t>
      </w:r>
      <w:r w:rsidR="003A7DF9" w:rsidRPr="00616B50">
        <w:t>prememb</w:t>
      </w:r>
      <w:r>
        <w:t>a</w:t>
      </w:r>
      <w:r w:rsidR="003A7DF9" w:rsidRPr="00616B50">
        <w:tab/>
      </w:r>
      <w:r w:rsidR="003A7DF9" w:rsidRPr="00616B50">
        <w:tab/>
        <w:t>2</w:t>
      </w:r>
    </w:p>
    <w:p w14:paraId="0158161F" w14:textId="77777777" w:rsidR="003A7DF9" w:rsidRPr="00616B50" w:rsidRDefault="003A7DF9" w:rsidP="003A7DF9">
      <w:pPr>
        <w:pStyle w:val="NormalBold12b"/>
      </w:pPr>
      <w:r w:rsidRPr="00616B50">
        <w:t>Predlog uredbe</w:t>
      </w:r>
    </w:p>
    <w:p w14:paraId="2B555CBC" w14:textId="77777777" w:rsidR="003A7DF9" w:rsidRPr="00616B50" w:rsidRDefault="003A7DF9" w:rsidP="003A7DF9">
      <w:pPr>
        <w:pStyle w:val="NormalBold"/>
      </w:pPr>
      <w:r w:rsidRPr="00616B50">
        <w:t>Člen 1 – odstavek 1 – točka 1 – točka b a (novo)</w:t>
      </w:r>
    </w:p>
    <w:p w14:paraId="04D357FE" w14:textId="77777777" w:rsidR="003A7DF9" w:rsidRPr="00616B50" w:rsidRDefault="003A7DF9" w:rsidP="003A7DF9">
      <w:pPr>
        <w:keepNext/>
      </w:pPr>
      <w:r w:rsidRPr="00616B50">
        <w:t>Uredba (EU) 2023/956</w:t>
      </w:r>
    </w:p>
    <w:p w14:paraId="3AE35306" w14:textId="77777777" w:rsidR="003A7DF9" w:rsidRPr="00616B50" w:rsidRDefault="003A7DF9" w:rsidP="003A7DF9">
      <w:r w:rsidRPr="00616B50">
        <w:t>Člen 2 – odstavek 3 b (novo)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A7DF9" w:rsidRPr="00616B50" w14:paraId="7681F5B2" w14:textId="77777777" w:rsidTr="00217464">
        <w:trPr>
          <w:jc w:val="center"/>
        </w:trPr>
        <w:tc>
          <w:tcPr>
            <w:tcW w:w="9752" w:type="dxa"/>
            <w:gridSpan w:val="2"/>
          </w:tcPr>
          <w:p w14:paraId="3DF4E1A9" w14:textId="77777777" w:rsidR="003A7DF9" w:rsidRPr="00616B50" w:rsidRDefault="003A7DF9" w:rsidP="00217464">
            <w:pPr>
              <w:keepNext/>
            </w:pPr>
          </w:p>
        </w:tc>
      </w:tr>
      <w:tr w:rsidR="003A7DF9" w:rsidRPr="00616B50" w14:paraId="7DC87DBD" w14:textId="77777777" w:rsidTr="00217464">
        <w:trPr>
          <w:jc w:val="center"/>
        </w:trPr>
        <w:tc>
          <w:tcPr>
            <w:tcW w:w="4876" w:type="dxa"/>
          </w:tcPr>
          <w:p w14:paraId="72BB9DAE" w14:textId="77777777" w:rsidR="003A7DF9" w:rsidRPr="00616B50" w:rsidRDefault="003A7DF9" w:rsidP="00217464">
            <w:pPr>
              <w:pStyle w:val="ColumnHeading"/>
              <w:keepNext/>
            </w:pPr>
            <w:r w:rsidRPr="00616B50">
              <w:t>Besedilo, ki ga predlaga Komisija</w:t>
            </w:r>
          </w:p>
        </w:tc>
        <w:tc>
          <w:tcPr>
            <w:tcW w:w="4876" w:type="dxa"/>
          </w:tcPr>
          <w:p w14:paraId="229D0B55" w14:textId="3BDAD4F3" w:rsidR="003A7DF9" w:rsidRPr="00616B50" w:rsidRDefault="00D621AE" w:rsidP="00217464">
            <w:pPr>
              <w:pStyle w:val="ColumnHeading"/>
              <w:keepNext/>
            </w:pPr>
            <w:r>
              <w:t>S</w:t>
            </w:r>
            <w:r w:rsidR="003A7DF9" w:rsidRPr="00616B50">
              <w:t>prememb</w:t>
            </w:r>
            <w:r>
              <w:t>a</w:t>
            </w:r>
          </w:p>
        </w:tc>
      </w:tr>
      <w:tr w:rsidR="003A7DF9" w:rsidRPr="00616B50" w14:paraId="6759670C" w14:textId="77777777" w:rsidTr="00217464">
        <w:trPr>
          <w:jc w:val="center"/>
        </w:trPr>
        <w:tc>
          <w:tcPr>
            <w:tcW w:w="4876" w:type="dxa"/>
          </w:tcPr>
          <w:p w14:paraId="0F8CAEE7" w14:textId="77777777" w:rsidR="003A7DF9" w:rsidRPr="00616B50" w:rsidRDefault="003A7DF9" w:rsidP="00217464">
            <w:pPr>
              <w:pStyle w:val="Normal6"/>
            </w:pPr>
          </w:p>
        </w:tc>
        <w:tc>
          <w:tcPr>
            <w:tcW w:w="4876" w:type="dxa"/>
          </w:tcPr>
          <w:p w14:paraId="231E957B" w14:textId="77777777" w:rsidR="003A7DF9" w:rsidRPr="00616B50" w:rsidRDefault="003A7DF9" w:rsidP="00217464">
            <w:pPr>
              <w:pStyle w:val="Normal6"/>
              <w:rPr>
                <w:szCs w:val="24"/>
              </w:rPr>
            </w:pPr>
            <w:r w:rsidRPr="00616B50">
              <w:rPr>
                <w:b/>
                <w:i/>
              </w:rPr>
              <w:t>(ba)</w:t>
            </w:r>
            <w:r w:rsidRPr="00616B50">
              <w:rPr>
                <w:b/>
                <w:i/>
              </w:rPr>
              <w:tab/>
              <w:t>vstavi se naslednji odstavek 3b:</w:t>
            </w:r>
          </w:p>
        </w:tc>
      </w:tr>
      <w:tr w:rsidR="003A7DF9" w:rsidRPr="00616B50" w14:paraId="09F8A488" w14:textId="77777777" w:rsidTr="00217464">
        <w:trPr>
          <w:jc w:val="center"/>
        </w:trPr>
        <w:tc>
          <w:tcPr>
            <w:tcW w:w="4876" w:type="dxa"/>
          </w:tcPr>
          <w:p w14:paraId="6BD32F9E" w14:textId="77777777" w:rsidR="003A7DF9" w:rsidRPr="00616B50" w:rsidRDefault="003A7DF9" w:rsidP="00217464">
            <w:pPr>
              <w:pStyle w:val="Normal6"/>
            </w:pPr>
          </w:p>
        </w:tc>
        <w:tc>
          <w:tcPr>
            <w:tcW w:w="4876" w:type="dxa"/>
          </w:tcPr>
          <w:p w14:paraId="1FD6AEB2" w14:textId="77777777" w:rsidR="003A7DF9" w:rsidRPr="00616B50" w:rsidRDefault="003A7DF9" w:rsidP="00217464">
            <w:pPr>
              <w:pStyle w:val="Normal6"/>
              <w:rPr>
                <w:szCs w:val="24"/>
              </w:rPr>
            </w:pPr>
            <w:r w:rsidRPr="00616B50">
              <w:rPr>
                <w:b/>
                <w:i/>
              </w:rPr>
              <w:t>3b.</w:t>
            </w:r>
            <w:r w:rsidRPr="00616B50">
              <w:tab/>
            </w:r>
            <w:r w:rsidRPr="00616B50">
              <w:rPr>
                <w:b/>
                <w:i/>
              </w:rPr>
              <w:t>Z odstopanjem od odstavkov 1 in 2 se ta uredba ne uporablja za električno energijo, ki se v celoti proizvede v izključni ekonomski coni države članice in neposredno uvozi na carinsko območje Unije.</w:t>
            </w:r>
          </w:p>
        </w:tc>
      </w:tr>
    </w:tbl>
    <w:p w14:paraId="22CC9BEC" w14:textId="77777777" w:rsidR="003A7DF9" w:rsidRPr="00616B50" w:rsidRDefault="003A7DF9" w:rsidP="003A7DF9"/>
    <w:p w14:paraId="1E866E26" w14:textId="022611C7" w:rsidR="003A7DF9" w:rsidRPr="00616B50" w:rsidRDefault="00B226F2" w:rsidP="003A7DF9">
      <w:pPr>
        <w:pStyle w:val="AmNumberTabs"/>
      </w:pPr>
      <w:r>
        <w:t>S</w:t>
      </w:r>
      <w:r w:rsidR="003A7DF9" w:rsidRPr="00616B50">
        <w:t>prememb</w:t>
      </w:r>
      <w:r>
        <w:t>a</w:t>
      </w:r>
      <w:r w:rsidR="003A7DF9" w:rsidRPr="00616B50">
        <w:tab/>
      </w:r>
      <w:r w:rsidR="003A7DF9" w:rsidRPr="00616B50">
        <w:tab/>
        <w:t>3</w:t>
      </w:r>
    </w:p>
    <w:p w14:paraId="263C713C" w14:textId="77777777" w:rsidR="003A7DF9" w:rsidRPr="00616B50" w:rsidRDefault="003A7DF9" w:rsidP="003A7DF9">
      <w:pPr>
        <w:pStyle w:val="NormalBold12b"/>
      </w:pPr>
      <w:r w:rsidRPr="00616B50">
        <w:t>Predlog uredbe</w:t>
      </w:r>
    </w:p>
    <w:p w14:paraId="77D0E4EF" w14:textId="77777777" w:rsidR="003A7DF9" w:rsidRPr="00616B50" w:rsidRDefault="003A7DF9" w:rsidP="003A7DF9">
      <w:pPr>
        <w:pStyle w:val="NormalBold"/>
      </w:pPr>
      <w:r w:rsidRPr="00616B50">
        <w:t>Priloga I – odstavek 1 – točka 1 a (novo)</w:t>
      </w:r>
    </w:p>
    <w:p w14:paraId="23EB925F" w14:textId="77777777" w:rsidR="003A7DF9" w:rsidRPr="00616B50" w:rsidRDefault="003A7DF9" w:rsidP="003A7DF9">
      <w:pPr>
        <w:keepNext/>
      </w:pPr>
      <w:r w:rsidRPr="00616B50">
        <w:t>Uredba (EU) 2023/956</w:t>
      </w:r>
    </w:p>
    <w:p w14:paraId="1F5B0F92" w14:textId="77777777" w:rsidR="003A7DF9" w:rsidRPr="00616B50" w:rsidRDefault="003A7DF9" w:rsidP="003A7DF9">
      <w:r w:rsidRPr="00616B50">
        <w:t xml:space="preserve">Priloga IV – točka 3 – odstavek 1 – pododstavek 5 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A7DF9" w:rsidRPr="00616B50" w14:paraId="22CCBE08" w14:textId="77777777" w:rsidTr="00217464">
        <w:trPr>
          <w:jc w:val="center"/>
        </w:trPr>
        <w:tc>
          <w:tcPr>
            <w:tcW w:w="9752" w:type="dxa"/>
            <w:gridSpan w:val="2"/>
          </w:tcPr>
          <w:p w14:paraId="03710B57" w14:textId="77777777" w:rsidR="003A7DF9" w:rsidRPr="00616B50" w:rsidRDefault="003A7DF9" w:rsidP="00217464">
            <w:pPr>
              <w:keepNext/>
            </w:pPr>
          </w:p>
        </w:tc>
      </w:tr>
      <w:tr w:rsidR="003A7DF9" w:rsidRPr="00616B50" w14:paraId="4E2C7548" w14:textId="77777777" w:rsidTr="00217464">
        <w:trPr>
          <w:jc w:val="center"/>
        </w:trPr>
        <w:tc>
          <w:tcPr>
            <w:tcW w:w="4876" w:type="dxa"/>
          </w:tcPr>
          <w:p w14:paraId="23A2FFF1" w14:textId="77777777" w:rsidR="003A7DF9" w:rsidRPr="00616B50" w:rsidRDefault="003A7DF9" w:rsidP="00217464">
            <w:pPr>
              <w:pStyle w:val="ColumnHeading"/>
              <w:keepNext/>
            </w:pPr>
            <w:r w:rsidRPr="00616B50">
              <w:t>Veljavno besedilo</w:t>
            </w:r>
          </w:p>
        </w:tc>
        <w:tc>
          <w:tcPr>
            <w:tcW w:w="4876" w:type="dxa"/>
          </w:tcPr>
          <w:p w14:paraId="3F417B85" w14:textId="43369B78" w:rsidR="003A7DF9" w:rsidRPr="00616B50" w:rsidRDefault="00D621AE" w:rsidP="00217464">
            <w:pPr>
              <w:pStyle w:val="ColumnHeading"/>
              <w:keepNext/>
            </w:pPr>
            <w:r>
              <w:t>S</w:t>
            </w:r>
            <w:r w:rsidR="003A7DF9" w:rsidRPr="00616B50">
              <w:t>prememb</w:t>
            </w:r>
            <w:r>
              <w:t>a</w:t>
            </w:r>
          </w:p>
        </w:tc>
      </w:tr>
      <w:tr w:rsidR="003A7DF9" w:rsidRPr="00616B50" w14:paraId="5DA6FA50" w14:textId="77777777" w:rsidTr="00217464">
        <w:trPr>
          <w:jc w:val="center"/>
        </w:trPr>
        <w:tc>
          <w:tcPr>
            <w:tcW w:w="4876" w:type="dxa"/>
          </w:tcPr>
          <w:p w14:paraId="1A9C2E70" w14:textId="77777777" w:rsidR="003A7DF9" w:rsidRPr="00616B50" w:rsidRDefault="003A7DF9" w:rsidP="00217464">
            <w:pPr>
              <w:pStyle w:val="Normal6"/>
            </w:pPr>
          </w:p>
        </w:tc>
        <w:tc>
          <w:tcPr>
            <w:tcW w:w="4876" w:type="dxa"/>
          </w:tcPr>
          <w:p w14:paraId="74AE4C03" w14:textId="77777777" w:rsidR="003A7DF9" w:rsidRPr="00616B50" w:rsidRDefault="003A7DF9" w:rsidP="00217464">
            <w:pPr>
              <w:pStyle w:val="Normal6"/>
              <w:rPr>
                <w:szCs w:val="24"/>
              </w:rPr>
            </w:pPr>
            <w:r w:rsidRPr="00616B50">
              <w:rPr>
                <w:b/>
                <w:i/>
              </w:rPr>
              <w:t>(1a)</w:t>
            </w:r>
            <w:r w:rsidRPr="00616B50">
              <w:rPr>
                <w:b/>
                <w:i/>
              </w:rPr>
              <w:tab/>
              <w:t xml:space="preserve">V točki 3 se v opombah, ki pojasnjujejo formulo za </w:t>
            </w:r>
            <w:proofErr w:type="spellStart"/>
            <w:r w:rsidRPr="00616B50">
              <w:rPr>
                <w:b/>
                <w:i/>
              </w:rPr>
              <w:t>SEEg</w:t>
            </w:r>
            <w:proofErr w:type="spellEnd"/>
            <w:r w:rsidRPr="00616B50">
              <w:rPr>
                <w:b/>
                <w:i/>
              </w:rPr>
              <w:t xml:space="preserve"> v prvem odstavku, opomba za </w:t>
            </w:r>
            <w:proofErr w:type="spellStart"/>
            <w:r w:rsidRPr="00616B50">
              <w:rPr>
                <w:b/>
                <w:i/>
              </w:rPr>
              <w:t>EE</w:t>
            </w:r>
            <w:r w:rsidRPr="00616B50">
              <w:rPr>
                <w:b/>
                <w:i/>
                <w:vertAlign w:val="subscript"/>
              </w:rPr>
              <w:t>InpMat</w:t>
            </w:r>
            <w:proofErr w:type="spellEnd"/>
            <w:r w:rsidRPr="00616B50">
              <w:rPr>
                <w:b/>
                <w:i/>
              </w:rPr>
              <w:t xml:space="preserve"> nadomesti z naslednjim:</w:t>
            </w:r>
          </w:p>
        </w:tc>
      </w:tr>
      <w:tr w:rsidR="003A7DF9" w:rsidRPr="00616B50" w14:paraId="2002D12F" w14:textId="77777777" w:rsidTr="00217464">
        <w:trPr>
          <w:jc w:val="center"/>
        </w:trPr>
        <w:tc>
          <w:tcPr>
            <w:tcW w:w="4876" w:type="dxa"/>
          </w:tcPr>
          <w:p w14:paraId="69DDA634" w14:textId="77777777" w:rsidR="003A7DF9" w:rsidRPr="00616B50" w:rsidRDefault="003A7DF9" w:rsidP="00217464">
            <w:pPr>
              <w:pStyle w:val="Normal6"/>
            </w:pPr>
            <w:proofErr w:type="spellStart"/>
            <w:r w:rsidRPr="00616B50">
              <w:rPr>
                <w:sz w:val="27"/>
                <w:shd w:val="clear" w:color="auto" w:fill="FFFFFF"/>
              </w:rPr>
              <w:t>EE</w:t>
            </w:r>
            <w:r w:rsidRPr="00616B50">
              <w:rPr>
                <w:rStyle w:val="oj-sub"/>
                <w:sz w:val="17"/>
                <w:shd w:val="clear" w:color="auto" w:fill="FFFFFF"/>
                <w:vertAlign w:val="subscript"/>
              </w:rPr>
              <w:t>InpMat</w:t>
            </w:r>
            <w:proofErr w:type="spellEnd"/>
          </w:p>
        </w:tc>
        <w:tc>
          <w:tcPr>
            <w:tcW w:w="4876" w:type="dxa"/>
          </w:tcPr>
          <w:p w14:paraId="773DFC3E" w14:textId="77777777" w:rsidR="003A7DF9" w:rsidRPr="00616B50" w:rsidRDefault="003A7DF9" w:rsidP="00217464">
            <w:pPr>
              <w:pStyle w:val="Normal6"/>
              <w:rPr>
                <w:szCs w:val="24"/>
              </w:rPr>
            </w:pPr>
            <w:proofErr w:type="spellStart"/>
            <w:r w:rsidRPr="00616B50">
              <w:rPr>
                <w:sz w:val="27"/>
                <w:shd w:val="clear" w:color="auto" w:fill="FFFFFF"/>
              </w:rPr>
              <w:t>EE</w:t>
            </w:r>
            <w:r w:rsidRPr="00616B50">
              <w:rPr>
                <w:rStyle w:val="oj-sub"/>
                <w:sz w:val="17"/>
                <w:shd w:val="clear" w:color="auto" w:fill="FFFFFF"/>
                <w:vertAlign w:val="subscript"/>
              </w:rPr>
              <w:t>InpMat</w:t>
            </w:r>
            <w:proofErr w:type="spellEnd"/>
          </w:p>
        </w:tc>
      </w:tr>
      <w:tr w:rsidR="003A7DF9" w:rsidRPr="00616B50" w14:paraId="5B81F81E" w14:textId="77777777" w:rsidTr="00217464">
        <w:trPr>
          <w:jc w:val="center"/>
        </w:trPr>
        <w:tc>
          <w:tcPr>
            <w:tcW w:w="4876" w:type="dxa"/>
          </w:tcPr>
          <w:p w14:paraId="271FB8E4" w14:textId="77777777" w:rsidR="003A7DF9" w:rsidRPr="00616B50" w:rsidRDefault="003A7DF9" w:rsidP="00217464">
            <w:pPr>
              <w:pStyle w:val="Normal6"/>
              <w:rPr>
                <w:color w:val="333333"/>
                <w:sz w:val="27"/>
                <w:szCs w:val="27"/>
                <w:shd w:val="clear" w:color="auto" w:fill="FFFFFF"/>
              </w:rPr>
            </w:pPr>
            <w:r w:rsidRPr="00616B50">
              <w:t xml:space="preserve">so vgrajene emisije vhodnih materialov, ki se porabijo v proizvodnem procesu. </w:t>
            </w:r>
            <w:r w:rsidRPr="00616B50">
              <w:lastRenderedPageBreak/>
              <w:t>Upoštevajo se samo vhodni materiali</w:t>
            </w:r>
            <w:r w:rsidRPr="00616B50">
              <w:rPr>
                <w:b/>
                <w:i/>
              </w:rPr>
              <w:t>, navedeni kot pomembni za meje sistema proizvodnega procesa, kakor so določene v izvedbenem aktu, sprejetem na</w:t>
            </w:r>
            <w:r w:rsidRPr="00616B50">
              <w:t xml:space="preserve"> podlagi </w:t>
            </w:r>
            <w:r w:rsidRPr="00616B50">
              <w:rPr>
                <w:b/>
                <w:i/>
              </w:rPr>
              <w:t>člena 7(7)</w:t>
            </w:r>
            <w:r w:rsidRPr="00616B50">
              <w:t xml:space="preserve">. Zadevne </w:t>
            </w:r>
            <w:proofErr w:type="spellStart"/>
            <w:r w:rsidRPr="00616B50">
              <w:t>EE</w:t>
            </w:r>
            <w:r w:rsidRPr="00616B50">
              <w:rPr>
                <w:vertAlign w:val="subscript"/>
              </w:rPr>
              <w:t>InpMat</w:t>
            </w:r>
            <w:proofErr w:type="spellEnd"/>
            <w:r w:rsidRPr="00616B50">
              <w:t xml:space="preserve"> se izračunajo z naslednjo enačbo:</w:t>
            </w:r>
          </w:p>
        </w:tc>
        <w:tc>
          <w:tcPr>
            <w:tcW w:w="4876" w:type="dxa"/>
          </w:tcPr>
          <w:p w14:paraId="0704BAE1" w14:textId="77777777" w:rsidR="003A7DF9" w:rsidRPr="00616B50" w:rsidRDefault="003A7DF9" w:rsidP="00217464">
            <w:pPr>
              <w:pStyle w:val="Normal6"/>
            </w:pPr>
            <w:r w:rsidRPr="00616B50">
              <w:lastRenderedPageBreak/>
              <w:t xml:space="preserve">so vgrajene emisije vhodnih materialov, ki se porabijo v proizvodnem procesu. </w:t>
            </w:r>
            <w:r w:rsidRPr="00616B50">
              <w:lastRenderedPageBreak/>
              <w:t>Upoštevajo se samo vhodni materiali</w:t>
            </w:r>
            <w:r w:rsidRPr="00616B50">
              <w:rPr>
                <w:b/>
                <w:i/>
              </w:rPr>
              <w:t xml:space="preserve"> iz Priloge I s poreklom iz tretjih držav in ozemelj, ki niso izvzeti</w:t>
            </w:r>
            <w:r w:rsidRPr="00616B50">
              <w:t xml:space="preserve"> na podlagi </w:t>
            </w:r>
            <w:r w:rsidRPr="00616B50">
              <w:rPr>
                <w:b/>
                <w:i/>
              </w:rPr>
              <w:t>Priloge III, točka 1</w:t>
            </w:r>
            <w:r w:rsidRPr="00616B50">
              <w:t xml:space="preserve">. Zadevne </w:t>
            </w:r>
            <w:proofErr w:type="spellStart"/>
            <w:r w:rsidRPr="00616B50">
              <w:t>EE</w:t>
            </w:r>
            <w:r w:rsidRPr="00616B50">
              <w:rPr>
                <w:vertAlign w:val="subscript"/>
              </w:rPr>
              <w:t>InpMat</w:t>
            </w:r>
            <w:proofErr w:type="spellEnd"/>
            <w:r w:rsidRPr="00616B50">
              <w:t xml:space="preserve"> se izračunajo z naslednjo enačbo:</w:t>
            </w:r>
          </w:p>
        </w:tc>
      </w:tr>
    </w:tbl>
    <w:p w14:paraId="01D1F94B" w14:textId="495FA320" w:rsidR="00E365E1" w:rsidRPr="00616B50" w:rsidRDefault="00E365E1" w:rsidP="006F78E7">
      <w:pPr>
        <w:pStyle w:val="PageHeading"/>
      </w:pPr>
    </w:p>
    <w:sectPr w:rsidR="00E365E1" w:rsidRPr="00616B50" w:rsidSect="00616B5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B50C1E" w14:textId="77777777" w:rsidR="00757E33" w:rsidRPr="00616B50" w:rsidRDefault="00757E33">
      <w:r w:rsidRPr="00616B50">
        <w:separator/>
      </w:r>
    </w:p>
  </w:endnote>
  <w:endnote w:type="continuationSeparator" w:id="0">
    <w:p w14:paraId="4984FA6C" w14:textId="77777777" w:rsidR="00757E33" w:rsidRPr="00616B50" w:rsidRDefault="00757E33">
      <w:r w:rsidRPr="00616B5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81F9D" w14:textId="77777777" w:rsidR="00064002" w:rsidRPr="00616B5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859BA" w14:textId="77777777" w:rsidR="00064002" w:rsidRPr="00616B5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B234D" w14:textId="77777777" w:rsidR="00064002" w:rsidRPr="00616B5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C59C1D" w14:textId="77777777" w:rsidR="00757E33" w:rsidRPr="00616B50" w:rsidRDefault="00757E33">
      <w:r w:rsidRPr="00616B50">
        <w:separator/>
      </w:r>
    </w:p>
  </w:footnote>
  <w:footnote w:type="continuationSeparator" w:id="0">
    <w:p w14:paraId="24091DDB" w14:textId="77777777" w:rsidR="00757E33" w:rsidRPr="00616B50" w:rsidRDefault="00757E33">
      <w:r w:rsidRPr="00616B50">
        <w:continuationSeparator/>
      </w:r>
    </w:p>
  </w:footnote>
  <w:footnote w:id="1">
    <w:p w14:paraId="17AF4CAB" w14:textId="42C8DA2F" w:rsidR="00B226F2" w:rsidRDefault="00B226F2" w:rsidP="00B226F2">
      <w:pPr>
        <w:pStyle w:val="FootnoteText"/>
        <w:ind w:left="567" w:hanging="567"/>
        <w:rPr>
          <w:lang w:val="en-GB"/>
        </w:rPr>
      </w:pPr>
      <w:r>
        <w:rPr>
          <w:rStyle w:val="FootnoteReference"/>
        </w:rPr>
        <w:footnoteRef/>
      </w:r>
      <w:r>
        <w:rPr>
          <w:lang w:val="en-GB"/>
        </w:rPr>
        <w:t xml:space="preserve"> </w:t>
      </w:r>
      <w:r>
        <w:rPr>
          <w:lang w:val="en-GB"/>
        </w:rPr>
        <w:tab/>
      </w:r>
      <w:r>
        <w:rPr>
          <w:sz w:val="24"/>
          <w:lang w:val="sl-SI"/>
        </w:rPr>
        <w:t xml:space="preserve">Zadeva je bila v skladu s četrtim pododstavkom člena 60(4) Poslovnika vrnjena pristojnemu odboru v medinstitucionalna pogajanja </w:t>
      </w:r>
      <w:r>
        <w:rPr>
          <w:sz w:val="24"/>
          <w:szCs w:val="24"/>
          <w:lang w:val="en-GB"/>
        </w:rPr>
        <w:t>(A10-0085/2025).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4A346" w14:textId="77777777" w:rsidR="00064002" w:rsidRPr="00616B5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8DBC4" w14:textId="77777777" w:rsidR="00064002" w:rsidRPr="00616B5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3AD4C" w14:textId="77777777" w:rsidR="00064002" w:rsidRPr="00616B5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24032831">
    <w:abstractNumId w:val="9"/>
  </w:num>
  <w:num w:numId="2" w16cid:durableId="461845354">
    <w:abstractNumId w:val="9"/>
  </w:num>
  <w:num w:numId="3" w16cid:durableId="1734890094">
    <w:abstractNumId w:val="7"/>
  </w:num>
  <w:num w:numId="4" w16cid:durableId="725445567">
    <w:abstractNumId w:val="7"/>
  </w:num>
  <w:num w:numId="5" w16cid:durableId="549195061">
    <w:abstractNumId w:val="6"/>
  </w:num>
  <w:num w:numId="6" w16cid:durableId="1163282618">
    <w:abstractNumId w:val="6"/>
  </w:num>
  <w:num w:numId="7" w16cid:durableId="612712396">
    <w:abstractNumId w:val="5"/>
  </w:num>
  <w:num w:numId="8" w16cid:durableId="576668301">
    <w:abstractNumId w:val="5"/>
  </w:num>
  <w:num w:numId="9" w16cid:durableId="1416054330">
    <w:abstractNumId w:val="4"/>
  </w:num>
  <w:num w:numId="10" w16cid:durableId="1876887293">
    <w:abstractNumId w:val="4"/>
  </w:num>
  <w:num w:numId="11" w16cid:durableId="1535801162">
    <w:abstractNumId w:val="8"/>
  </w:num>
  <w:num w:numId="12" w16cid:durableId="722680054">
    <w:abstractNumId w:val="8"/>
  </w:num>
  <w:num w:numId="13" w16cid:durableId="1935047122">
    <w:abstractNumId w:val="3"/>
  </w:num>
  <w:num w:numId="14" w16cid:durableId="11810702">
    <w:abstractNumId w:val="3"/>
  </w:num>
  <w:num w:numId="15" w16cid:durableId="1882088553">
    <w:abstractNumId w:val="2"/>
  </w:num>
  <w:num w:numId="16" w16cid:durableId="428308371">
    <w:abstractNumId w:val="2"/>
  </w:num>
  <w:num w:numId="17" w16cid:durableId="1686520493">
    <w:abstractNumId w:val="1"/>
  </w:num>
  <w:num w:numId="18" w16cid:durableId="178591995">
    <w:abstractNumId w:val="1"/>
  </w:num>
  <w:num w:numId="19" w16cid:durableId="1290628409">
    <w:abstractNumId w:val="0"/>
  </w:num>
  <w:num w:numId="20" w16cid:durableId="396168808">
    <w:abstractNumId w:val="0"/>
  </w:num>
  <w:num w:numId="21" w16cid:durableId="651105328">
    <w:abstractNumId w:val="9"/>
  </w:num>
  <w:num w:numId="22" w16cid:durableId="1900702171">
    <w:abstractNumId w:val="7"/>
  </w:num>
  <w:num w:numId="23" w16cid:durableId="1670790162">
    <w:abstractNumId w:val="6"/>
  </w:num>
  <w:num w:numId="24" w16cid:durableId="1205482979">
    <w:abstractNumId w:val="5"/>
  </w:num>
  <w:num w:numId="25" w16cid:durableId="1098867193">
    <w:abstractNumId w:val="4"/>
  </w:num>
  <w:num w:numId="26" w16cid:durableId="1481653146">
    <w:abstractNumId w:val="8"/>
  </w:num>
  <w:num w:numId="27" w16cid:durableId="404648730">
    <w:abstractNumId w:val="3"/>
  </w:num>
  <w:num w:numId="28" w16cid:durableId="1090080950">
    <w:abstractNumId w:val="2"/>
  </w:num>
  <w:num w:numId="29" w16cid:durableId="424040246">
    <w:abstractNumId w:val="1"/>
  </w:num>
  <w:num w:numId="30" w16cid:durableId="44380890">
    <w:abstractNumId w:val="0"/>
  </w:num>
  <w:num w:numId="31" w16cid:durableId="1724256783">
    <w:abstractNumId w:val="9"/>
  </w:num>
  <w:num w:numId="32" w16cid:durableId="1184856628">
    <w:abstractNumId w:val="7"/>
  </w:num>
  <w:num w:numId="33" w16cid:durableId="994138621">
    <w:abstractNumId w:val="6"/>
  </w:num>
  <w:num w:numId="34" w16cid:durableId="868908699">
    <w:abstractNumId w:val="5"/>
  </w:num>
  <w:num w:numId="35" w16cid:durableId="80377224">
    <w:abstractNumId w:val="4"/>
  </w:num>
  <w:num w:numId="36" w16cid:durableId="1692101324">
    <w:abstractNumId w:val="8"/>
  </w:num>
  <w:num w:numId="37" w16cid:durableId="2037003324">
    <w:abstractNumId w:val="3"/>
  </w:num>
  <w:num w:numId="38" w16cid:durableId="169419155">
    <w:abstractNumId w:val="2"/>
  </w:num>
  <w:num w:numId="39" w16cid:durableId="1682319792">
    <w:abstractNumId w:val="1"/>
  </w:num>
  <w:num w:numId="40" w16cid:durableId="292294294">
    <w:abstractNumId w:val="0"/>
  </w:num>
  <w:num w:numId="41" w16cid:durableId="1231624291">
    <w:abstractNumId w:val="10"/>
  </w:num>
  <w:num w:numId="42" w16cid:durableId="101534009">
    <w:abstractNumId w:val="10"/>
  </w:num>
  <w:num w:numId="43" w16cid:durableId="1806193086">
    <w:abstractNumId w:val="10"/>
  </w:num>
  <w:num w:numId="44" w16cid:durableId="193327228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85/2025"/>
    <w:docVar w:name="dvlangue" w:val="SL"/>
    <w:docVar w:name="dvnumam" w:val="4"/>
    <w:docVar w:name="dvpe" w:val="773.301"/>
    <w:docVar w:name="dvrapporteur" w:val="Poročevalec: "/>
    <w:docVar w:name="dvstar" w:val="***I"/>
    <w:docVar w:name="dvtitre" w:val="Zakonodajna resolucija Evropskega parlamenta z dne 22. maja 2025 o predlogu uredbe Evropskega parlamenta in Sveta o spremembi Uredbe (EU) 2023/956 glede poenostavitve in okrepitve mehanizma za ogljično prilagoditev na mejah(COM(2025)0087 – C10-0035/2025 – 2025/0039(COD))"/>
  </w:docVars>
  <w:rsids>
    <w:rsidRoot w:val="00757E3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A7DF9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16473"/>
    <w:rsid w:val="00545827"/>
    <w:rsid w:val="00560270"/>
    <w:rsid w:val="005B1062"/>
    <w:rsid w:val="005C2568"/>
    <w:rsid w:val="005D0462"/>
    <w:rsid w:val="005F1B17"/>
    <w:rsid w:val="006037C0"/>
    <w:rsid w:val="00616B50"/>
    <w:rsid w:val="006631B6"/>
    <w:rsid w:val="00680577"/>
    <w:rsid w:val="006F74FA"/>
    <w:rsid w:val="006F78E7"/>
    <w:rsid w:val="00723495"/>
    <w:rsid w:val="00731ADD"/>
    <w:rsid w:val="00734777"/>
    <w:rsid w:val="00747932"/>
    <w:rsid w:val="00751A4A"/>
    <w:rsid w:val="00756632"/>
    <w:rsid w:val="00757E33"/>
    <w:rsid w:val="00762C74"/>
    <w:rsid w:val="007703B2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35F3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6F2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21AE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98F336"/>
  <w15:chartTrackingRefBased/>
  <w15:docId w15:val="{6728E806-75E8-4A8C-A96D-AF67DF4D4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aliases w:val="Char Char Char Char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Char Char Char Char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3A7DF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6a">
    <w:name w:val="Normal6a"/>
    <w:basedOn w:val="Normal"/>
    <w:rsid w:val="003A7DF9"/>
    <w:pPr>
      <w:spacing w:after="120"/>
    </w:pPr>
  </w:style>
  <w:style w:type="paragraph" w:customStyle="1" w:styleId="PageHeading">
    <w:name w:val="PageHeading"/>
    <w:basedOn w:val="Normal"/>
    <w:rsid w:val="003A7DF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3A7DF9"/>
    <w:rPr>
      <w:b/>
    </w:rPr>
  </w:style>
  <w:style w:type="paragraph" w:customStyle="1" w:styleId="NormalHanging12a">
    <w:name w:val="NormalHanging12a"/>
    <w:basedOn w:val="Normal"/>
    <w:link w:val="NormalHanging12aChar"/>
    <w:rsid w:val="003A7DF9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3A7DF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A7DF9"/>
    <w:rPr>
      <w:sz w:val="24"/>
      <w:lang w:val="sl-SI"/>
    </w:rPr>
  </w:style>
  <w:style w:type="paragraph" w:customStyle="1" w:styleId="AmColumnHeading">
    <w:name w:val="AmColumnHeading"/>
    <w:basedOn w:val="Normal"/>
    <w:rsid w:val="003A7DF9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3A7DF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3A7DF9"/>
    <w:pPr>
      <w:spacing w:before="240"/>
    </w:pPr>
    <w:rPr>
      <w:b/>
    </w:rPr>
  </w:style>
  <w:style w:type="paragraph" w:customStyle="1" w:styleId="EPFooter">
    <w:name w:val="EPFooter"/>
    <w:basedOn w:val="Normal"/>
    <w:rsid w:val="003A7DF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3A7DF9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3A7DF9"/>
    <w:rPr>
      <w:sz w:val="24"/>
      <w:lang w:val="sl-SI"/>
    </w:rPr>
  </w:style>
  <w:style w:type="character" w:customStyle="1" w:styleId="NormalBoldChar">
    <w:name w:val="NormalBold Char"/>
    <w:basedOn w:val="DefaultParagraphFont"/>
    <w:link w:val="NormalBold"/>
    <w:rsid w:val="003A7DF9"/>
    <w:rPr>
      <w:b/>
      <w:sz w:val="24"/>
      <w:lang w:val="sl-SI"/>
    </w:rPr>
  </w:style>
  <w:style w:type="paragraph" w:customStyle="1" w:styleId="Normal6">
    <w:name w:val="Normal6"/>
    <w:basedOn w:val="Normal"/>
    <w:link w:val="Normal6Char"/>
    <w:rsid w:val="003A7DF9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3A7DF9"/>
    <w:rPr>
      <w:sz w:val="24"/>
      <w:lang w:val="sl-SI"/>
    </w:rPr>
  </w:style>
  <w:style w:type="paragraph" w:customStyle="1" w:styleId="ColumnHeading">
    <w:name w:val="ColumnHeading"/>
    <w:basedOn w:val="Normal"/>
    <w:rsid w:val="003A7DF9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3A7DF9"/>
    <w:rPr>
      <w:b/>
      <w:sz w:val="24"/>
      <w:lang w:val="sl-SI"/>
    </w:rPr>
  </w:style>
  <w:style w:type="character" w:customStyle="1" w:styleId="oj-sub">
    <w:name w:val="oj-sub"/>
    <w:rsid w:val="003A7DF9"/>
  </w:style>
  <w:style w:type="paragraph" w:customStyle="1" w:styleId="Normal24a">
    <w:name w:val="Normal24a"/>
    <w:basedOn w:val="Normal"/>
    <w:rsid w:val="003A7DF9"/>
    <w:pPr>
      <w:spacing w:after="480"/>
    </w:pPr>
  </w:style>
  <w:style w:type="paragraph" w:customStyle="1" w:styleId="Normal12a">
    <w:name w:val="Normal12a"/>
    <w:basedOn w:val="Normal"/>
    <w:rsid w:val="003A7DF9"/>
    <w:pPr>
      <w:spacing w:after="240"/>
    </w:pPr>
  </w:style>
  <w:style w:type="paragraph" w:customStyle="1" w:styleId="RollCallVotes">
    <w:name w:val="RollCallVotes"/>
    <w:basedOn w:val="Normal"/>
    <w:rsid w:val="003A7DF9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3A7DF9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3A7DF9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3A7DF9"/>
    <w:pPr>
      <w:spacing w:before="120" w:after="120"/>
    </w:pPr>
    <w:rPr>
      <w:snapToGrid w:val="0"/>
      <w:sz w:val="16"/>
      <w:lang w:eastAsia="en-US"/>
    </w:rPr>
  </w:style>
  <w:style w:type="paragraph" w:customStyle="1" w:styleId="PageHeadingNotTOC">
    <w:name w:val="PageHeadingNotTOC"/>
    <w:basedOn w:val="Normal"/>
    <w:rsid w:val="003A7DF9"/>
    <w:pPr>
      <w:keepNext/>
      <w:spacing w:after="480"/>
      <w:jc w:val="center"/>
    </w:pPr>
    <w:rPr>
      <w:rFonts w:ascii="Arial" w:hAnsi="Arial" w:cs="Arial"/>
      <w:b/>
    </w:rPr>
  </w:style>
  <w:style w:type="character" w:customStyle="1" w:styleId="Bold">
    <w:name w:val="Bold"/>
    <w:uiPriority w:val="1"/>
    <w:rsid w:val="003A7DF9"/>
    <w:rPr>
      <w:b/>
      <w:bCs w:val="0"/>
    </w:rPr>
  </w:style>
  <w:style w:type="character" w:styleId="Hyperlink">
    <w:name w:val="Hyperlink"/>
    <w:basedOn w:val="DefaultParagraphFont"/>
    <w:rsid w:val="003A7DF9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5D0462"/>
    <w:rPr>
      <w:sz w:val="24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32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431738-0E74-47F8-A18A-D38449D50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2</cp:revision>
  <cp:lastPrinted>2004-11-19T15:42:00Z</cp:lastPrinted>
  <dcterms:created xsi:type="dcterms:W3CDTF">2025-05-22T10:13:00Z</dcterms:created>
  <dcterms:modified xsi:type="dcterms:W3CDTF">2025-05-22T10:13:00Z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A10-0085/2025</vt:lpwstr>
  </property>
  <property fmtid="{D5CDD505-2E9C-101B-9397-08002B2CF9AE}" pid="4" name="&lt;Type&gt;">
    <vt:lpwstr>RR</vt:lpwstr>
  </property>
</Properties>
</file>