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95D4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95D4C" w:rsidRDefault="00996BE2" w:rsidP="0010095E">
            <w:pPr>
              <w:pStyle w:val="EPName"/>
            </w:pPr>
            <w:bookmarkStart w:id="0" w:name="_GoBack"/>
            <w:bookmarkEnd w:id="0"/>
            <w:r w:rsidRPr="00995D4C">
              <w:t>Europaparlamentet</w:t>
            </w:r>
          </w:p>
          <w:p w:rsidR="00751A4A" w:rsidRPr="00995D4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95D4C">
              <w:t>2024</w:t>
            </w:r>
            <w:r w:rsidR="00817416" w:rsidRPr="00995D4C">
              <w:t>-202</w:t>
            </w:r>
            <w:r w:rsidRPr="00995D4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95D4C" w:rsidRDefault="00187494" w:rsidP="0010095E">
            <w:pPr>
              <w:pStyle w:val="EPLogo"/>
            </w:pPr>
            <w:r w:rsidRPr="00995D4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95D4C" w:rsidRDefault="00D058B8" w:rsidP="004C5D52">
      <w:pPr>
        <w:pStyle w:val="LineTop"/>
      </w:pPr>
    </w:p>
    <w:p w:rsidR="00680577" w:rsidRPr="00995D4C" w:rsidRDefault="00996BE2" w:rsidP="00680577">
      <w:pPr>
        <w:pStyle w:val="EPBodyTA1"/>
      </w:pPr>
      <w:r w:rsidRPr="00995D4C">
        <w:t>ANTAGNA TEXTER</w:t>
      </w:r>
    </w:p>
    <w:p w:rsidR="00D058B8" w:rsidRPr="00995D4C" w:rsidRDefault="00D058B8" w:rsidP="00D058B8">
      <w:pPr>
        <w:pStyle w:val="LineBottom"/>
      </w:pPr>
    </w:p>
    <w:p w:rsidR="00996BE2" w:rsidRPr="00995D4C" w:rsidRDefault="00996BE2" w:rsidP="00996BE2">
      <w:pPr>
        <w:pStyle w:val="ATHeading1"/>
      </w:pPr>
      <w:bookmarkStart w:id="1" w:name="TANumber"/>
      <w:r w:rsidRPr="00995D4C">
        <w:t>P10_TA(2025)0</w:t>
      </w:r>
      <w:bookmarkEnd w:id="1"/>
      <w:r w:rsidR="0021089C">
        <w:t>108</w:t>
      </w:r>
    </w:p>
    <w:p w:rsidR="00996BE2" w:rsidRPr="00995D4C" w:rsidRDefault="00996BE2" w:rsidP="00996BE2">
      <w:pPr>
        <w:pStyle w:val="ATHeading2"/>
      </w:pPr>
      <w:bookmarkStart w:id="2" w:name="title"/>
      <w:r w:rsidRPr="00995D4C">
        <w:t>Ändring av förordning (EU) 2023/956 vad gäller förenkling och förstärkning av mekanismen för koldioxidjustering vid gränsen</w:t>
      </w:r>
      <w:bookmarkEnd w:id="2"/>
    </w:p>
    <w:p w:rsidR="00996BE2" w:rsidRPr="00995D4C" w:rsidRDefault="00996BE2" w:rsidP="00996BE2">
      <w:pPr>
        <w:rPr>
          <w:i/>
          <w:vanish/>
        </w:rPr>
      </w:pPr>
      <w:r w:rsidRPr="00995D4C">
        <w:rPr>
          <w:i/>
        </w:rPr>
        <w:fldChar w:fldCharType="begin"/>
      </w:r>
      <w:r w:rsidRPr="00995D4C">
        <w:rPr>
          <w:i/>
        </w:rPr>
        <w:instrText xml:space="preserve"> TC"(</w:instrText>
      </w:r>
      <w:bookmarkStart w:id="3" w:name="DocNumber"/>
      <w:r w:rsidRPr="00995D4C">
        <w:rPr>
          <w:i/>
        </w:rPr>
        <w:instrText>A10-0085/2025</w:instrText>
      </w:r>
      <w:bookmarkEnd w:id="3"/>
      <w:r w:rsidRPr="00995D4C">
        <w:rPr>
          <w:i/>
        </w:rPr>
        <w:instrText xml:space="preserve"> - Föredragande: Antonio Decaro)"\l3 \n&gt; \* MERGEFORMAT </w:instrText>
      </w:r>
      <w:r w:rsidRPr="00995D4C">
        <w:rPr>
          <w:i/>
        </w:rPr>
        <w:fldChar w:fldCharType="end"/>
      </w:r>
    </w:p>
    <w:p w:rsidR="00996BE2" w:rsidRPr="00995D4C" w:rsidRDefault="00996BE2" w:rsidP="00996BE2">
      <w:pPr>
        <w:rPr>
          <w:vanish/>
        </w:rPr>
      </w:pPr>
      <w:bookmarkStart w:id="4" w:name="Commission"/>
      <w:r w:rsidRPr="00995D4C">
        <w:rPr>
          <w:vanish/>
        </w:rPr>
        <w:t>Utskottet för miljö, klimat och livsmedelssäkerhet</w:t>
      </w:r>
      <w:bookmarkEnd w:id="4"/>
    </w:p>
    <w:p w:rsidR="00996BE2" w:rsidRPr="00995D4C" w:rsidRDefault="00996BE2" w:rsidP="00996BE2">
      <w:pPr>
        <w:rPr>
          <w:vanish/>
        </w:rPr>
      </w:pPr>
      <w:bookmarkStart w:id="5" w:name="PE"/>
      <w:r w:rsidRPr="00995D4C">
        <w:rPr>
          <w:vanish/>
        </w:rPr>
        <w:t>PE773.301</w:t>
      </w:r>
      <w:bookmarkEnd w:id="5"/>
    </w:p>
    <w:p w:rsidR="00996BE2" w:rsidRPr="00995D4C" w:rsidRDefault="0021089C" w:rsidP="00996BE2">
      <w:pPr>
        <w:pStyle w:val="ATHeading3"/>
      </w:pPr>
      <w:bookmarkStart w:id="6" w:name="Sujet"/>
      <w:r w:rsidRPr="0021089C">
        <w:t xml:space="preserve">Europaparlamentets ändringar antagna den </w:t>
      </w:r>
      <w:r w:rsidR="008308D0" w:rsidRPr="00995D4C">
        <w:t>22</w:t>
      </w:r>
      <w:r w:rsidR="00996BE2" w:rsidRPr="00995D4C">
        <w:t xml:space="preserve"> </w:t>
      </w:r>
      <w:r w:rsidR="008308D0" w:rsidRPr="00995D4C">
        <w:t>maj</w:t>
      </w:r>
      <w:r w:rsidR="00996BE2" w:rsidRPr="00995D4C">
        <w:t xml:space="preserve"> 2025 </w:t>
      </w:r>
      <w:r>
        <w:t>av</w:t>
      </w:r>
      <w:r w:rsidRPr="00995D4C">
        <w:t xml:space="preserve"> </w:t>
      </w:r>
      <w:r w:rsidR="00996BE2" w:rsidRPr="00995D4C">
        <w:t>förslaget till Europaparlamentets och rådets förordning om ändring av förordning (EU) 2023/956 vad gäller förenkling och förstärkning av mekanismen för koldioxidjustering vid gränsen</w:t>
      </w:r>
      <w:bookmarkEnd w:id="6"/>
      <w:r w:rsidR="00996BE2" w:rsidRPr="00995D4C">
        <w:t xml:space="preserve"> </w:t>
      </w:r>
      <w:bookmarkStart w:id="7" w:name="References"/>
      <w:r w:rsidR="00996BE2" w:rsidRPr="00995D4C">
        <w:t>(COM(2025)0087 – C10-0035/2025 – 2025/0039(COD))</w:t>
      </w:r>
      <w:bookmarkEnd w:id="7"/>
      <w:r w:rsidRPr="00D11BCC">
        <w:rPr>
          <w:rStyle w:val="FootnoteReference"/>
          <w:szCs w:val="24"/>
        </w:rPr>
        <w:footnoteReference w:id="1"/>
      </w:r>
    </w:p>
    <w:p w:rsidR="00057C1D" w:rsidRPr="00995D4C" w:rsidRDefault="00057C1D" w:rsidP="00057C1D">
      <w:pPr>
        <w:pStyle w:val="NormalBold"/>
        <w:widowControl/>
      </w:pPr>
      <w:r w:rsidRPr="00995D4C">
        <w:t>(Ordinarie lagstiftningsförfarande: första behandlingen)</w:t>
      </w:r>
    </w:p>
    <w:p w:rsidR="00057C1D" w:rsidRPr="00995D4C" w:rsidRDefault="0021089C" w:rsidP="00057C1D">
      <w:pPr>
        <w:pStyle w:val="AmNumberTabs"/>
        <w:keepNext/>
        <w:keepLines/>
        <w:widowControl/>
      </w:pPr>
      <w:r>
        <w:t>Ändring</w:t>
      </w:r>
      <w:r w:rsidR="00057C1D" w:rsidRPr="00995D4C">
        <w:tab/>
      </w:r>
      <w:r w:rsidR="00057C1D" w:rsidRPr="00995D4C">
        <w:tab/>
        <w:t>1</w:t>
      </w:r>
    </w:p>
    <w:p w:rsidR="00057C1D" w:rsidRPr="00995D4C" w:rsidRDefault="00057C1D" w:rsidP="00057C1D">
      <w:pPr>
        <w:pStyle w:val="NormalBold12b"/>
        <w:keepNext/>
        <w:keepLines/>
        <w:widowControl/>
      </w:pPr>
      <w:r w:rsidRPr="00995D4C">
        <w:t>Förslag till förordning</w:t>
      </w:r>
    </w:p>
    <w:p w:rsidR="00057C1D" w:rsidRPr="00995D4C" w:rsidRDefault="00057C1D" w:rsidP="00057C1D">
      <w:pPr>
        <w:pStyle w:val="NormalBold"/>
        <w:widowControl/>
      </w:pPr>
      <w:r w:rsidRPr="00995D4C">
        <w:t>Skäl 25a (nytt)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57C1D" w:rsidRPr="00995D4C" w:rsidTr="00B92350">
        <w:trPr>
          <w:jc w:val="center"/>
        </w:trPr>
        <w:tc>
          <w:tcPr>
            <w:tcW w:w="9752" w:type="dxa"/>
            <w:gridSpan w:val="2"/>
          </w:tcPr>
          <w:p w:rsidR="00057C1D" w:rsidRPr="00995D4C" w:rsidRDefault="00057C1D" w:rsidP="00B92350">
            <w:pPr>
              <w:keepNext/>
              <w:widowControl/>
            </w:pPr>
          </w:p>
        </w:tc>
      </w:tr>
      <w:tr w:rsidR="00057C1D" w:rsidRPr="00995D4C" w:rsidTr="00B92350">
        <w:trPr>
          <w:jc w:val="center"/>
        </w:trPr>
        <w:tc>
          <w:tcPr>
            <w:tcW w:w="4876" w:type="dxa"/>
          </w:tcPr>
          <w:p w:rsidR="00057C1D" w:rsidRPr="00995D4C" w:rsidRDefault="00057C1D" w:rsidP="00B92350">
            <w:pPr>
              <w:pStyle w:val="ColumnHeading"/>
              <w:keepNext/>
              <w:widowControl/>
            </w:pPr>
            <w:r w:rsidRPr="00995D4C">
              <w:t>Kommissionens förslag</w:t>
            </w:r>
          </w:p>
        </w:tc>
        <w:tc>
          <w:tcPr>
            <w:tcW w:w="4876" w:type="dxa"/>
          </w:tcPr>
          <w:p w:rsidR="00057C1D" w:rsidRPr="00995D4C" w:rsidRDefault="0021089C" w:rsidP="00B92350">
            <w:pPr>
              <w:pStyle w:val="ColumnHeading"/>
              <w:keepNext/>
              <w:widowControl/>
            </w:pPr>
            <w:r>
              <w:t>Ändring</w:t>
            </w:r>
          </w:p>
        </w:tc>
      </w:tr>
      <w:tr w:rsidR="00057C1D" w:rsidRPr="00995D4C" w:rsidTr="00B92350">
        <w:trPr>
          <w:jc w:val="center"/>
        </w:trPr>
        <w:tc>
          <w:tcPr>
            <w:tcW w:w="4876" w:type="dxa"/>
          </w:tcPr>
          <w:p w:rsidR="00057C1D" w:rsidRPr="00995D4C" w:rsidRDefault="00057C1D" w:rsidP="00B92350">
            <w:pPr>
              <w:pStyle w:val="Normal6"/>
              <w:widowControl/>
            </w:pPr>
          </w:p>
        </w:tc>
        <w:tc>
          <w:tcPr>
            <w:tcW w:w="4876" w:type="dxa"/>
          </w:tcPr>
          <w:p w:rsidR="00057C1D" w:rsidRPr="00995D4C" w:rsidRDefault="00057C1D" w:rsidP="005F0CC6">
            <w:pPr>
              <w:pStyle w:val="Normal6"/>
              <w:widowControl/>
              <w:rPr>
                <w:szCs w:val="24"/>
              </w:rPr>
            </w:pPr>
            <w:r w:rsidRPr="00995D4C">
              <w:rPr>
                <w:b/>
                <w:i/>
              </w:rPr>
              <w:t>(25a)</w:t>
            </w:r>
            <w:r w:rsidRPr="00995D4C">
              <w:rPr>
                <w:b/>
                <w:i/>
              </w:rPr>
              <w:tab/>
            </w:r>
            <w:r w:rsidRPr="00995D4C">
              <w:rPr>
                <w:b/>
                <w:bCs/>
                <w:i/>
                <w:iCs/>
              </w:rPr>
              <w:t xml:space="preserve">CBAM är tillämplig på import av el, men bör inte tillämpas på el som produceras </w:t>
            </w:r>
            <w:r w:rsidR="005F0CC6" w:rsidRPr="00995D4C">
              <w:rPr>
                <w:b/>
                <w:bCs/>
                <w:i/>
                <w:iCs/>
              </w:rPr>
              <w:t xml:space="preserve">uteslutande </w:t>
            </w:r>
            <w:r w:rsidRPr="00995D4C">
              <w:rPr>
                <w:b/>
                <w:bCs/>
                <w:i/>
                <w:iCs/>
              </w:rPr>
              <w:t>i en EES-medlemsstats exklusiva ekonomiska zon och importeras direkt till unionens tullområde.</w:t>
            </w:r>
          </w:p>
        </w:tc>
      </w:tr>
    </w:tbl>
    <w:p w:rsidR="00057C1D" w:rsidRPr="00995D4C" w:rsidRDefault="00057C1D" w:rsidP="00057C1D">
      <w:pPr>
        <w:widowControl/>
      </w:pPr>
    </w:p>
    <w:p w:rsidR="00057C1D" w:rsidRPr="00995D4C" w:rsidRDefault="0021089C" w:rsidP="00057C1D">
      <w:pPr>
        <w:pStyle w:val="AmNumberTabs"/>
        <w:widowControl/>
      </w:pPr>
      <w:r>
        <w:t>Ändring</w:t>
      </w:r>
      <w:r w:rsidR="00057C1D" w:rsidRPr="00995D4C">
        <w:tab/>
      </w:r>
      <w:r w:rsidR="00057C1D" w:rsidRPr="00995D4C">
        <w:tab/>
        <w:t>2</w:t>
      </w:r>
    </w:p>
    <w:p w:rsidR="00057C1D" w:rsidRPr="00995D4C" w:rsidRDefault="00057C1D" w:rsidP="00057C1D">
      <w:pPr>
        <w:pStyle w:val="NormalBold12b"/>
        <w:widowControl/>
      </w:pPr>
      <w:r w:rsidRPr="00995D4C">
        <w:t>Förslag till förordning</w:t>
      </w:r>
    </w:p>
    <w:p w:rsidR="00057C1D" w:rsidRPr="00995D4C" w:rsidRDefault="00057C1D" w:rsidP="00057C1D">
      <w:pPr>
        <w:pStyle w:val="NormalBold"/>
        <w:widowControl/>
      </w:pPr>
      <w:r w:rsidRPr="00995D4C">
        <w:t xml:space="preserve">Artikel 1 – stycke 1 – led 1 – led </w:t>
      </w:r>
      <w:proofErr w:type="spellStart"/>
      <w:r w:rsidRPr="00995D4C">
        <w:t>ba</w:t>
      </w:r>
      <w:proofErr w:type="spellEnd"/>
      <w:r w:rsidRPr="00995D4C">
        <w:t xml:space="preserve"> (nytt)</w:t>
      </w:r>
    </w:p>
    <w:p w:rsidR="00057C1D" w:rsidRPr="00995D4C" w:rsidRDefault="00057C1D" w:rsidP="00057C1D">
      <w:pPr>
        <w:keepNext/>
        <w:widowControl/>
      </w:pPr>
      <w:r w:rsidRPr="00995D4C">
        <w:t>Förordning (EU) 2023/956</w:t>
      </w:r>
    </w:p>
    <w:p w:rsidR="00057C1D" w:rsidRPr="00995D4C" w:rsidRDefault="00057C1D" w:rsidP="00057C1D">
      <w:pPr>
        <w:widowControl/>
      </w:pPr>
      <w:r w:rsidRPr="00995D4C">
        <w:t>Artikel 2 – punkt 3b (ny)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57C1D" w:rsidRPr="00995D4C" w:rsidTr="00B92350">
        <w:trPr>
          <w:jc w:val="center"/>
        </w:trPr>
        <w:tc>
          <w:tcPr>
            <w:tcW w:w="9752" w:type="dxa"/>
            <w:gridSpan w:val="2"/>
          </w:tcPr>
          <w:p w:rsidR="00057C1D" w:rsidRPr="00995D4C" w:rsidRDefault="00057C1D" w:rsidP="00B92350">
            <w:pPr>
              <w:keepNext/>
              <w:widowControl/>
            </w:pPr>
          </w:p>
        </w:tc>
      </w:tr>
      <w:tr w:rsidR="00057C1D" w:rsidRPr="00995D4C" w:rsidTr="00B92350">
        <w:trPr>
          <w:jc w:val="center"/>
        </w:trPr>
        <w:tc>
          <w:tcPr>
            <w:tcW w:w="4876" w:type="dxa"/>
          </w:tcPr>
          <w:p w:rsidR="00057C1D" w:rsidRPr="00995D4C" w:rsidRDefault="00057C1D" w:rsidP="00B92350">
            <w:pPr>
              <w:pStyle w:val="ColumnHeading"/>
              <w:keepNext/>
              <w:widowControl/>
            </w:pPr>
            <w:r w:rsidRPr="00995D4C">
              <w:t>Kommissionens förslag</w:t>
            </w:r>
          </w:p>
        </w:tc>
        <w:tc>
          <w:tcPr>
            <w:tcW w:w="4876" w:type="dxa"/>
          </w:tcPr>
          <w:p w:rsidR="00057C1D" w:rsidRPr="00995D4C" w:rsidRDefault="0021089C" w:rsidP="00B92350">
            <w:pPr>
              <w:pStyle w:val="ColumnHeading"/>
              <w:keepNext/>
              <w:widowControl/>
            </w:pPr>
            <w:r>
              <w:t>Ändring</w:t>
            </w:r>
          </w:p>
        </w:tc>
      </w:tr>
      <w:tr w:rsidR="00057C1D" w:rsidRPr="00995D4C" w:rsidTr="00B92350">
        <w:trPr>
          <w:jc w:val="center"/>
        </w:trPr>
        <w:tc>
          <w:tcPr>
            <w:tcW w:w="4876" w:type="dxa"/>
          </w:tcPr>
          <w:p w:rsidR="00057C1D" w:rsidRPr="00995D4C" w:rsidRDefault="00057C1D" w:rsidP="00B92350">
            <w:pPr>
              <w:pStyle w:val="Normal6"/>
              <w:widowControl/>
            </w:pPr>
          </w:p>
        </w:tc>
        <w:tc>
          <w:tcPr>
            <w:tcW w:w="4876" w:type="dxa"/>
          </w:tcPr>
          <w:p w:rsidR="00057C1D" w:rsidRPr="00995D4C" w:rsidRDefault="00057C1D" w:rsidP="00B92350">
            <w:pPr>
              <w:pStyle w:val="Normal6"/>
              <w:widowControl/>
              <w:rPr>
                <w:szCs w:val="24"/>
              </w:rPr>
            </w:pPr>
            <w:r w:rsidRPr="00995D4C">
              <w:rPr>
                <w:b/>
                <w:i/>
              </w:rPr>
              <w:t>(</w:t>
            </w:r>
            <w:proofErr w:type="spellStart"/>
            <w:r w:rsidRPr="00995D4C">
              <w:rPr>
                <w:b/>
                <w:i/>
              </w:rPr>
              <w:t>ba</w:t>
            </w:r>
            <w:proofErr w:type="spellEnd"/>
            <w:r w:rsidRPr="00995D4C">
              <w:rPr>
                <w:b/>
                <w:i/>
              </w:rPr>
              <w:t>)</w:t>
            </w:r>
            <w:r w:rsidRPr="00995D4C">
              <w:rPr>
                <w:b/>
                <w:i/>
              </w:rPr>
              <w:tab/>
              <w:t>Följande punkt 3b ska läggas till:</w:t>
            </w:r>
          </w:p>
        </w:tc>
      </w:tr>
      <w:tr w:rsidR="00057C1D" w:rsidRPr="00995D4C" w:rsidTr="00B92350">
        <w:trPr>
          <w:jc w:val="center"/>
        </w:trPr>
        <w:tc>
          <w:tcPr>
            <w:tcW w:w="4876" w:type="dxa"/>
          </w:tcPr>
          <w:p w:rsidR="00057C1D" w:rsidRPr="00995D4C" w:rsidRDefault="00057C1D" w:rsidP="00B92350">
            <w:pPr>
              <w:pStyle w:val="Normal6"/>
              <w:widowControl/>
            </w:pPr>
          </w:p>
        </w:tc>
        <w:tc>
          <w:tcPr>
            <w:tcW w:w="4876" w:type="dxa"/>
          </w:tcPr>
          <w:p w:rsidR="00057C1D" w:rsidRPr="00995D4C" w:rsidRDefault="00057C1D" w:rsidP="005F0CC6">
            <w:pPr>
              <w:pStyle w:val="Normal6"/>
              <w:widowControl/>
              <w:rPr>
                <w:szCs w:val="24"/>
              </w:rPr>
            </w:pPr>
            <w:r w:rsidRPr="00995D4C">
              <w:rPr>
                <w:b/>
                <w:i/>
              </w:rPr>
              <w:t>3b.</w:t>
            </w:r>
            <w:r w:rsidRPr="00995D4C">
              <w:tab/>
            </w:r>
            <w:r w:rsidRPr="00995D4C">
              <w:rPr>
                <w:b/>
                <w:bCs/>
                <w:i/>
                <w:iCs/>
              </w:rPr>
              <w:t xml:space="preserve">Genom undantag från punkterna 1 och 2 ska denna förordning inte tillämpas på el som produceras </w:t>
            </w:r>
            <w:r w:rsidR="005F0CC6" w:rsidRPr="00995D4C">
              <w:rPr>
                <w:b/>
                <w:bCs/>
                <w:i/>
                <w:iCs/>
              </w:rPr>
              <w:t xml:space="preserve">uteslutande </w:t>
            </w:r>
            <w:r w:rsidRPr="00995D4C">
              <w:rPr>
                <w:b/>
                <w:bCs/>
                <w:i/>
                <w:iCs/>
              </w:rPr>
              <w:t>i en EES-medlemsstats exklusiva ekonomiska zon och importeras direkt till unionens tullområde.</w:t>
            </w:r>
          </w:p>
        </w:tc>
      </w:tr>
    </w:tbl>
    <w:p w:rsidR="00057C1D" w:rsidRPr="00995D4C" w:rsidRDefault="00057C1D" w:rsidP="00057C1D">
      <w:pPr>
        <w:widowControl/>
      </w:pPr>
    </w:p>
    <w:p w:rsidR="00057C1D" w:rsidRPr="00995D4C" w:rsidRDefault="0021089C" w:rsidP="00057C1D">
      <w:pPr>
        <w:pStyle w:val="AmNumberTabs"/>
        <w:widowControl/>
      </w:pPr>
      <w:r>
        <w:t>Ändring</w:t>
      </w:r>
      <w:r w:rsidR="00057C1D" w:rsidRPr="00995D4C">
        <w:tab/>
      </w:r>
      <w:r w:rsidR="00057C1D" w:rsidRPr="00995D4C">
        <w:tab/>
        <w:t>3</w:t>
      </w:r>
    </w:p>
    <w:p w:rsidR="00057C1D" w:rsidRPr="00995D4C" w:rsidRDefault="00057C1D" w:rsidP="00057C1D">
      <w:pPr>
        <w:pStyle w:val="NormalBold12b"/>
        <w:widowControl/>
      </w:pPr>
      <w:r w:rsidRPr="00995D4C">
        <w:t>Förslag till förordning</w:t>
      </w:r>
    </w:p>
    <w:p w:rsidR="00057C1D" w:rsidRPr="00995D4C" w:rsidRDefault="00057C1D" w:rsidP="00057C1D">
      <w:pPr>
        <w:pStyle w:val="NormalBold"/>
        <w:widowControl/>
      </w:pPr>
      <w:r w:rsidRPr="00995D4C">
        <w:t>Bilaga I – stycke 1 – led 1a (nytt)</w:t>
      </w:r>
    </w:p>
    <w:p w:rsidR="00057C1D" w:rsidRPr="00995D4C" w:rsidRDefault="00057C1D" w:rsidP="00057C1D">
      <w:pPr>
        <w:keepNext/>
        <w:widowControl/>
      </w:pPr>
      <w:r w:rsidRPr="00995D4C">
        <w:t>Förordning (EU) 2023/956</w:t>
      </w:r>
    </w:p>
    <w:p w:rsidR="00057C1D" w:rsidRPr="00995D4C" w:rsidRDefault="00057C1D" w:rsidP="00057C1D">
      <w:pPr>
        <w:widowControl/>
      </w:pPr>
      <w:r w:rsidRPr="00995D4C">
        <w:t xml:space="preserve">Bilaga IV – punkt 3 – stycke 1 – stycke 5 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57C1D" w:rsidRPr="00995D4C" w:rsidTr="00B92350">
        <w:trPr>
          <w:jc w:val="center"/>
        </w:trPr>
        <w:tc>
          <w:tcPr>
            <w:tcW w:w="9752" w:type="dxa"/>
            <w:gridSpan w:val="2"/>
          </w:tcPr>
          <w:p w:rsidR="00057C1D" w:rsidRPr="00995D4C" w:rsidRDefault="00057C1D" w:rsidP="00B92350">
            <w:pPr>
              <w:keepNext/>
              <w:widowControl/>
            </w:pPr>
          </w:p>
        </w:tc>
      </w:tr>
      <w:tr w:rsidR="00057C1D" w:rsidRPr="00995D4C" w:rsidTr="00B92350">
        <w:trPr>
          <w:jc w:val="center"/>
        </w:trPr>
        <w:tc>
          <w:tcPr>
            <w:tcW w:w="4876" w:type="dxa"/>
          </w:tcPr>
          <w:p w:rsidR="00057C1D" w:rsidRPr="00995D4C" w:rsidRDefault="00057C1D" w:rsidP="00B92350">
            <w:pPr>
              <w:pStyle w:val="ColumnHeading"/>
              <w:keepNext/>
              <w:widowControl/>
            </w:pPr>
            <w:r w:rsidRPr="00995D4C">
              <w:t>Nuvarande lydelse</w:t>
            </w:r>
          </w:p>
        </w:tc>
        <w:tc>
          <w:tcPr>
            <w:tcW w:w="4876" w:type="dxa"/>
          </w:tcPr>
          <w:p w:rsidR="00057C1D" w:rsidRPr="00995D4C" w:rsidRDefault="0021089C" w:rsidP="00B92350">
            <w:pPr>
              <w:pStyle w:val="ColumnHeading"/>
              <w:keepNext/>
              <w:widowControl/>
            </w:pPr>
            <w:r>
              <w:t>Ändring</w:t>
            </w:r>
          </w:p>
        </w:tc>
      </w:tr>
      <w:tr w:rsidR="00057C1D" w:rsidRPr="00995D4C" w:rsidTr="00B92350">
        <w:trPr>
          <w:jc w:val="center"/>
        </w:trPr>
        <w:tc>
          <w:tcPr>
            <w:tcW w:w="4876" w:type="dxa"/>
          </w:tcPr>
          <w:p w:rsidR="00057C1D" w:rsidRPr="00995D4C" w:rsidRDefault="00057C1D" w:rsidP="00B92350">
            <w:pPr>
              <w:pStyle w:val="Normal6"/>
              <w:widowControl/>
            </w:pPr>
          </w:p>
        </w:tc>
        <w:tc>
          <w:tcPr>
            <w:tcW w:w="4876" w:type="dxa"/>
          </w:tcPr>
          <w:p w:rsidR="00057C1D" w:rsidRPr="00995D4C" w:rsidRDefault="00057C1D" w:rsidP="00B92350">
            <w:pPr>
              <w:pStyle w:val="Normal6"/>
              <w:widowControl/>
              <w:rPr>
                <w:szCs w:val="24"/>
              </w:rPr>
            </w:pPr>
            <w:r w:rsidRPr="00995D4C">
              <w:rPr>
                <w:b/>
                <w:i/>
              </w:rPr>
              <w:t>(1a)</w:t>
            </w:r>
            <w:r w:rsidRPr="00995D4C">
              <w:rPr>
                <w:b/>
                <w:i/>
              </w:rPr>
              <w:tab/>
              <w:t xml:space="preserve">I punkt 3, i de förklarande kommentarerna till formeln för </w:t>
            </w:r>
            <w:proofErr w:type="spellStart"/>
            <w:r w:rsidRPr="00995D4C">
              <w:rPr>
                <w:b/>
                <w:i/>
              </w:rPr>
              <w:t>SEEg</w:t>
            </w:r>
            <w:proofErr w:type="spellEnd"/>
            <w:r w:rsidRPr="00995D4C">
              <w:rPr>
                <w:b/>
                <w:i/>
              </w:rPr>
              <w:t xml:space="preserve"> i första stycket, </w:t>
            </w:r>
            <w:r w:rsidR="005F0CC6" w:rsidRPr="00995D4C">
              <w:rPr>
                <w:b/>
                <w:i/>
              </w:rPr>
              <w:t xml:space="preserve">ska </w:t>
            </w:r>
            <w:r w:rsidRPr="00995D4C">
              <w:rPr>
                <w:b/>
                <w:i/>
              </w:rPr>
              <w:t xml:space="preserve">kommentaren till </w:t>
            </w:r>
            <w:proofErr w:type="spellStart"/>
            <w:r w:rsidRPr="00995D4C">
              <w:rPr>
                <w:b/>
                <w:i/>
              </w:rPr>
              <w:t>EEInpMat</w:t>
            </w:r>
            <w:proofErr w:type="spellEnd"/>
            <w:r w:rsidRPr="00995D4C">
              <w:rPr>
                <w:b/>
                <w:i/>
              </w:rPr>
              <w:t xml:space="preserve"> ersättas med följande:</w:t>
            </w:r>
          </w:p>
        </w:tc>
      </w:tr>
      <w:tr w:rsidR="00057C1D" w:rsidRPr="00995D4C" w:rsidTr="00B92350">
        <w:trPr>
          <w:jc w:val="center"/>
        </w:trPr>
        <w:tc>
          <w:tcPr>
            <w:tcW w:w="4876" w:type="dxa"/>
          </w:tcPr>
          <w:p w:rsidR="00057C1D" w:rsidRPr="00995D4C" w:rsidRDefault="00057C1D" w:rsidP="00B92350">
            <w:pPr>
              <w:pStyle w:val="Normal6"/>
              <w:widowControl/>
            </w:pPr>
            <w:proofErr w:type="spellStart"/>
            <w:r w:rsidRPr="00995D4C">
              <w:rPr>
                <w:sz w:val="27"/>
                <w:shd w:val="clear" w:color="auto" w:fill="FFFFFF"/>
              </w:rPr>
              <w:t>EE</w:t>
            </w:r>
            <w:r w:rsidRPr="00995D4C">
              <w:rPr>
                <w:rStyle w:val="oj-sub"/>
                <w:sz w:val="17"/>
                <w:shd w:val="clear" w:color="auto" w:fill="FFFFFF"/>
                <w:vertAlign w:val="subscript"/>
              </w:rPr>
              <w:t>InpMat</w:t>
            </w:r>
            <w:proofErr w:type="spellEnd"/>
          </w:p>
        </w:tc>
        <w:tc>
          <w:tcPr>
            <w:tcW w:w="4876" w:type="dxa"/>
          </w:tcPr>
          <w:p w:rsidR="00057C1D" w:rsidRPr="00995D4C" w:rsidRDefault="00057C1D" w:rsidP="00B92350">
            <w:pPr>
              <w:pStyle w:val="Normal6"/>
              <w:widowControl/>
              <w:rPr>
                <w:szCs w:val="24"/>
              </w:rPr>
            </w:pPr>
            <w:proofErr w:type="spellStart"/>
            <w:r w:rsidRPr="00995D4C">
              <w:rPr>
                <w:sz w:val="27"/>
                <w:shd w:val="clear" w:color="auto" w:fill="FFFFFF"/>
              </w:rPr>
              <w:t>EE</w:t>
            </w:r>
            <w:r w:rsidRPr="00995D4C">
              <w:rPr>
                <w:rStyle w:val="oj-sub"/>
                <w:sz w:val="17"/>
                <w:shd w:val="clear" w:color="auto" w:fill="FFFFFF"/>
                <w:vertAlign w:val="subscript"/>
              </w:rPr>
              <w:t>InpMat</w:t>
            </w:r>
            <w:proofErr w:type="spellEnd"/>
          </w:p>
        </w:tc>
      </w:tr>
      <w:tr w:rsidR="00057C1D" w:rsidRPr="00995D4C" w:rsidTr="00B92350">
        <w:trPr>
          <w:jc w:val="center"/>
        </w:trPr>
        <w:tc>
          <w:tcPr>
            <w:tcW w:w="4876" w:type="dxa"/>
          </w:tcPr>
          <w:p w:rsidR="00057C1D" w:rsidRPr="00995D4C" w:rsidRDefault="00057C1D" w:rsidP="00B92350">
            <w:pPr>
              <w:pStyle w:val="Normal6"/>
              <w:widowControl/>
              <w:rPr>
                <w:color w:val="333333"/>
                <w:sz w:val="27"/>
                <w:szCs w:val="27"/>
                <w:shd w:val="clear" w:color="auto" w:fill="FFFFFF"/>
              </w:rPr>
            </w:pPr>
            <w:r w:rsidRPr="00995D4C">
              <w:t xml:space="preserve">är de inbäddade utsläppen för de insatsmaterial (prekursorer) som förbrukas i produktionsprocessen. Endast insatsmaterial (prekursorer) som förtecknas som </w:t>
            </w:r>
            <w:r w:rsidRPr="00995D4C">
              <w:rPr>
                <w:b/>
                <w:bCs/>
                <w:i/>
                <w:iCs/>
              </w:rPr>
              <w:t xml:space="preserve">relevanta för produktionsprocessens systemgränser </w:t>
            </w:r>
            <w:r w:rsidRPr="00995D4C">
              <w:t xml:space="preserve">i </w:t>
            </w:r>
            <w:r w:rsidRPr="00995D4C">
              <w:rPr>
                <w:b/>
                <w:bCs/>
                <w:i/>
                <w:iCs/>
              </w:rPr>
              <w:t xml:space="preserve">enlighet med den </w:t>
            </w:r>
            <w:proofErr w:type="spellStart"/>
            <w:r w:rsidRPr="00995D4C">
              <w:rPr>
                <w:b/>
                <w:bCs/>
                <w:i/>
                <w:iCs/>
              </w:rPr>
              <w:t>genomförandeakt</w:t>
            </w:r>
            <w:proofErr w:type="spellEnd"/>
            <w:r w:rsidRPr="00995D4C">
              <w:rPr>
                <w:b/>
                <w:bCs/>
                <w:i/>
                <w:iCs/>
              </w:rPr>
              <w:t xml:space="preserve"> </w:t>
            </w:r>
            <w:r w:rsidRPr="00995D4C">
              <w:t>som</w:t>
            </w:r>
            <w:r w:rsidRPr="00995D4C">
              <w:rPr>
                <w:b/>
                <w:bCs/>
                <w:i/>
                <w:iCs/>
              </w:rPr>
              <w:t xml:space="preserve"> antagits enligt artikel 7.7</w:t>
            </w:r>
            <w:r w:rsidRPr="00995D4C">
              <w:t xml:space="preserve"> ska beaktas. De relevanta </w:t>
            </w:r>
            <w:proofErr w:type="spellStart"/>
            <w:r w:rsidRPr="00995D4C">
              <w:t>EE</w:t>
            </w:r>
            <w:r w:rsidRPr="00995D4C">
              <w:rPr>
                <w:vertAlign w:val="subscript"/>
              </w:rPr>
              <w:t>InpMat</w:t>
            </w:r>
            <w:proofErr w:type="spellEnd"/>
            <w:r w:rsidRPr="00995D4C">
              <w:t xml:space="preserve"> beräknas som</w:t>
            </w:r>
          </w:p>
        </w:tc>
        <w:tc>
          <w:tcPr>
            <w:tcW w:w="4876" w:type="dxa"/>
          </w:tcPr>
          <w:p w:rsidR="00057C1D" w:rsidRPr="00995D4C" w:rsidRDefault="00057C1D" w:rsidP="00995D4C">
            <w:pPr>
              <w:pStyle w:val="EPComma"/>
              <w:widowControl/>
              <w:spacing w:before="0" w:after="120"/>
            </w:pPr>
            <w:r w:rsidRPr="00995D4C">
              <w:t xml:space="preserve">är de inbäddade utsläppen för de insatsmaterial (prekursorer) som förbrukas i produktionsprocessen. Endast insatsmaterial (prekursorer) som förtecknas </w:t>
            </w:r>
            <w:r w:rsidRPr="00995D4C">
              <w:rPr>
                <w:b/>
                <w:bCs/>
                <w:i/>
                <w:iCs/>
              </w:rPr>
              <w:t>i bilaga I och</w:t>
            </w:r>
            <w:r w:rsidRPr="00995D4C">
              <w:t xml:space="preserve"> som </w:t>
            </w:r>
            <w:r w:rsidRPr="00995D4C">
              <w:rPr>
                <w:b/>
                <w:bCs/>
                <w:i/>
                <w:iCs/>
              </w:rPr>
              <w:t xml:space="preserve">har sitt ursprung </w:t>
            </w:r>
            <w:r w:rsidRPr="00995D4C">
              <w:t>i</w:t>
            </w:r>
            <w:r w:rsidRPr="00995D4C">
              <w:rPr>
                <w:b/>
                <w:bCs/>
                <w:i/>
                <w:iCs/>
              </w:rPr>
              <w:t xml:space="preserve"> tredjeländer och territorier </w:t>
            </w:r>
            <w:r w:rsidRPr="00995D4C">
              <w:t>som</w:t>
            </w:r>
            <w:r w:rsidRPr="00995D4C">
              <w:rPr>
                <w:b/>
                <w:bCs/>
                <w:i/>
                <w:iCs/>
              </w:rPr>
              <w:t xml:space="preserve"> inte är undantagna enligt bilaga III </w:t>
            </w:r>
            <w:r w:rsidR="008308D0" w:rsidRPr="00995D4C">
              <w:rPr>
                <w:b/>
                <w:bCs/>
                <w:i/>
                <w:iCs/>
              </w:rPr>
              <w:t xml:space="preserve">punkt </w:t>
            </w:r>
            <w:r w:rsidRPr="00995D4C">
              <w:rPr>
                <w:b/>
                <w:bCs/>
                <w:i/>
                <w:iCs/>
              </w:rPr>
              <w:t>1</w:t>
            </w:r>
            <w:r w:rsidRPr="00995D4C">
              <w:t xml:space="preserve"> ska beaktas. De relevanta </w:t>
            </w:r>
            <w:proofErr w:type="spellStart"/>
            <w:r w:rsidRPr="00995D4C">
              <w:t>EE</w:t>
            </w:r>
            <w:r w:rsidRPr="00995D4C">
              <w:rPr>
                <w:vertAlign w:val="subscript"/>
              </w:rPr>
              <w:t>InpMat</w:t>
            </w:r>
            <w:proofErr w:type="spellEnd"/>
            <w:r w:rsidRPr="00995D4C">
              <w:t xml:space="preserve"> beräknas som</w:t>
            </w:r>
          </w:p>
        </w:tc>
      </w:tr>
    </w:tbl>
    <w:p w:rsidR="00E365E1" w:rsidRPr="00995D4C" w:rsidRDefault="00E365E1" w:rsidP="00996BE2"/>
    <w:sectPr w:rsidR="00E365E1" w:rsidRPr="00995D4C" w:rsidSect="00D863E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6BE2" w:rsidRPr="00D863E7" w:rsidRDefault="00996BE2">
      <w:r w:rsidRPr="00D863E7">
        <w:separator/>
      </w:r>
    </w:p>
  </w:endnote>
  <w:endnote w:type="continuationSeparator" w:id="0">
    <w:p w:rsidR="00996BE2" w:rsidRPr="00D863E7" w:rsidRDefault="00996BE2">
      <w:r w:rsidRPr="00D863E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863E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863E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863E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6BE2" w:rsidRPr="00D863E7" w:rsidRDefault="00996BE2">
      <w:r w:rsidRPr="00D863E7">
        <w:separator/>
      </w:r>
    </w:p>
  </w:footnote>
  <w:footnote w:type="continuationSeparator" w:id="0">
    <w:p w:rsidR="00996BE2" w:rsidRPr="00D863E7" w:rsidRDefault="00996BE2">
      <w:r w:rsidRPr="00D863E7">
        <w:continuationSeparator/>
      </w:r>
    </w:p>
  </w:footnote>
  <w:footnote w:id="1">
    <w:p w:rsidR="0021089C" w:rsidRPr="008D0878" w:rsidRDefault="0021089C" w:rsidP="0021089C">
      <w:pPr>
        <w:pStyle w:val="FootnoteText"/>
        <w:ind w:left="567" w:hanging="567"/>
        <w:rPr>
          <w:lang w:val="cs-CZ"/>
        </w:rPr>
      </w:pPr>
      <w:r w:rsidRPr="0021089C">
        <w:rPr>
          <w:rStyle w:val="FootnoteReference"/>
        </w:rPr>
        <w:footnoteRef/>
      </w:r>
      <w:r w:rsidRPr="0021089C">
        <w:rPr>
          <w:lang w:val="sv-SE"/>
        </w:rPr>
        <w:t xml:space="preserve"> </w:t>
      </w:r>
      <w:r w:rsidRPr="0021089C">
        <w:rPr>
          <w:lang w:val="sv-SE"/>
        </w:rPr>
        <w:tab/>
      </w:r>
      <w:r w:rsidRPr="00D11BCC">
        <w:rPr>
          <w:sz w:val="24"/>
          <w:szCs w:val="24"/>
          <w:lang w:val="sv-SE"/>
        </w:rPr>
        <w:t>Ärendet återförvisades för interinstitutionella förhandlingar till det ansvariga utskottet, i enlighet med artikel 60.4 fjärde st</w:t>
      </w:r>
      <w:r w:rsidR="0002495F">
        <w:rPr>
          <w:sz w:val="24"/>
          <w:szCs w:val="24"/>
          <w:lang w:val="sv-SE"/>
        </w:rPr>
        <w:t>ycket i arbetsordningen (A</w:t>
      </w:r>
      <w:r w:rsidR="00FE665C">
        <w:rPr>
          <w:sz w:val="24"/>
          <w:szCs w:val="24"/>
          <w:lang w:val="sv-SE"/>
        </w:rPr>
        <w:t>10</w:t>
      </w:r>
      <w:r w:rsidR="0002495F">
        <w:rPr>
          <w:sz w:val="24"/>
          <w:szCs w:val="24"/>
          <w:lang w:val="sv-SE"/>
        </w:rPr>
        <w:t>-0085</w:t>
      </w:r>
      <w:r w:rsidRPr="00D11BCC">
        <w:rPr>
          <w:sz w:val="24"/>
          <w:szCs w:val="24"/>
          <w:lang w:val="sv-SE"/>
        </w:rPr>
        <w:t>/2025).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863E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863E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863E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85/2025"/>
    <w:docVar w:name="dvlangue" w:val="SV"/>
    <w:docVar w:name="dvnumam" w:val="4"/>
    <w:docVar w:name="dvpe" w:val="773.301"/>
    <w:docVar w:name="dvrapporteur" w:val="Föredragande: "/>
    <w:docVar w:name="dvstar" w:val="***I"/>
    <w:docVar w:name="dvtitre" w:val="Europaparlamentets lagstiftningsresolution av den xx xx 2025 om förslaget till Europaparlamentets och rådets förordning om ändring av förordning (EU) 2023/956 vad gäller förenkling och förstärkning av mekanismen för koldioxidjustering vid gränsen(COM(2025)0087 – C10-0035/2025 – 2025/0039(COD))"/>
  </w:docVars>
  <w:rsids>
    <w:rsidRoot w:val="00996BE2"/>
    <w:rsid w:val="00002272"/>
    <w:rsid w:val="0002495F"/>
    <w:rsid w:val="00057C1D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089C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0CC6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5C5A"/>
    <w:rsid w:val="00786EC0"/>
    <w:rsid w:val="007D1690"/>
    <w:rsid w:val="007E22AD"/>
    <w:rsid w:val="00817416"/>
    <w:rsid w:val="008308D0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5D4C"/>
    <w:rsid w:val="00996BE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1BCC"/>
    <w:rsid w:val="00D56C11"/>
    <w:rsid w:val="00D834A0"/>
    <w:rsid w:val="00D863E7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6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C81D06-A448-4E5B-9486-1DBC06885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057C1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6a">
    <w:name w:val="Normal6a"/>
    <w:basedOn w:val="Normal"/>
    <w:rsid w:val="00057C1D"/>
    <w:pPr>
      <w:spacing w:after="120"/>
    </w:pPr>
  </w:style>
  <w:style w:type="paragraph" w:customStyle="1" w:styleId="PageHeading">
    <w:name w:val="PageHeading"/>
    <w:basedOn w:val="Normal"/>
    <w:rsid w:val="00057C1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57C1D"/>
    <w:rPr>
      <w:b/>
    </w:rPr>
  </w:style>
  <w:style w:type="paragraph" w:customStyle="1" w:styleId="NormalBold12a">
    <w:name w:val="NormalBold12a"/>
    <w:basedOn w:val="Normal"/>
    <w:rsid w:val="00057C1D"/>
    <w:pPr>
      <w:spacing w:after="240"/>
    </w:pPr>
    <w:rPr>
      <w:b/>
    </w:rPr>
  </w:style>
  <w:style w:type="paragraph" w:customStyle="1" w:styleId="NormalHanging12a">
    <w:name w:val="NormalHanging12a"/>
    <w:basedOn w:val="Normal"/>
    <w:link w:val="NormalHanging12aChar"/>
    <w:rsid w:val="00057C1D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057C1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57C1D"/>
    <w:rPr>
      <w:sz w:val="24"/>
      <w:lang w:val="sv-SE"/>
    </w:rPr>
  </w:style>
  <w:style w:type="paragraph" w:customStyle="1" w:styleId="AmColumnHeading">
    <w:name w:val="AmColumnHeading"/>
    <w:basedOn w:val="Normal"/>
    <w:rsid w:val="00057C1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57C1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057C1D"/>
    <w:pPr>
      <w:spacing w:before="240"/>
    </w:pPr>
    <w:rPr>
      <w:b/>
    </w:rPr>
  </w:style>
  <w:style w:type="paragraph" w:customStyle="1" w:styleId="EPFooter">
    <w:name w:val="EPFooter"/>
    <w:basedOn w:val="Normal"/>
    <w:rsid w:val="00057C1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57C1D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rsid w:val="00057C1D"/>
    <w:rPr>
      <w:b/>
      <w:sz w:val="24"/>
      <w:lang w:val="sv-SE"/>
    </w:rPr>
  </w:style>
  <w:style w:type="paragraph" w:customStyle="1" w:styleId="Normal6">
    <w:name w:val="Normal6"/>
    <w:basedOn w:val="Normal"/>
    <w:link w:val="Normal6Char"/>
    <w:rsid w:val="00057C1D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057C1D"/>
    <w:rPr>
      <w:sz w:val="24"/>
      <w:lang w:val="sv-SE"/>
    </w:rPr>
  </w:style>
  <w:style w:type="paragraph" w:customStyle="1" w:styleId="ColumnHeading">
    <w:name w:val="ColumnHeading"/>
    <w:basedOn w:val="Normal"/>
    <w:rsid w:val="00057C1D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057C1D"/>
    <w:rPr>
      <w:b/>
      <w:sz w:val="24"/>
      <w:lang w:val="sv-SE"/>
    </w:rPr>
  </w:style>
  <w:style w:type="character" w:customStyle="1" w:styleId="oj-sub">
    <w:name w:val="oj-sub"/>
    <w:rsid w:val="00057C1D"/>
  </w:style>
  <w:style w:type="paragraph" w:customStyle="1" w:styleId="Normal12a">
    <w:name w:val="Normal12a"/>
    <w:basedOn w:val="Normal"/>
    <w:rsid w:val="00057C1D"/>
    <w:pPr>
      <w:spacing w:after="240"/>
    </w:pPr>
  </w:style>
  <w:style w:type="paragraph" w:customStyle="1" w:styleId="PageHeadingNotTOC">
    <w:name w:val="PageHeadingNotTOC"/>
    <w:basedOn w:val="Normal"/>
    <w:rsid w:val="00057C1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RollCallSymbols14pt">
    <w:name w:val="RollCallSymbols14pt"/>
    <w:basedOn w:val="Normal"/>
    <w:rsid w:val="00057C1D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057C1D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057C1D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057C1D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rsid w:val="00057C1D"/>
    <w:pPr>
      <w:spacing w:after="480"/>
    </w:pPr>
  </w:style>
  <w:style w:type="paragraph" w:customStyle="1" w:styleId="Footprint12b">
    <w:name w:val="Footprint12b"/>
    <w:basedOn w:val="Normal"/>
    <w:rsid w:val="00057C1D"/>
    <w:pPr>
      <w:spacing w:before="240"/>
    </w:pPr>
    <w:rPr>
      <w:szCs w:val="24"/>
    </w:rPr>
  </w:style>
  <w:style w:type="character" w:customStyle="1" w:styleId="NormalHanging12aChar">
    <w:name w:val="NormalHanging12a Char"/>
    <w:basedOn w:val="DefaultParagraphFont"/>
    <w:link w:val="NormalHanging12a"/>
    <w:locked/>
    <w:rsid w:val="00057C1D"/>
    <w:rPr>
      <w:sz w:val="24"/>
      <w:lang w:val="sv-SE"/>
    </w:rPr>
  </w:style>
  <w:style w:type="character" w:customStyle="1" w:styleId="Bold">
    <w:name w:val="Bold"/>
    <w:uiPriority w:val="1"/>
    <w:rsid w:val="00057C1D"/>
    <w:rPr>
      <w:b/>
      <w:bCs w:val="0"/>
    </w:rPr>
  </w:style>
  <w:style w:type="character" w:styleId="Hyperlink">
    <w:name w:val="Hyperlink"/>
    <w:basedOn w:val="DefaultParagraphFont"/>
    <w:rsid w:val="00057C1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8308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308D0"/>
    <w:rPr>
      <w:rFonts w:ascii="Segoe UI" w:hAnsi="Segoe UI" w:cs="Segoe UI"/>
      <w:sz w:val="18"/>
      <w:szCs w:val="18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53DBA1-DA28-41FE-9F5E-EFE2CF88B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295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ANDERSSON Terese</cp:lastModifiedBy>
  <cp:revision>2</cp:revision>
  <cp:lastPrinted>2004-11-19T15:42:00Z</cp:lastPrinted>
  <dcterms:created xsi:type="dcterms:W3CDTF">2025-05-22T13:31:00Z</dcterms:created>
  <dcterms:modified xsi:type="dcterms:W3CDTF">2025-05-22T13:31:00Z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A10-0085/2025</vt:lpwstr>
  </property>
  <property fmtid="{D5CDD505-2E9C-101B-9397-08002B2CF9AE}" pid="4" name="&lt;Type&gt;">
    <vt:lpwstr>RR</vt:lpwstr>
  </property>
</Properties>
</file>