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C0D8D" w14:paraId="206A703E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D83366" w14:textId="77777777" w:rsidR="00EC0D8D" w:rsidRDefault="00B52613">
            <w:pPr>
              <w:pStyle w:val="EPName"/>
            </w:pPr>
            <w:r>
              <w:t>Európsky parlament</w:t>
            </w:r>
          </w:p>
          <w:p w14:paraId="2F387200" w14:textId="77777777" w:rsidR="00EC0D8D" w:rsidRDefault="00B5261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37A2858" w14:textId="77777777" w:rsidR="00EC0D8D" w:rsidRDefault="00B5261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51A4F679" wp14:editId="40906E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0BDCF" w14:textId="77777777" w:rsidR="00EC0D8D" w:rsidRDefault="00EC0D8D">
      <w:pPr>
        <w:pStyle w:val="LineTop"/>
      </w:pPr>
    </w:p>
    <w:p w14:paraId="505E8C62" w14:textId="77777777" w:rsidR="00EC0D8D" w:rsidRDefault="00B52613">
      <w:pPr>
        <w:pStyle w:val="EPBodyTA1"/>
      </w:pPr>
      <w:r>
        <w:t>PRIJATÉ TEXTY</w:t>
      </w:r>
    </w:p>
    <w:p w14:paraId="563C71CD" w14:textId="77777777" w:rsidR="00EC0D8D" w:rsidRDefault="00EC0D8D">
      <w:pPr>
        <w:pStyle w:val="LineBottom"/>
      </w:pPr>
    </w:p>
    <w:p w14:paraId="67E6BC62" w14:textId="77777777" w:rsidR="00EC0D8D" w:rsidRDefault="00B52613">
      <w:pPr>
        <w:pStyle w:val="ATHeading1"/>
      </w:pPr>
      <w:bookmarkStart w:id="0" w:name="TANumber"/>
      <w:r>
        <w:t>P10_TA(2025)0109</w:t>
      </w:r>
      <w:bookmarkEnd w:id="0"/>
    </w:p>
    <w:p w14:paraId="19D5DF8F" w14:textId="77777777" w:rsidR="00EC0D8D" w:rsidRDefault="00B52613">
      <w:pPr>
        <w:pStyle w:val="ATHeading2"/>
      </w:pPr>
      <w:bookmarkStart w:id="1" w:name="title"/>
      <w:r>
        <w:t>Zmena ciel uplatniteľných na dovoz určitého tovaru s pôvodom v Ruskej federácii a Bieloruskej republike alebo vyvážaného z Ruskej federácie a Bieloruskej republiky</w:t>
      </w:r>
      <w:bookmarkEnd w:id="1"/>
    </w:p>
    <w:p w14:paraId="3CEE3044" w14:textId="77777777" w:rsidR="00EC0D8D" w:rsidRDefault="00B5261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A10-0087/2025</w:instrText>
      </w:r>
      <w:bookmarkEnd w:id="2"/>
      <w:r>
        <w:rPr>
          <w:i/>
        </w:rPr>
        <w:instrText xml:space="preserve"> - Spravodajkyňa: </w:instrText>
      </w:r>
      <w:proofErr w:type="spellStart"/>
      <w:r>
        <w:rPr>
          <w:i/>
        </w:rPr>
        <w:instrText>Inese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Vaidere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14:paraId="18BE66D7" w14:textId="77777777" w:rsidR="00EC0D8D" w:rsidRDefault="00B52613">
      <w:pPr>
        <w:rPr>
          <w:vanish/>
        </w:rPr>
      </w:pPr>
      <w:bookmarkStart w:id="3" w:name="Commission"/>
      <w:r>
        <w:rPr>
          <w:vanish/>
        </w:rPr>
        <w:t>Výbor pre medzinárodný obchod</w:t>
      </w:r>
      <w:bookmarkEnd w:id="3"/>
    </w:p>
    <w:p w14:paraId="5B7BFA2E" w14:textId="77777777" w:rsidR="00EC0D8D" w:rsidRDefault="00B52613">
      <w:pPr>
        <w:rPr>
          <w:vanish/>
        </w:rPr>
      </w:pPr>
      <w:bookmarkStart w:id="4" w:name="PE"/>
      <w:r>
        <w:rPr>
          <w:vanish/>
        </w:rPr>
        <w:t>PE770.210</w:t>
      </w:r>
      <w:bookmarkEnd w:id="4"/>
    </w:p>
    <w:p w14:paraId="3E3999C4" w14:textId="77777777" w:rsidR="00EC0D8D" w:rsidRDefault="00B52613">
      <w:pPr>
        <w:pStyle w:val="ATHeading3"/>
      </w:pPr>
      <w:bookmarkStart w:id="5" w:name="Sujet"/>
      <w:r>
        <w:t>Legislatívne uznesenie Európskeho parlamentu z 22. mája 2025 o návrhu nariadenia Európskeho parlamentu a Rady o zmene ciel uplatniteľných na dovoz určitého tovaru s pôvodom v Ruskej federácii a Bieloruskej republike alebo priamo či nepriamo vyvážaného z Ruskej federácie a Bieloruskej republiky</w:t>
      </w:r>
      <w:bookmarkEnd w:id="5"/>
      <w:r>
        <w:t xml:space="preserve"> </w:t>
      </w:r>
      <w:bookmarkStart w:id="6" w:name="References"/>
      <w:r>
        <w:t>(COM(2025)0034 – C10-0006/2025 – 2025/0021(COD))</w:t>
      </w:r>
      <w:bookmarkEnd w:id="6"/>
    </w:p>
    <w:p w14:paraId="42CCD2FD" w14:textId="77777777" w:rsidR="00EC0D8D" w:rsidRDefault="00B52613">
      <w:pPr>
        <w:pStyle w:val="NormalBold"/>
      </w:pPr>
      <w:r>
        <w:t>(Riadny legislatívny postup: prvé čítanie)</w:t>
      </w:r>
    </w:p>
    <w:p w14:paraId="46C70522" w14:textId="77777777" w:rsidR="00EC0D8D" w:rsidRDefault="00B52613">
      <w:pPr>
        <w:pStyle w:val="EPComma"/>
      </w:pPr>
      <w:r>
        <w:rPr>
          <w:i/>
        </w:rPr>
        <w:t>Európsky parlament,</w:t>
      </w:r>
    </w:p>
    <w:p w14:paraId="5C1CBF4B" w14:textId="77777777" w:rsidR="00EC0D8D" w:rsidRDefault="00B52613">
      <w:pPr>
        <w:pStyle w:val="NormalHanging12a"/>
      </w:pPr>
      <w:r>
        <w:t>–</w:t>
      </w:r>
      <w:r>
        <w:tab/>
        <w:t>so zreteľom na návrh Komisie pre Európsky parlament a Radu (COM(2025)0034),</w:t>
      </w:r>
    </w:p>
    <w:p w14:paraId="55E38732" w14:textId="77777777" w:rsidR="00EC0D8D" w:rsidRDefault="00B52613">
      <w:pPr>
        <w:pStyle w:val="NormalHanging12a"/>
      </w:pPr>
      <w:r>
        <w:t>–</w:t>
      </w:r>
      <w:r>
        <w:tab/>
        <w:t>so zreteľom na článok 294 ods. 2 a článok 207 ods. 2 Zmluvy o fungovaní Európskej únie, v súlade s ktorými Komisia predložila návrh Európskemu parlamentu (C10</w:t>
      </w:r>
      <w:r>
        <w:noBreakHyphen/>
        <w:t>0006/2025),</w:t>
      </w:r>
    </w:p>
    <w:p w14:paraId="14C67909" w14:textId="77777777" w:rsidR="00EC0D8D" w:rsidRDefault="00B52613">
      <w:pPr>
        <w:pStyle w:val="NormalHanging12a"/>
      </w:pPr>
      <w:r>
        <w:t>–</w:t>
      </w:r>
      <w:r>
        <w:tab/>
        <w:t>so zreteľom na článok 294 ods. 3 Zmluvy o fungovaní Európskej únie,</w:t>
      </w:r>
    </w:p>
    <w:p w14:paraId="1D1E0904" w14:textId="77777777" w:rsidR="00EC0D8D" w:rsidRDefault="00B52613">
      <w:pPr>
        <w:pStyle w:val="NormalHanging12a"/>
      </w:pPr>
      <w:r>
        <w:t>–</w:t>
      </w:r>
      <w:r>
        <w:tab/>
        <w:t>so zreteľom na záväzok zástupcu Rady vyjadrený v liste z 26. marca 2025 schváliť pozíciu Európskeho parlamentu v súlade s článkom 294 ods. 4 Zmluvy o fungovaní Európskej únie,</w:t>
      </w:r>
    </w:p>
    <w:p w14:paraId="244CA184" w14:textId="77777777" w:rsidR="00EC0D8D" w:rsidRDefault="00B52613">
      <w:pPr>
        <w:pStyle w:val="NormalHanging12a"/>
      </w:pPr>
      <w:r>
        <w:t>–</w:t>
      </w:r>
      <w:r>
        <w:tab/>
        <w:t xml:space="preserve">zo </w:t>
      </w:r>
      <w:r>
        <w:t>zreteľom na článok 60 rokovacieho poriadku,</w:t>
      </w:r>
    </w:p>
    <w:p w14:paraId="2ADD0E3C" w14:textId="77777777" w:rsidR="00EC0D8D" w:rsidRDefault="00B52613">
      <w:pPr>
        <w:pStyle w:val="NormalHanging12a"/>
      </w:pPr>
      <w:r>
        <w:t>–</w:t>
      </w:r>
      <w:r>
        <w:tab/>
        <w:t>so zreteľom na stanovisko Výboru pre poľnohospodárstvo a rozvoj vidieka,</w:t>
      </w:r>
    </w:p>
    <w:p w14:paraId="7D77DFFF" w14:textId="77777777" w:rsidR="00EC0D8D" w:rsidRDefault="00B52613">
      <w:pPr>
        <w:pStyle w:val="NormalHanging12a"/>
      </w:pPr>
      <w:r>
        <w:t>–</w:t>
      </w:r>
      <w:r>
        <w:tab/>
        <w:t>so zreteľom na správu Výboru pre medzinárodný obchod (A10-0087/2025),</w:t>
      </w:r>
    </w:p>
    <w:p w14:paraId="7AD92F6C" w14:textId="77777777" w:rsidR="00EC0D8D" w:rsidRDefault="00B52613">
      <w:pPr>
        <w:pStyle w:val="NormalHanging12a"/>
      </w:pPr>
      <w:r>
        <w:t>1.</w:t>
      </w:r>
      <w:r>
        <w:tab/>
        <w:t>prijíma nasledujúcu pozíciu v prvom čítaní;</w:t>
      </w:r>
    </w:p>
    <w:p w14:paraId="78FD30C0" w14:textId="77777777" w:rsidR="00EC0D8D" w:rsidRDefault="00B52613"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 w14:paraId="244432F5" w14:textId="77777777" w:rsidR="00EC0D8D" w:rsidRDefault="00B52613">
      <w:pPr>
        <w:pStyle w:val="NormalHanging12a"/>
      </w:pPr>
      <w:r>
        <w:lastRenderedPageBreak/>
        <w:t>3.</w:t>
      </w:r>
      <w:r>
        <w:tab/>
        <w:t>poveruje svoju predsedníčku, aby postúpila túto pozíciu Rade, Komisii a národným parlamentom.</w:t>
      </w:r>
    </w:p>
    <w:p w14:paraId="6763A88F" w14:textId="77777777" w:rsidR="00EC0D8D" w:rsidRDefault="00B52613">
      <w:pPr>
        <w:widowControl/>
      </w:pPr>
      <w:r>
        <w:br w:type="page"/>
      </w:r>
    </w:p>
    <w:p w14:paraId="754661B1" w14:textId="77777777" w:rsidR="00EC0D8D" w:rsidRDefault="00B52613">
      <w:pPr>
        <w:spacing w:after="240"/>
        <w:rPr>
          <w:b/>
        </w:rPr>
      </w:pPr>
      <w:r>
        <w:rPr>
          <w:b/>
        </w:rPr>
        <w:lastRenderedPageBreak/>
        <w:t>P10_TC1-COD(2025)0021</w:t>
      </w:r>
    </w:p>
    <w:p w14:paraId="281ECB26" w14:textId="77777777" w:rsidR="00EC0D8D" w:rsidRDefault="00B52613">
      <w:pPr>
        <w:pStyle w:val="NormalHanging12a"/>
        <w:ind w:left="0" w:firstLine="0"/>
        <w:rPr>
          <w:b/>
          <w:bCs/>
        </w:rPr>
      </w:pPr>
      <w:r>
        <w:rPr>
          <w:b/>
        </w:rPr>
        <w:t>Pozícia Európskeho parlamentu prijatá v prvom čítaní 22. mája</w:t>
      </w:r>
      <w:r>
        <w:rPr>
          <w:b/>
          <w:color w:val="FFFF00"/>
        </w:rPr>
        <w:t xml:space="preserve"> </w:t>
      </w:r>
      <w:r>
        <w:rPr>
          <w:b/>
        </w:rPr>
        <w:t xml:space="preserve">2025 na účely prijatia nariadenia Európskeho parlamentu a Rady (EÚ) 2025/... </w:t>
      </w:r>
      <w:bookmarkStart w:id="7" w:name="_Hlk187405572"/>
      <w:r>
        <w:rPr>
          <w:b/>
          <w:bCs/>
        </w:rPr>
        <w:t xml:space="preserve">o zmene ciel </w:t>
      </w:r>
      <w:r>
        <w:rPr>
          <w:b/>
        </w:rPr>
        <w:t>uplatniteľných</w:t>
      </w:r>
      <w:r>
        <w:rPr>
          <w:b/>
          <w:bCs/>
        </w:rPr>
        <w:t xml:space="preserve"> na dovoz určitého tovaru s pôvodom v Ruskej federácii a Bieloruskej republike alebo vyvážaného z Ruskej federácie a Bieloruskej republiky</w:t>
      </w:r>
    </w:p>
    <w:p w14:paraId="2A19F9F9" w14:textId="77777777" w:rsidR="00B52613" w:rsidRDefault="00B52613">
      <w:pPr>
        <w:pStyle w:val="NormalHanging12a"/>
        <w:ind w:left="0" w:firstLine="0"/>
        <w:rPr>
          <w:b/>
          <w:bCs/>
        </w:rPr>
      </w:pPr>
    </w:p>
    <w:p w14:paraId="7F832B17" w14:textId="25C2F48B" w:rsidR="00B52613" w:rsidRPr="00731EF8" w:rsidRDefault="00B52613" w:rsidP="00B52613">
      <w:r w:rsidRPr="00731EF8">
        <w:rPr>
          <w:i/>
          <w:iCs/>
        </w:rPr>
        <w:t xml:space="preserve">(Keďže bola dosiahnutá dohoda medzi Európskym parlamentom a Radou, pozícia </w:t>
      </w:r>
      <w:r w:rsidRPr="00B52613">
        <w:rPr>
          <w:i/>
          <w:iCs/>
        </w:rPr>
        <w:t>Európskeho parlamentu zodpovedá záverečnému legislatívnemu aktu, nariadeniu (EÚ) 2025/</w:t>
      </w:r>
      <w:r>
        <w:rPr>
          <w:i/>
          <w:iCs/>
        </w:rPr>
        <w:t>1227</w:t>
      </w:r>
      <w:r w:rsidRPr="00B52613">
        <w:rPr>
          <w:i/>
          <w:iCs/>
        </w:rPr>
        <w:t>.)</w:t>
      </w:r>
    </w:p>
    <w:p w14:paraId="1C2FE795" w14:textId="77777777" w:rsidR="00B52613" w:rsidRDefault="00B52613">
      <w:pPr>
        <w:pStyle w:val="NormalHanging12a"/>
        <w:ind w:left="0" w:firstLine="0"/>
        <w:rPr>
          <w:b/>
          <w:bCs/>
        </w:rPr>
      </w:pPr>
    </w:p>
    <w:bookmarkEnd w:id="7"/>
    <w:sectPr w:rsidR="00B526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AF843" w14:textId="77777777" w:rsidR="00EC0D8D" w:rsidRDefault="00B52613">
      <w:r>
        <w:separator/>
      </w:r>
    </w:p>
  </w:endnote>
  <w:endnote w:type="continuationSeparator" w:id="0">
    <w:p w14:paraId="4DC1CF51" w14:textId="77777777" w:rsidR="00EC0D8D" w:rsidRDefault="00B5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429C" w14:textId="77777777" w:rsidR="00EC0D8D" w:rsidRDefault="00EC0D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58800" w14:textId="77777777" w:rsidR="00EC0D8D" w:rsidRDefault="00EC0D8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5CFB" w14:textId="77777777" w:rsidR="00EC0D8D" w:rsidRDefault="00EC0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8118A" w14:textId="77777777" w:rsidR="00EC0D8D" w:rsidRDefault="00B52613">
      <w:r>
        <w:separator/>
      </w:r>
    </w:p>
  </w:footnote>
  <w:footnote w:type="continuationSeparator" w:id="0">
    <w:p w14:paraId="63196A31" w14:textId="77777777" w:rsidR="00EC0D8D" w:rsidRDefault="00B52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AC439" w14:textId="77777777" w:rsidR="00EC0D8D" w:rsidRDefault="00EC0D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310F2" w14:textId="77777777" w:rsidR="00EC0D8D" w:rsidRDefault="00EC0D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99216" w14:textId="77777777" w:rsidR="00EC0D8D" w:rsidRDefault="00EC0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7094940">
    <w:abstractNumId w:val="9"/>
  </w:num>
  <w:num w:numId="2" w16cid:durableId="1450398392">
    <w:abstractNumId w:val="9"/>
  </w:num>
  <w:num w:numId="3" w16cid:durableId="1044983063">
    <w:abstractNumId w:val="7"/>
  </w:num>
  <w:num w:numId="4" w16cid:durableId="403647132">
    <w:abstractNumId w:val="7"/>
  </w:num>
  <w:num w:numId="5" w16cid:durableId="1492142116">
    <w:abstractNumId w:val="6"/>
  </w:num>
  <w:num w:numId="6" w16cid:durableId="2130977172">
    <w:abstractNumId w:val="6"/>
  </w:num>
  <w:num w:numId="7" w16cid:durableId="882640103">
    <w:abstractNumId w:val="5"/>
  </w:num>
  <w:num w:numId="8" w16cid:durableId="1022171473">
    <w:abstractNumId w:val="5"/>
  </w:num>
  <w:num w:numId="9" w16cid:durableId="520822171">
    <w:abstractNumId w:val="4"/>
  </w:num>
  <w:num w:numId="10" w16cid:durableId="330528661">
    <w:abstractNumId w:val="4"/>
  </w:num>
  <w:num w:numId="11" w16cid:durableId="499348573">
    <w:abstractNumId w:val="8"/>
  </w:num>
  <w:num w:numId="12" w16cid:durableId="32191380">
    <w:abstractNumId w:val="8"/>
  </w:num>
  <w:num w:numId="13" w16cid:durableId="558979769">
    <w:abstractNumId w:val="3"/>
  </w:num>
  <w:num w:numId="14" w16cid:durableId="1284775900">
    <w:abstractNumId w:val="3"/>
  </w:num>
  <w:num w:numId="15" w16cid:durableId="889145854">
    <w:abstractNumId w:val="2"/>
  </w:num>
  <w:num w:numId="16" w16cid:durableId="1358585141">
    <w:abstractNumId w:val="2"/>
  </w:num>
  <w:num w:numId="17" w16cid:durableId="1815020405">
    <w:abstractNumId w:val="1"/>
  </w:num>
  <w:num w:numId="18" w16cid:durableId="2009284241">
    <w:abstractNumId w:val="1"/>
  </w:num>
  <w:num w:numId="19" w16cid:durableId="515118953">
    <w:abstractNumId w:val="0"/>
  </w:num>
  <w:num w:numId="20" w16cid:durableId="863403314">
    <w:abstractNumId w:val="0"/>
  </w:num>
  <w:num w:numId="21" w16cid:durableId="185558124">
    <w:abstractNumId w:val="9"/>
  </w:num>
  <w:num w:numId="22" w16cid:durableId="883130086">
    <w:abstractNumId w:val="7"/>
  </w:num>
  <w:num w:numId="23" w16cid:durableId="1773088169">
    <w:abstractNumId w:val="6"/>
  </w:num>
  <w:num w:numId="24" w16cid:durableId="2043823313">
    <w:abstractNumId w:val="5"/>
  </w:num>
  <w:num w:numId="25" w16cid:durableId="2095127432">
    <w:abstractNumId w:val="4"/>
  </w:num>
  <w:num w:numId="26" w16cid:durableId="294722088">
    <w:abstractNumId w:val="8"/>
  </w:num>
  <w:num w:numId="27" w16cid:durableId="1780366472">
    <w:abstractNumId w:val="3"/>
  </w:num>
  <w:num w:numId="28" w16cid:durableId="336857246">
    <w:abstractNumId w:val="2"/>
  </w:num>
  <w:num w:numId="29" w16cid:durableId="461311693">
    <w:abstractNumId w:val="1"/>
  </w:num>
  <w:num w:numId="30" w16cid:durableId="2126732083">
    <w:abstractNumId w:val="0"/>
  </w:num>
  <w:num w:numId="31" w16cid:durableId="1982146984">
    <w:abstractNumId w:val="9"/>
  </w:num>
  <w:num w:numId="32" w16cid:durableId="2028828331">
    <w:abstractNumId w:val="7"/>
  </w:num>
  <w:num w:numId="33" w16cid:durableId="1343362397">
    <w:abstractNumId w:val="6"/>
  </w:num>
  <w:num w:numId="34" w16cid:durableId="1877037573">
    <w:abstractNumId w:val="5"/>
  </w:num>
  <w:num w:numId="35" w16cid:durableId="1800491969">
    <w:abstractNumId w:val="4"/>
  </w:num>
  <w:num w:numId="36" w16cid:durableId="33433631">
    <w:abstractNumId w:val="8"/>
  </w:num>
  <w:num w:numId="37" w16cid:durableId="1613052784">
    <w:abstractNumId w:val="3"/>
  </w:num>
  <w:num w:numId="38" w16cid:durableId="489711524">
    <w:abstractNumId w:val="2"/>
  </w:num>
  <w:num w:numId="39" w16cid:durableId="1815833055">
    <w:abstractNumId w:val="1"/>
  </w:num>
  <w:num w:numId="40" w16cid:durableId="1713651218">
    <w:abstractNumId w:val="0"/>
  </w:num>
  <w:num w:numId="41" w16cid:durableId="1670593090">
    <w:abstractNumId w:val="10"/>
  </w:num>
  <w:num w:numId="42" w16cid:durableId="311911302">
    <w:abstractNumId w:val="10"/>
  </w:num>
  <w:num w:numId="43" w16cid:durableId="91438667">
    <w:abstractNumId w:val="10"/>
  </w:num>
  <w:num w:numId="44" w16cid:durableId="1626111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7/2025"/>
    <w:docVar w:name="dvlangue" w:val="SK"/>
    <w:docVar w:name="dvnumam" w:val="23"/>
    <w:docVar w:name="dvpe" w:val="770.210"/>
    <w:docVar w:name="dvrapporteur" w:val="Spravodajkyňa: "/>
    <w:docVar w:name="dvstar" w:val="***I"/>
    <w:docVar w:name="dvtitre" w:val="Legislatívne uznesenie Európskeho parlamentu z 22. mája 2025 o návrhu nariadenia Európskeho parlamentu a Rady o zmene ciel uplatniteľných na dovoz určitého tovaru s pôvodom v Ruskej federácii a Bieloruskej republike alebo priamo či nepriamo vyvážaného z Ruskej federácie a Bieloruskej republiky(COM(2025)0034 – C10-0006/2025 – 2025/0021(COD))"/>
  </w:docVars>
  <w:rsids>
    <w:rsidRoot w:val="00EC0D8D"/>
    <w:rsid w:val="00B52613"/>
    <w:rsid w:val="00D50C64"/>
    <w:rsid w:val="00EC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DDE3F"/>
  <w15:chartTrackingRefBased/>
  <w15:docId w15:val="{49873A09-1A87-49EC-8D2C-24290136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Pr>
      <w:noProof/>
      <w:sz w:val="24"/>
    </w:rPr>
  </w:style>
  <w:style w:type="table" w:customStyle="1" w:styleId="TableGrid1">
    <w:name w:val="Table Grid1"/>
    <w:basedOn w:val="TableNormal"/>
    <w:next w:val="TableGrid"/>
    <w:uiPriority w:val="39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A08D0-190B-4EC7-9284-7BEA22CA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290</Words>
  <Characters>1923</Characters>
  <Application>Microsoft Office Word</Application>
  <DocSecurity>0</DocSecurity>
  <Lines>87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3</cp:revision>
  <cp:lastPrinted>2004-11-19T15:42:00Z</cp:lastPrinted>
  <dcterms:created xsi:type="dcterms:W3CDTF">2025-05-22T08:24:00Z</dcterms:created>
  <dcterms:modified xsi:type="dcterms:W3CDTF">2025-07-03T14:42:00Z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