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13A1D" w14:paraId="1BFF123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0CBC8F9" w14:textId="77777777" w:rsidR="00751A4A" w:rsidRPr="00813A1D" w:rsidRDefault="00782821" w:rsidP="0010095E">
            <w:pPr>
              <w:pStyle w:val="EPName"/>
            </w:pPr>
            <w:r w:rsidRPr="00813A1D">
              <w:t>Evropský parlament</w:t>
            </w:r>
          </w:p>
          <w:p w14:paraId="44E9C8EE" w14:textId="77777777" w:rsidR="00751A4A" w:rsidRPr="00813A1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13A1D">
              <w:t>2024</w:t>
            </w:r>
            <w:r w:rsidR="00817416" w:rsidRPr="00813A1D">
              <w:t>-202</w:t>
            </w:r>
            <w:r w:rsidRPr="00813A1D">
              <w:t>9</w:t>
            </w:r>
          </w:p>
        </w:tc>
        <w:tc>
          <w:tcPr>
            <w:tcW w:w="2268" w:type="dxa"/>
            <w:shd w:val="clear" w:color="auto" w:fill="auto"/>
          </w:tcPr>
          <w:p w14:paraId="57CE2F72" w14:textId="77777777" w:rsidR="00751A4A" w:rsidRPr="00813A1D" w:rsidRDefault="00187494" w:rsidP="0010095E">
            <w:pPr>
              <w:pStyle w:val="EPLogo"/>
            </w:pPr>
            <w:r w:rsidRPr="00813A1D">
              <w:rPr>
                <w:noProof/>
                <w:lang w:val="en-GB"/>
              </w:rPr>
              <w:drawing>
                <wp:inline distT="0" distB="0" distL="0" distR="0" wp14:anchorId="1F4BB148" wp14:editId="35DCCEA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6A8DBE" w14:textId="77777777" w:rsidR="00D058B8" w:rsidRPr="00813A1D" w:rsidRDefault="00D058B8" w:rsidP="004C5D52">
      <w:pPr>
        <w:pStyle w:val="LineTop"/>
      </w:pPr>
    </w:p>
    <w:p w14:paraId="49CC699F" w14:textId="77777777" w:rsidR="00680577" w:rsidRPr="00813A1D" w:rsidRDefault="00782821" w:rsidP="00680577">
      <w:pPr>
        <w:pStyle w:val="EPBodyTA1"/>
      </w:pPr>
      <w:r w:rsidRPr="00813A1D">
        <w:t>PŘIJATÉ TEXTY</w:t>
      </w:r>
    </w:p>
    <w:p w14:paraId="41FCCA0F" w14:textId="77777777" w:rsidR="00D058B8" w:rsidRPr="00813A1D" w:rsidRDefault="00D058B8" w:rsidP="00D058B8">
      <w:pPr>
        <w:pStyle w:val="LineBottom"/>
      </w:pPr>
    </w:p>
    <w:p w14:paraId="19E07E5D" w14:textId="04132F68" w:rsidR="00782821" w:rsidRPr="00813A1D" w:rsidRDefault="00782821" w:rsidP="00782821">
      <w:pPr>
        <w:pStyle w:val="ATHeading1"/>
      </w:pPr>
      <w:bookmarkStart w:id="0" w:name="TANumber"/>
      <w:r w:rsidRPr="00813A1D">
        <w:t>P10_TA(2025)0</w:t>
      </w:r>
      <w:r w:rsidR="00570E13">
        <w:t>11</w:t>
      </w:r>
      <w:r w:rsidRPr="00813A1D">
        <w:t>0</w:t>
      </w:r>
      <w:bookmarkEnd w:id="0"/>
    </w:p>
    <w:p w14:paraId="545C7240" w14:textId="40A14AC7" w:rsidR="00782821" w:rsidRPr="005952FE" w:rsidRDefault="003C2CD7" w:rsidP="00782821">
      <w:pPr>
        <w:pStyle w:val="ATHeading2"/>
      </w:pPr>
      <w:r w:rsidRPr="003C2CD7">
        <w:t>Uznání rovnocennosti Moldavsku a Ukrajině</w:t>
      </w:r>
      <w:r w:rsidR="005952FE">
        <w:t xml:space="preserve"> ohledně přehlídek</w:t>
      </w:r>
      <w:r w:rsidRPr="005952FE">
        <w:t xml:space="preserve"> porostu a produkci osiva</w:t>
      </w:r>
    </w:p>
    <w:p w14:paraId="7997F17D" w14:textId="77777777" w:rsidR="00782821" w:rsidRPr="00813A1D" w:rsidRDefault="00782821" w:rsidP="00782821">
      <w:pPr>
        <w:rPr>
          <w:i/>
          <w:vanish/>
        </w:rPr>
      </w:pPr>
      <w:r w:rsidRPr="00813A1D">
        <w:rPr>
          <w:i/>
        </w:rPr>
        <w:fldChar w:fldCharType="begin"/>
      </w:r>
      <w:r w:rsidRPr="00813A1D">
        <w:rPr>
          <w:i/>
        </w:rPr>
        <w:instrText xml:space="preserve"> TC"(</w:instrText>
      </w:r>
      <w:bookmarkStart w:id="1" w:name="DocNumber"/>
      <w:r w:rsidRPr="00813A1D">
        <w:rPr>
          <w:i/>
        </w:rPr>
        <w:instrText>A10-0043/2025</w:instrText>
      </w:r>
      <w:bookmarkEnd w:id="1"/>
      <w:r w:rsidRPr="00813A1D">
        <w:rPr>
          <w:i/>
        </w:rPr>
        <w:instrText xml:space="preserve"> - Zpravodajka: Veronika Vrecionová)"\l3 \n&gt; \* MERGEFORMAT </w:instrText>
      </w:r>
      <w:r w:rsidRPr="00813A1D">
        <w:rPr>
          <w:i/>
        </w:rPr>
        <w:fldChar w:fldCharType="end"/>
      </w:r>
    </w:p>
    <w:p w14:paraId="55184C5C" w14:textId="77777777" w:rsidR="00782821" w:rsidRPr="00813A1D" w:rsidRDefault="00782821" w:rsidP="00782821">
      <w:pPr>
        <w:rPr>
          <w:vanish/>
        </w:rPr>
      </w:pPr>
      <w:bookmarkStart w:id="2" w:name="Commission"/>
      <w:r w:rsidRPr="00813A1D">
        <w:rPr>
          <w:vanish/>
        </w:rPr>
        <w:t>Výbor pro zemědělství a rozvoj venkova</w:t>
      </w:r>
      <w:bookmarkEnd w:id="2"/>
    </w:p>
    <w:p w14:paraId="20363A51" w14:textId="77777777" w:rsidR="00782821" w:rsidRPr="00813A1D" w:rsidRDefault="00782821" w:rsidP="00782821">
      <w:pPr>
        <w:rPr>
          <w:vanish/>
        </w:rPr>
      </w:pPr>
      <w:bookmarkStart w:id="3" w:name="PE"/>
      <w:r w:rsidRPr="00813A1D">
        <w:rPr>
          <w:vanish/>
        </w:rPr>
        <w:t>PE766.952</w:t>
      </w:r>
      <w:bookmarkEnd w:id="3"/>
    </w:p>
    <w:p w14:paraId="5B68078C" w14:textId="77777777" w:rsidR="00782821" w:rsidRPr="00813A1D" w:rsidRDefault="00782821" w:rsidP="00782821">
      <w:pPr>
        <w:pStyle w:val="ATHeading3"/>
      </w:pPr>
      <w:bookmarkStart w:id="4" w:name="Sujet"/>
      <w:r w:rsidRPr="00813A1D">
        <w:t>Legislativní usnesení Evropského parlamentu ze dne 22. května 2025 o návrhu rozhodnutí Evropského parlamentu a Rady, kterým se mění rozhodnutí Rady 2003/17/ES, pokud jde o rovnocennost přehlídek porostu prováděných v Moldavské republice u množitelského porostu pro produkci osiva pícnin a rovnocennost osiva pícnin vyprodukovaného v Moldavské republice a pokud jde o rovnocennost přehlídek porostu prováděných na Ukrajině u množitelského porostu pro produkci osiva řepy a množitelského porostu pro produkci osiva olejnin a rovnocennost osiva řepy a osiva olejnin vyprodukovaných na Ukrajině</w:t>
      </w:r>
      <w:bookmarkEnd w:id="4"/>
      <w:r w:rsidRPr="00813A1D">
        <w:t xml:space="preserve"> </w:t>
      </w:r>
      <w:bookmarkStart w:id="5" w:name="References"/>
      <w:r w:rsidRPr="00813A1D">
        <w:t>(COM(2024)0052 – C9-0026/2024 – 2024/0027(COD))</w:t>
      </w:r>
      <w:bookmarkEnd w:id="5"/>
    </w:p>
    <w:p w14:paraId="40F662B2" w14:textId="77777777" w:rsidR="002F7988" w:rsidRPr="00813A1D" w:rsidRDefault="002F7988" w:rsidP="002F7988">
      <w:pPr>
        <w:pStyle w:val="NormalBold"/>
      </w:pPr>
      <w:r w:rsidRPr="00813A1D">
        <w:t>(Řádný legislativní postup: první čtení)</w:t>
      </w:r>
    </w:p>
    <w:p w14:paraId="47352287" w14:textId="77777777" w:rsidR="002F7988" w:rsidRPr="00813A1D" w:rsidRDefault="002F7988" w:rsidP="002F7988">
      <w:pPr>
        <w:pStyle w:val="EPComma"/>
      </w:pPr>
      <w:r w:rsidRPr="00813A1D">
        <w:rPr>
          <w:i/>
        </w:rPr>
        <w:t>Evropský parlament</w:t>
      </w:r>
      <w:r w:rsidRPr="00813A1D">
        <w:t>,</w:t>
      </w:r>
    </w:p>
    <w:p w14:paraId="5C7A630B" w14:textId="77777777" w:rsidR="002F7988" w:rsidRPr="00813A1D" w:rsidRDefault="002F7988" w:rsidP="002F7988">
      <w:pPr>
        <w:pStyle w:val="NormalHanging12a"/>
      </w:pPr>
      <w:r w:rsidRPr="00813A1D">
        <w:t>–</w:t>
      </w:r>
      <w:r w:rsidRPr="00813A1D">
        <w:tab/>
        <w:t>s ohledem na návrh Komise předložený Evropskému parlamentu a Radě (</w:t>
      </w:r>
      <w:proofErr w:type="gramStart"/>
      <w:r w:rsidRPr="00813A1D">
        <w:t>COM(</w:t>
      </w:r>
      <w:proofErr w:type="gramEnd"/>
      <w:r w:rsidRPr="00813A1D">
        <w:t>2024)0052),</w:t>
      </w:r>
    </w:p>
    <w:p w14:paraId="5E367A35" w14:textId="54FE1B71" w:rsidR="002F7988" w:rsidRPr="00813A1D" w:rsidRDefault="002F7988" w:rsidP="002F7988">
      <w:pPr>
        <w:pStyle w:val="NormalHanging12a"/>
      </w:pPr>
      <w:r w:rsidRPr="00813A1D">
        <w:t>–</w:t>
      </w:r>
      <w:r w:rsidRPr="00813A1D">
        <w:tab/>
        <w:t>s ohledem na čl. 294 odst. 2 a článek 43 odst. 2 Smlouvy o fungování Evropské unie, v souladu s</w:t>
      </w:r>
      <w:r w:rsidR="00456753">
        <w:t>e</w:t>
      </w:r>
      <w:r w:rsidRPr="00813A1D">
        <w:t> </w:t>
      </w:r>
      <w:r w:rsidR="00456753">
        <w:t>kterými</w:t>
      </w:r>
      <w:r w:rsidRPr="00813A1D">
        <w:t xml:space="preserve"> Komise předložila svůj návrh Parlamentu (C9-0026/2024),</w:t>
      </w:r>
    </w:p>
    <w:p w14:paraId="6AFB1B98" w14:textId="77777777" w:rsidR="002F7988" w:rsidRPr="00813A1D" w:rsidRDefault="002F7988" w:rsidP="002F7988">
      <w:pPr>
        <w:pStyle w:val="NormalHanging12a"/>
      </w:pPr>
      <w:r w:rsidRPr="00813A1D">
        <w:t>–</w:t>
      </w:r>
      <w:r w:rsidRPr="00813A1D">
        <w:tab/>
        <w:t>s ohledem na čl. 294 odst. 3 Smlouvy o fungování Evropské unie,</w:t>
      </w:r>
    </w:p>
    <w:p w14:paraId="3E5E75FA" w14:textId="02B44DC0" w:rsidR="002F7988" w:rsidRDefault="002F7988" w:rsidP="002F7988">
      <w:pPr>
        <w:pStyle w:val="NormalHanging12a"/>
      </w:pPr>
      <w:r w:rsidRPr="00813A1D">
        <w:t>–</w:t>
      </w:r>
      <w:r w:rsidRPr="00813A1D">
        <w:tab/>
        <w:t>s ohledem na stanovisko Evropského hospodářského a sociálního výboru ze dne 20. března 2024</w:t>
      </w:r>
      <w:r w:rsidRPr="00813A1D">
        <w:rPr>
          <w:rStyle w:val="FootnoteReference"/>
        </w:rPr>
        <w:footnoteReference w:id="1"/>
      </w:r>
      <w:r w:rsidRPr="00813A1D">
        <w:t>,</w:t>
      </w:r>
    </w:p>
    <w:p w14:paraId="5A1764BD" w14:textId="6B1DF72F" w:rsidR="00713365" w:rsidRPr="00813A1D" w:rsidRDefault="00713365" w:rsidP="002F7988">
      <w:pPr>
        <w:pStyle w:val="NormalHanging12a"/>
      </w:pPr>
      <w:r>
        <w:t>–</w:t>
      </w:r>
      <w:r>
        <w:tab/>
      </w:r>
      <w:r w:rsidRPr="00713365">
        <w:t xml:space="preserve">s ohledem na to, že se zástupce Rady dopisem ze dne 30. </w:t>
      </w:r>
      <w:r>
        <w:t>dubna</w:t>
      </w:r>
      <w:r w:rsidRPr="00713365">
        <w:t xml:space="preserve"> 202</w:t>
      </w:r>
      <w:r>
        <w:t>5</w:t>
      </w:r>
      <w:r w:rsidRPr="00713365">
        <w:t xml:space="preserve"> zavázal schválit postoj Parlamentu v souladu s čl. 294 odst. 4 Smlouvy o fungování Evropské unie,</w:t>
      </w:r>
    </w:p>
    <w:p w14:paraId="48E0D70E" w14:textId="77777777" w:rsidR="002F7988" w:rsidRPr="00813A1D" w:rsidRDefault="002F7988" w:rsidP="002F7988">
      <w:pPr>
        <w:pStyle w:val="NormalHanging12a"/>
      </w:pPr>
      <w:r w:rsidRPr="00813A1D">
        <w:t>–</w:t>
      </w:r>
      <w:r w:rsidRPr="00813A1D">
        <w:tab/>
        <w:t>s ohledem na článek 60 jednacího řádu,</w:t>
      </w:r>
    </w:p>
    <w:p w14:paraId="74A708C1" w14:textId="77777777" w:rsidR="002F7988" w:rsidRPr="00813A1D" w:rsidRDefault="002F7988" w:rsidP="002F7988">
      <w:pPr>
        <w:pStyle w:val="NormalHanging12a"/>
      </w:pPr>
      <w:r w:rsidRPr="00813A1D">
        <w:t>–</w:t>
      </w:r>
      <w:r w:rsidRPr="00813A1D">
        <w:tab/>
        <w:t>s ohledem na zprávu Výboru pro zemědělství a rozvoj venkova (A10</w:t>
      </w:r>
      <w:r w:rsidRPr="00813A1D">
        <w:noBreakHyphen/>
        <w:t>0043/2025),</w:t>
      </w:r>
    </w:p>
    <w:p w14:paraId="4707B7B1" w14:textId="77777777" w:rsidR="002F7988" w:rsidRPr="00813A1D" w:rsidRDefault="002F7988" w:rsidP="002F7988">
      <w:pPr>
        <w:pStyle w:val="NormalHanging12a"/>
      </w:pPr>
      <w:r w:rsidRPr="00813A1D">
        <w:lastRenderedPageBreak/>
        <w:t>1.</w:t>
      </w:r>
      <w:r w:rsidRPr="00813A1D">
        <w:tab/>
        <w:t>přijímá níže uvedený postoj v prvním čtení;</w:t>
      </w:r>
    </w:p>
    <w:p w14:paraId="0E1EEA94" w14:textId="77777777" w:rsidR="002F7988" w:rsidRPr="00813A1D" w:rsidRDefault="002F7988" w:rsidP="002F7988">
      <w:pPr>
        <w:pStyle w:val="NormalHanging12a"/>
      </w:pPr>
      <w:r w:rsidRPr="00813A1D">
        <w:t>2.</w:t>
      </w:r>
      <w:r w:rsidRPr="00813A1D">
        <w:tab/>
        <w:t>vyzývá Komisi, aby věc znovu postoupila Parlamentu, jestliže svůj návrh nahradí jiným textem, podstatně jej změní nebo má v úmyslu jej podstatně změnit;</w:t>
      </w:r>
    </w:p>
    <w:p w14:paraId="5319EB1C" w14:textId="77777777" w:rsidR="002F7988" w:rsidRPr="00813A1D" w:rsidRDefault="002F7988" w:rsidP="002F7988">
      <w:pPr>
        <w:pStyle w:val="NormalHanging12a"/>
      </w:pPr>
      <w:r w:rsidRPr="00813A1D">
        <w:t>3.</w:t>
      </w:r>
      <w:r w:rsidRPr="00813A1D">
        <w:tab/>
        <w:t>pověřuje svou předsedkyni, aby předala postoj Parlamentu Radě a Komisi, jakož i vnitrostátním parlamentům.</w:t>
      </w:r>
    </w:p>
    <w:p w14:paraId="75E024BE" w14:textId="77777777" w:rsidR="00533A63" w:rsidRDefault="00533A63" w:rsidP="002F7988">
      <w:pPr>
        <w:widowControl/>
        <w:sectPr w:rsidR="00533A63" w:rsidSect="00D8537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EDD22C6" w14:textId="77777777" w:rsidR="008E0227" w:rsidRPr="00556D52" w:rsidRDefault="008E0227" w:rsidP="008E022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556D52">
        <w:rPr>
          <w:rFonts w:eastAsia="Calibri"/>
          <w:b/>
          <w:bCs/>
          <w:color w:val="000000"/>
          <w:szCs w:val="24"/>
        </w:rPr>
        <w:lastRenderedPageBreak/>
        <w:t>P10_TC1-COD(2024)0027</w:t>
      </w:r>
    </w:p>
    <w:p w14:paraId="09DC5EBA" w14:textId="71A26D91" w:rsidR="00264C0C" w:rsidRDefault="008E0227" w:rsidP="007F0462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rFonts w:eastAsia="Calibri"/>
          <w:b/>
          <w:noProof/>
          <w:szCs w:val="22"/>
          <w:lang w:eastAsia="en-US"/>
        </w:rPr>
      </w:pPr>
      <w:r w:rsidRPr="008E0227">
        <w:rPr>
          <w:rFonts w:eastAsia="Calibri"/>
          <w:b/>
          <w:bCs/>
          <w:szCs w:val="24"/>
        </w:rPr>
        <w:t>Postoj Evropského parlamentu přijatý v prvním čtení dne 2</w:t>
      </w:r>
      <w:r w:rsidR="002F7EC1">
        <w:rPr>
          <w:rFonts w:eastAsia="Calibri"/>
          <w:b/>
          <w:bCs/>
          <w:szCs w:val="24"/>
        </w:rPr>
        <w:t>2</w:t>
      </w:r>
      <w:r w:rsidRPr="008E0227">
        <w:rPr>
          <w:rFonts w:eastAsia="Calibri"/>
          <w:b/>
          <w:bCs/>
          <w:szCs w:val="24"/>
        </w:rPr>
        <w:t xml:space="preserve">. </w:t>
      </w:r>
      <w:r w:rsidR="002F7EC1">
        <w:rPr>
          <w:rFonts w:eastAsia="Calibri"/>
          <w:b/>
          <w:bCs/>
          <w:szCs w:val="24"/>
        </w:rPr>
        <w:t>května</w:t>
      </w:r>
      <w:r w:rsidRPr="008E0227">
        <w:rPr>
          <w:rFonts w:eastAsia="Calibri"/>
          <w:b/>
          <w:bCs/>
          <w:szCs w:val="24"/>
        </w:rPr>
        <w:t xml:space="preserve"> 2025 k přijetí </w:t>
      </w:r>
      <w:r w:rsidR="007F0462" w:rsidRPr="007F0462">
        <w:rPr>
          <w:rFonts w:eastAsia="Calibri"/>
          <w:b/>
          <w:noProof/>
          <w:szCs w:val="22"/>
          <w:lang w:eastAsia="en-US"/>
        </w:rPr>
        <w:t xml:space="preserve">rozhodnutí Evropského parlamentu a Rady </w:t>
      </w:r>
      <w:r w:rsidR="00264C0C" w:rsidRPr="007F0462">
        <w:rPr>
          <w:rFonts w:eastAsia="Calibri"/>
          <w:b/>
          <w:noProof/>
          <w:szCs w:val="22"/>
          <w:lang w:eastAsia="en-US"/>
        </w:rPr>
        <w:t>(EU) 2025/...</w:t>
      </w:r>
      <w:r w:rsidR="00264C0C">
        <w:rPr>
          <w:rFonts w:eastAsia="Calibri"/>
          <w:b/>
          <w:noProof/>
          <w:szCs w:val="22"/>
          <w:lang w:eastAsia="en-US"/>
        </w:rPr>
        <w:t>,</w:t>
      </w:r>
      <w:r w:rsidR="007F0462">
        <w:rPr>
          <w:rFonts w:eastAsia="Calibri"/>
          <w:noProof/>
          <w:szCs w:val="22"/>
          <w:lang w:eastAsia="en-US"/>
        </w:rPr>
        <w:t xml:space="preserve"> </w:t>
      </w:r>
      <w:r w:rsidR="00264C0C" w:rsidRPr="00C56956">
        <w:rPr>
          <w:rFonts w:eastAsia="Calibri"/>
          <w:b/>
          <w:noProof/>
          <w:szCs w:val="22"/>
          <w:lang w:eastAsia="en-US"/>
        </w:rPr>
        <w:t>kterým se mění rozhodnutí Rady 2003/17/ES, pokud jde o rovnocennost přehlídek porostu prováděných v Moldavské republice u množitelského porostu pro produkci osiva pícnin a rovnocennost osiva pícnin vyprodukovaného v Moldavské republice a pokud jde o rovnocennost přehlídek porostu prováděných na Ukrajině u množitelského porostu pro produkci osiva řepy a množitelského porostu pro produkci osiva olejnin a rovnocennost osiva řepy a osiva olejnin vyprodukovaných na Ukrajině</w:t>
      </w:r>
    </w:p>
    <w:p w14:paraId="59CA5C2F" w14:textId="0E3FEEC2" w:rsidR="00CA1F52" w:rsidRPr="00C56956" w:rsidRDefault="00CA1F52" w:rsidP="00CA1F52">
      <w:pPr>
        <w:spacing w:before="360"/>
        <w:rPr>
          <w:rFonts w:eastAsia="Calibri"/>
          <w:b/>
          <w:noProof/>
          <w:szCs w:val="22"/>
          <w:lang w:eastAsia="en-US"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rozhodnutí</w:t>
      </w:r>
      <w:r w:rsidRPr="008977C0">
        <w:rPr>
          <w:i/>
        </w:rPr>
        <w:t xml:space="preserve"> (EU) </w:t>
      </w:r>
      <w:r>
        <w:rPr>
          <w:i/>
        </w:rPr>
        <w:t>202</w:t>
      </w:r>
      <w:r>
        <w:rPr>
          <w:i/>
        </w:rPr>
        <w:t>5/1228</w:t>
      </w:r>
      <w:r>
        <w:rPr>
          <w:i/>
        </w:rPr>
        <w:t>.)</w:t>
      </w:r>
    </w:p>
    <w:sectPr w:rsidR="00CA1F52" w:rsidRPr="00C56956" w:rsidSect="00D8537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41BEA" w14:textId="77777777" w:rsidR="00782821" w:rsidRPr="00D85378" w:rsidRDefault="00782821">
      <w:r w:rsidRPr="00D85378">
        <w:separator/>
      </w:r>
    </w:p>
  </w:endnote>
  <w:endnote w:type="continuationSeparator" w:id="0">
    <w:p w14:paraId="5F25579A" w14:textId="77777777" w:rsidR="00782821" w:rsidRPr="00D85378" w:rsidRDefault="00782821">
      <w:r w:rsidRPr="00D853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FE036" w14:textId="77777777" w:rsidR="00064002" w:rsidRPr="00D8537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B785E" w14:textId="77777777" w:rsidR="00064002" w:rsidRPr="00D8537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1036F" w14:textId="77777777" w:rsidR="00064002" w:rsidRPr="00D8537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AABCA" w14:textId="77777777" w:rsidR="00782821" w:rsidRPr="00D85378" w:rsidRDefault="00782821">
      <w:r w:rsidRPr="00D85378">
        <w:separator/>
      </w:r>
    </w:p>
  </w:footnote>
  <w:footnote w:type="continuationSeparator" w:id="0">
    <w:p w14:paraId="6F870BD1" w14:textId="77777777" w:rsidR="00782821" w:rsidRPr="00D85378" w:rsidRDefault="00782821">
      <w:r w:rsidRPr="00D85378">
        <w:continuationSeparator/>
      </w:r>
    </w:p>
  </w:footnote>
  <w:footnote w:id="1">
    <w:p w14:paraId="069DD9C7" w14:textId="03897ECE" w:rsidR="002F7988" w:rsidRPr="00D85378" w:rsidRDefault="002F7988" w:rsidP="00D85378">
      <w:pPr>
        <w:pStyle w:val="FootnoteText"/>
        <w:ind w:left="567" w:hanging="567"/>
        <w:rPr>
          <w:sz w:val="24"/>
          <w:lang w:val="cs-CZ"/>
        </w:rPr>
      </w:pPr>
      <w:r w:rsidRPr="00D85378">
        <w:rPr>
          <w:rStyle w:val="FootnoteReference"/>
          <w:sz w:val="24"/>
          <w:lang w:val="cs-CZ"/>
        </w:rPr>
        <w:footnoteRef/>
      </w:r>
      <w:r w:rsidR="00D85378" w:rsidRPr="00D85378">
        <w:rPr>
          <w:sz w:val="24"/>
          <w:szCs w:val="24"/>
          <w:lang w:val="cs-CZ"/>
        </w:rPr>
        <w:t xml:space="preserve"> </w:t>
      </w:r>
      <w:r w:rsidR="00D85378" w:rsidRPr="00D85378">
        <w:rPr>
          <w:sz w:val="24"/>
          <w:szCs w:val="24"/>
          <w:lang w:val="cs-CZ"/>
        </w:rPr>
        <w:tab/>
      </w:r>
      <w:proofErr w:type="spellStart"/>
      <w:r w:rsidRPr="00D85378">
        <w:rPr>
          <w:sz w:val="24"/>
          <w:szCs w:val="24"/>
          <w:lang w:val="cs-CZ"/>
        </w:rPr>
        <w:t>Úř</w:t>
      </w:r>
      <w:proofErr w:type="spellEnd"/>
      <w:r w:rsidRPr="00D85378">
        <w:rPr>
          <w:sz w:val="24"/>
          <w:szCs w:val="24"/>
          <w:lang w:val="cs-CZ"/>
        </w:rPr>
        <w:t xml:space="preserve">. </w:t>
      </w:r>
      <w:proofErr w:type="spellStart"/>
      <w:r w:rsidRPr="00D85378">
        <w:rPr>
          <w:sz w:val="24"/>
          <w:szCs w:val="24"/>
          <w:lang w:val="cs-CZ"/>
        </w:rPr>
        <w:t>věst</w:t>
      </w:r>
      <w:proofErr w:type="spellEnd"/>
      <w:r w:rsidRPr="00D85378">
        <w:rPr>
          <w:sz w:val="24"/>
          <w:szCs w:val="24"/>
          <w:lang w:val="cs-CZ"/>
        </w:rPr>
        <w:t>. C</w:t>
      </w:r>
      <w:r w:rsidRPr="00D85378">
        <w:rPr>
          <w:color w:val="333333"/>
          <w:sz w:val="24"/>
          <w:szCs w:val="24"/>
          <w:shd w:val="clear" w:color="auto" w:fill="FFFFFF"/>
          <w:lang w:val="cs-CZ"/>
        </w:rPr>
        <w:t xml:space="preserve">, </w:t>
      </w:r>
      <w:r w:rsidRPr="00D85378">
        <w:rPr>
          <w:sz w:val="24"/>
          <w:szCs w:val="24"/>
          <w:lang w:val="cs-CZ"/>
        </w:rPr>
        <w:t>C/2024/3386, 31.5.2024, ELI:</w:t>
      </w:r>
      <w:r w:rsidRPr="00D85378">
        <w:rPr>
          <w:color w:val="333333"/>
          <w:sz w:val="24"/>
          <w:szCs w:val="24"/>
          <w:shd w:val="clear" w:color="auto" w:fill="FFFFFF"/>
          <w:lang w:val="cs-CZ"/>
        </w:rPr>
        <w:t> </w:t>
      </w:r>
      <w:hyperlink r:id="rId1" w:tgtFrame="_blank" w:tooltip="Umožňuje přístup k tomuto dokumentu prostřednictvím jeho identifikátoru ELI URI." w:history="1">
        <w:r w:rsidRPr="002867EE">
          <w:rPr>
            <w:rStyle w:val="Hyperlink"/>
            <w:sz w:val="24"/>
            <w:szCs w:val="24"/>
            <w:lang w:val="cs-CZ"/>
          </w:rPr>
          <w:t>http://data.europa.eu/eli/C/2024/3386/oj</w:t>
        </w:r>
      </w:hyperlink>
      <w:r w:rsidRPr="00D85378">
        <w:rPr>
          <w:sz w:val="24"/>
          <w:szCs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18FB1" w14:textId="77777777" w:rsidR="00064002" w:rsidRPr="00D8537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D3FF5" w14:textId="77777777" w:rsidR="00064002" w:rsidRPr="00D8537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BCBC2" w14:textId="77777777" w:rsidR="00064002" w:rsidRPr="00D8537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63274793">
    <w:abstractNumId w:val="9"/>
  </w:num>
  <w:num w:numId="2" w16cid:durableId="798569273">
    <w:abstractNumId w:val="9"/>
  </w:num>
  <w:num w:numId="3" w16cid:durableId="1409114125">
    <w:abstractNumId w:val="7"/>
  </w:num>
  <w:num w:numId="4" w16cid:durableId="261650017">
    <w:abstractNumId w:val="7"/>
  </w:num>
  <w:num w:numId="5" w16cid:durableId="1324894604">
    <w:abstractNumId w:val="6"/>
  </w:num>
  <w:num w:numId="6" w16cid:durableId="301078199">
    <w:abstractNumId w:val="6"/>
  </w:num>
  <w:num w:numId="7" w16cid:durableId="1995909105">
    <w:abstractNumId w:val="5"/>
  </w:num>
  <w:num w:numId="8" w16cid:durableId="1873568290">
    <w:abstractNumId w:val="5"/>
  </w:num>
  <w:num w:numId="9" w16cid:durableId="55666003">
    <w:abstractNumId w:val="4"/>
  </w:num>
  <w:num w:numId="10" w16cid:durableId="834608635">
    <w:abstractNumId w:val="4"/>
  </w:num>
  <w:num w:numId="11" w16cid:durableId="1356687303">
    <w:abstractNumId w:val="8"/>
  </w:num>
  <w:num w:numId="12" w16cid:durableId="1661618870">
    <w:abstractNumId w:val="8"/>
  </w:num>
  <w:num w:numId="13" w16cid:durableId="1670055474">
    <w:abstractNumId w:val="3"/>
  </w:num>
  <w:num w:numId="14" w16cid:durableId="2002272497">
    <w:abstractNumId w:val="3"/>
  </w:num>
  <w:num w:numId="15" w16cid:durableId="804080092">
    <w:abstractNumId w:val="2"/>
  </w:num>
  <w:num w:numId="16" w16cid:durableId="92557440">
    <w:abstractNumId w:val="2"/>
  </w:num>
  <w:num w:numId="17" w16cid:durableId="1661688685">
    <w:abstractNumId w:val="1"/>
  </w:num>
  <w:num w:numId="18" w16cid:durableId="1236666086">
    <w:abstractNumId w:val="1"/>
  </w:num>
  <w:num w:numId="19" w16cid:durableId="1257594378">
    <w:abstractNumId w:val="0"/>
  </w:num>
  <w:num w:numId="20" w16cid:durableId="1848907316">
    <w:abstractNumId w:val="0"/>
  </w:num>
  <w:num w:numId="21" w16cid:durableId="758912077">
    <w:abstractNumId w:val="9"/>
  </w:num>
  <w:num w:numId="22" w16cid:durableId="771167228">
    <w:abstractNumId w:val="7"/>
  </w:num>
  <w:num w:numId="23" w16cid:durableId="1543400280">
    <w:abstractNumId w:val="6"/>
  </w:num>
  <w:num w:numId="24" w16cid:durableId="385300616">
    <w:abstractNumId w:val="5"/>
  </w:num>
  <w:num w:numId="25" w16cid:durableId="1166045700">
    <w:abstractNumId w:val="4"/>
  </w:num>
  <w:num w:numId="26" w16cid:durableId="1817214641">
    <w:abstractNumId w:val="8"/>
  </w:num>
  <w:num w:numId="27" w16cid:durableId="289291253">
    <w:abstractNumId w:val="3"/>
  </w:num>
  <w:num w:numId="28" w16cid:durableId="1389306533">
    <w:abstractNumId w:val="2"/>
  </w:num>
  <w:num w:numId="29" w16cid:durableId="1255431792">
    <w:abstractNumId w:val="1"/>
  </w:num>
  <w:num w:numId="30" w16cid:durableId="387076956">
    <w:abstractNumId w:val="0"/>
  </w:num>
  <w:num w:numId="31" w16cid:durableId="1142305570">
    <w:abstractNumId w:val="9"/>
  </w:num>
  <w:num w:numId="32" w16cid:durableId="549267661">
    <w:abstractNumId w:val="7"/>
  </w:num>
  <w:num w:numId="33" w16cid:durableId="635987495">
    <w:abstractNumId w:val="6"/>
  </w:num>
  <w:num w:numId="34" w16cid:durableId="2120251693">
    <w:abstractNumId w:val="5"/>
  </w:num>
  <w:num w:numId="35" w16cid:durableId="1051345321">
    <w:abstractNumId w:val="4"/>
  </w:num>
  <w:num w:numId="36" w16cid:durableId="456072753">
    <w:abstractNumId w:val="8"/>
  </w:num>
  <w:num w:numId="37" w16cid:durableId="2079589701">
    <w:abstractNumId w:val="3"/>
  </w:num>
  <w:num w:numId="38" w16cid:durableId="1339387834">
    <w:abstractNumId w:val="2"/>
  </w:num>
  <w:num w:numId="39" w16cid:durableId="2022584959">
    <w:abstractNumId w:val="1"/>
  </w:num>
  <w:num w:numId="40" w16cid:durableId="706756798">
    <w:abstractNumId w:val="0"/>
  </w:num>
  <w:num w:numId="41" w16cid:durableId="74060328">
    <w:abstractNumId w:val="10"/>
  </w:num>
  <w:num w:numId="42" w16cid:durableId="532575301">
    <w:abstractNumId w:val="10"/>
  </w:num>
  <w:num w:numId="43" w16cid:durableId="2079403125">
    <w:abstractNumId w:val="10"/>
  </w:num>
  <w:num w:numId="44" w16cid:durableId="12567862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43/2025"/>
    <w:docVar w:name="dvlangue" w:val="CS"/>
    <w:docVar w:name="dvnumam" w:val="2"/>
    <w:docVar w:name="dvpe" w:val="766.952"/>
    <w:docVar w:name="dvrapporteur" w:val="Zpravodajka: "/>
    <w:docVar w:name="dvstar" w:val="***I"/>
    <w:docVar w:name="dvtitre" w:val="Legislativní usnesení Evropského parlamentu ze dne 22. května 2025 o návrhu rozhodnutí Evropského parlamentu a Rady, kterým se mění rozhodnutí Rady 2003/17/ES, pokud jde o rovnocennost přehlídek porostu prováděných v Moldavské republice u množitelského porostu pro produkci osiva pícnin a rovnocennost osiva pícnin vyprodukovaného v Moldavské republice a pokud jde o rovnocennost přehlídek porostu prováděných na Ukrajině u množitelského porostu pro produkci osiva řepy a množitelského porostu pro produkci osiva olejnin a rovnocennost osiva řepy a osiva olejnin vyprodukovaných na Ukrajině(COM(2024)0052 – C9-0026/2024 – 2024/0027(COD))"/>
  </w:docVars>
  <w:rsids>
    <w:rsidRoot w:val="00782821"/>
    <w:rsid w:val="00002272"/>
    <w:rsid w:val="00013ACA"/>
    <w:rsid w:val="00064002"/>
    <w:rsid w:val="000677B9"/>
    <w:rsid w:val="000831BA"/>
    <w:rsid w:val="000A42CC"/>
    <w:rsid w:val="000E7DD9"/>
    <w:rsid w:val="0010095E"/>
    <w:rsid w:val="00123941"/>
    <w:rsid w:val="00125B37"/>
    <w:rsid w:val="00187494"/>
    <w:rsid w:val="001F32AE"/>
    <w:rsid w:val="00207105"/>
    <w:rsid w:val="00264C0C"/>
    <w:rsid w:val="002767FF"/>
    <w:rsid w:val="002867EE"/>
    <w:rsid w:val="002B18FE"/>
    <w:rsid w:val="002B5493"/>
    <w:rsid w:val="002C52A7"/>
    <w:rsid w:val="002F7988"/>
    <w:rsid w:val="002F7EC1"/>
    <w:rsid w:val="00343214"/>
    <w:rsid w:val="00361C00"/>
    <w:rsid w:val="00395FA1"/>
    <w:rsid w:val="003C2CD7"/>
    <w:rsid w:val="003C601F"/>
    <w:rsid w:val="003E15D4"/>
    <w:rsid w:val="00411CCE"/>
    <w:rsid w:val="0041666E"/>
    <w:rsid w:val="00421060"/>
    <w:rsid w:val="00456753"/>
    <w:rsid w:val="00471C19"/>
    <w:rsid w:val="004867E3"/>
    <w:rsid w:val="00494A28"/>
    <w:rsid w:val="004C0004"/>
    <w:rsid w:val="004C5D52"/>
    <w:rsid w:val="0050519A"/>
    <w:rsid w:val="005072A1"/>
    <w:rsid w:val="00514517"/>
    <w:rsid w:val="00533A63"/>
    <w:rsid w:val="00545827"/>
    <w:rsid w:val="00560270"/>
    <w:rsid w:val="00570E13"/>
    <w:rsid w:val="00591668"/>
    <w:rsid w:val="005952FE"/>
    <w:rsid w:val="005C2568"/>
    <w:rsid w:val="005F1B17"/>
    <w:rsid w:val="006037C0"/>
    <w:rsid w:val="006631B6"/>
    <w:rsid w:val="00680577"/>
    <w:rsid w:val="006C52AF"/>
    <w:rsid w:val="006D3D20"/>
    <w:rsid w:val="006F74FA"/>
    <w:rsid w:val="00713365"/>
    <w:rsid w:val="00731ADD"/>
    <w:rsid w:val="00734777"/>
    <w:rsid w:val="00747932"/>
    <w:rsid w:val="00751A4A"/>
    <w:rsid w:val="00756632"/>
    <w:rsid w:val="00762C74"/>
    <w:rsid w:val="00782821"/>
    <w:rsid w:val="00786EC0"/>
    <w:rsid w:val="007A327F"/>
    <w:rsid w:val="007D1690"/>
    <w:rsid w:val="007E22AD"/>
    <w:rsid w:val="007F0462"/>
    <w:rsid w:val="00813A1D"/>
    <w:rsid w:val="00817416"/>
    <w:rsid w:val="00842779"/>
    <w:rsid w:val="00865F67"/>
    <w:rsid w:val="00881A7B"/>
    <w:rsid w:val="008840E5"/>
    <w:rsid w:val="00887B3E"/>
    <w:rsid w:val="008C2AC6"/>
    <w:rsid w:val="008E0227"/>
    <w:rsid w:val="00930C23"/>
    <w:rsid w:val="0093193B"/>
    <w:rsid w:val="009509D8"/>
    <w:rsid w:val="00950B64"/>
    <w:rsid w:val="00981893"/>
    <w:rsid w:val="00A1687D"/>
    <w:rsid w:val="00A2386F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2EEB"/>
    <w:rsid w:val="00B639B1"/>
    <w:rsid w:val="00BD48FE"/>
    <w:rsid w:val="00BD7BD8"/>
    <w:rsid w:val="00BE6ADC"/>
    <w:rsid w:val="00C05BFE"/>
    <w:rsid w:val="00C23CD4"/>
    <w:rsid w:val="00C56956"/>
    <w:rsid w:val="00C61C0C"/>
    <w:rsid w:val="00C941CB"/>
    <w:rsid w:val="00CA1F52"/>
    <w:rsid w:val="00CC2357"/>
    <w:rsid w:val="00CD60EA"/>
    <w:rsid w:val="00CF071A"/>
    <w:rsid w:val="00D058B8"/>
    <w:rsid w:val="00D56C11"/>
    <w:rsid w:val="00D75ADD"/>
    <w:rsid w:val="00D834A0"/>
    <w:rsid w:val="00D85378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118F"/>
    <w:rsid w:val="00F149E9"/>
    <w:rsid w:val="00F1644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B02930"/>
  <w15:chartTrackingRefBased/>
  <w15:docId w15:val="{5D28BC42-7671-418C-B0EC-1F6C57E9C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2F7988"/>
    <w:pPr>
      <w:spacing w:after="120"/>
    </w:pPr>
  </w:style>
  <w:style w:type="paragraph" w:customStyle="1" w:styleId="NormalBold">
    <w:name w:val="NormalBold"/>
    <w:basedOn w:val="Normal"/>
    <w:rsid w:val="002F7988"/>
    <w:rPr>
      <w:b/>
    </w:rPr>
  </w:style>
  <w:style w:type="paragraph" w:customStyle="1" w:styleId="NormalHanging12a">
    <w:name w:val="NormalHanging12a"/>
    <w:basedOn w:val="Normal"/>
    <w:rsid w:val="002F7988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2F798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F798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F7988"/>
    <w:pPr>
      <w:spacing w:before="240"/>
    </w:pPr>
    <w:rPr>
      <w:b/>
    </w:rPr>
  </w:style>
  <w:style w:type="paragraph" w:customStyle="1" w:styleId="EPComma">
    <w:name w:val="EPComma"/>
    <w:basedOn w:val="Normal"/>
    <w:rsid w:val="002F7988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2F7988"/>
    <w:rPr>
      <w:color w:val="0000FF"/>
      <w:u w:val="single"/>
    </w:rPr>
  </w:style>
  <w:style w:type="character" w:customStyle="1" w:styleId="Normal6Char">
    <w:name w:val="Normal6 Char"/>
    <w:basedOn w:val="DefaultParagraphFont"/>
    <w:link w:val="Normal6"/>
    <w:locked/>
    <w:rsid w:val="002F7988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2F7988"/>
    <w:pPr>
      <w:spacing w:after="120"/>
    </w:pPr>
  </w:style>
  <w:style w:type="character" w:styleId="CommentReference">
    <w:name w:val="annotation reference"/>
    <w:basedOn w:val="DefaultParagraphFont"/>
    <w:rsid w:val="0045675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675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56753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4567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6753"/>
    <w:rPr>
      <w:b/>
      <w:bCs/>
      <w:lang w:val="cs-CZ"/>
    </w:rPr>
  </w:style>
  <w:style w:type="paragraph" w:styleId="BalloonText">
    <w:name w:val="Balloon Text"/>
    <w:basedOn w:val="Normal"/>
    <w:link w:val="BalloonTextChar"/>
    <w:rsid w:val="004567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56753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47A2E-919A-42FD-B856-4C0A4D2F5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375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KONOPKOVA Jindra</cp:lastModifiedBy>
  <cp:revision>2</cp:revision>
  <cp:lastPrinted>2004-11-19T15:42:00Z</cp:lastPrinted>
  <dcterms:created xsi:type="dcterms:W3CDTF">2025-07-08T09:38:00Z</dcterms:created>
  <dcterms:modified xsi:type="dcterms:W3CDTF">2025-07-08T09:38:00Z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P10_TA(2025)0110_</vt:lpwstr>
  </property>
  <property fmtid="{D5CDD505-2E9C-101B-9397-08002B2CF9AE}" pid="4" name="&lt;Type&gt;">
    <vt:lpwstr>RR</vt:lpwstr>
  </property>
</Properties>
</file>