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057D" w14:paraId="4F7A72C4" w14:textId="77777777" w:rsidTr="0010095E">
        <w:trPr>
          <w:trHeight w:hRule="exact" w:val="1418"/>
        </w:trPr>
        <w:tc>
          <w:tcPr>
            <w:tcW w:w="6804" w:type="dxa"/>
            <w:shd w:val="clear" w:color="auto" w:fill="auto"/>
            <w:vAlign w:val="center"/>
          </w:tcPr>
          <w:p w14:paraId="7F79B129" w14:textId="77777777" w:rsidR="00751A4A" w:rsidRPr="009C057D" w:rsidRDefault="00643153" w:rsidP="0010095E">
            <w:pPr>
              <w:pStyle w:val="EPName"/>
            </w:pPr>
            <w:r w:rsidRPr="009C057D">
              <w:t>Europäisches Parlament</w:t>
            </w:r>
          </w:p>
          <w:p w14:paraId="7A8E7AC9" w14:textId="77777777" w:rsidR="00751A4A" w:rsidRPr="009C057D" w:rsidRDefault="005F1B17" w:rsidP="005F1B17">
            <w:pPr>
              <w:pStyle w:val="EPTerm"/>
              <w:rPr>
                <w:rStyle w:val="HideTWBExt"/>
                <w:noProof w:val="0"/>
                <w:vanish w:val="0"/>
                <w:color w:val="auto"/>
              </w:rPr>
            </w:pPr>
            <w:r w:rsidRPr="009C057D">
              <w:t>2024</w:t>
            </w:r>
            <w:r w:rsidR="00817416" w:rsidRPr="009C057D">
              <w:t>-202</w:t>
            </w:r>
            <w:r w:rsidRPr="009C057D">
              <w:t>9</w:t>
            </w:r>
          </w:p>
        </w:tc>
        <w:tc>
          <w:tcPr>
            <w:tcW w:w="2268" w:type="dxa"/>
            <w:shd w:val="clear" w:color="auto" w:fill="auto"/>
          </w:tcPr>
          <w:p w14:paraId="47096BD4" w14:textId="77777777" w:rsidR="00751A4A" w:rsidRPr="009C057D" w:rsidRDefault="00187494" w:rsidP="0010095E">
            <w:pPr>
              <w:pStyle w:val="EPLogo"/>
            </w:pPr>
            <w:r w:rsidRPr="009C057D">
              <w:rPr>
                <w:noProof/>
                <w:lang w:val="en-GB"/>
              </w:rPr>
              <w:drawing>
                <wp:inline distT="0" distB="0" distL="0" distR="0" wp14:anchorId="710D8470" wp14:editId="2E9EA8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919F5F" w14:textId="77777777" w:rsidR="00D058B8" w:rsidRPr="009C057D" w:rsidRDefault="00D058B8" w:rsidP="004C5D52">
      <w:pPr>
        <w:pStyle w:val="LineTop"/>
      </w:pPr>
    </w:p>
    <w:p w14:paraId="189BD502" w14:textId="77777777" w:rsidR="00680577" w:rsidRPr="009C057D" w:rsidRDefault="00643153" w:rsidP="00680577">
      <w:pPr>
        <w:pStyle w:val="EPBodyTA1"/>
      </w:pPr>
      <w:r w:rsidRPr="009C057D">
        <w:t>ANGENOMMENE TEXTE</w:t>
      </w:r>
    </w:p>
    <w:p w14:paraId="2D476ADF" w14:textId="77777777" w:rsidR="00D058B8" w:rsidRPr="009C057D" w:rsidRDefault="00D058B8" w:rsidP="00D058B8">
      <w:pPr>
        <w:pStyle w:val="LineBottom"/>
      </w:pPr>
    </w:p>
    <w:p w14:paraId="27DBA8E2" w14:textId="6F5082D8" w:rsidR="00643153" w:rsidRPr="009C057D" w:rsidRDefault="00643153" w:rsidP="00643153">
      <w:pPr>
        <w:pStyle w:val="ATHeading1"/>
      </w:pPr>
      <w:bookmarkStart w:id="0" w:name="TANumber"/>
      <w:r w:rsidRPr="009C057D">
        <w:t>P10_</w:t>
      </w:r>
      <w:proofErr w:type="gramStart"/>
      <w:r w:rsidRPr="009C057D">
        <w:t>TA(</w:t>
      </w:r>
      <w:proofErr w:type="gramEnd"/>
      <w:r w:rsidRPr="009C057D">
        <w:t>2025)0</w:t>
      </w:r>
      <w:r w:rsidR="0095388C">
        <w:t>110</w:t>
      </w:r>
      <w:bookmarkEnd w:id="0"/>
    </w:p>
    <w:p w14:paraId="30EA9E99" w14:textId="2AEB2581" w:rsidR="00643153" w:rsidRPr="009C057D" w:rsidRDefault="00CB14AA" w:rsidP="00643153">
      <w:pPr>
        <w:pStyle w:val="ATHeading2"/>
      </w:pPr>
      <w:bookmarkStart w:id="1" w:name="title"/>
      <w:r w:rsidRPr="00CB14AA">
        <w:t>Gleichstellung von Feldbesichtigungen und der Erzeugung von Saatgut in Moldau und der Ukraine</w:t>
      </w:r>
      <w:r w:rsidR="008A0962" w:rsidRPr="008A0962">
        <w:t xml:space="preserve"> </w:t>
      </w:r>
      <w:bookmarkEnd w:id="1"/>
    </w:p>
    <w:p w14:paraId="33D32BC6" w14:textId="77777777" w:rsidR="00643153" w:rsidRPr="009C057D" w:rsidRDefault="00643153" w:rsidP="00643153">
      <w:pPr>
        <w:rPr>
          <w:i/>
          <w:vanish/>
        </w:rPr>
      </w:pPr>
      <w:r w:rsidRPr="009C057D">
        <w:rPr>
          <w:i/>
        </w:rPr>
        <w:fldChar w:fldCharType="begin"/>
      </w:r>
      <w:r w:rsidRPr="009C057D">
        <w:rPr>
          <w:i/>
        </w:rPr>
        <w:instrText xml:space="preserve"> TC"(</w:instrText>
      </w:r>
      <w:bookmarkStart w:id="2" w:name="DocNumber"/>
      <w:r w:rsidRPr="009C057D">
        <w:rPr>
          <w:i/>
        </w:rPr>
        <w:instrText>A10-0043/2025</w:instrText>
      </w:r>
      <w:bookmarkEnd w:id="2"/>
      <w:r w:rsidRPr="009C057D">
        <w:rPr>
          <w:i/>
        </w:rPr>
        <w:instrText xml:space="preserve"> - Berichterstatterin: Veronika </w:instrText>
      </w:r>
      <w:proofErr w:type="spellStart"/>
      <w:r w:rsidRPr="009C057D">
        <w:rPr>
          <w:i/>
        </w:rPr>
        <w:instrText>Vrecionová</w:instrText>
      </w:r>
      <w:proofErr w:type="spellEnd"/>
      <w:r w:rsidRPr="009C057D">
        <w:rPr>
          <w:i/>
        </w:rPr>
        <w:instrText xml:space="preserve">)"\l3 \n&gt; \* MERGEFORMAT </w:instrText>
      </w:r>
      <w:r w:rsidRPr="009C057D">
        <w:rPr>
          <w:i/>
        </w:rPr>
        <w:fldChar w:fldCharType="end"/>
      </w:r>
    </w:p>
    <w:p w14:paraId="47431CC0" w14:textId="77777777" w:rsidR="00643153" w:rsidRPr="009C057D" w:rsidRDefault="00643153" w:rsidP="00643153">
      <w:pPr>
        <w:rPr>
          <w:vanish/>
        </w:rPr>
      </w:pPr>
      <w:bookmarkStart w:id="3" w:name="Commission"/>
      <w:r w:rsidRPr="009C057D">
        <w:rPr>
          <w:vanish/>
        </w:rPr>
        <w:t>Ausschuss für Landwirtschaft und ländliche Entwicklung</w:t>
      </w:r>
      <w:bookmarkEnd w:id="3"/>
    </w:p>
    <w:p w14:paraId="74B2D913" w14:textId="77777777" w:rsidR="00643153" w:rsidRPr="009C057D" w:rsidRDefault="00643153" w:rsidP="00643153">
      <w:pPr>
        <w:rPr>
          <w:vanish/>
        </w:rPr>
      </w:pPr>
      <w:bookmarkStart w:id="4" w:name="PE"/>
      <w:r w:rsidRPr="009C057D">
        <w:rPr>
          <w:vanish/>
        </w:rPr>
        <w:t>PE766.952</w:t>
      </w:r>
      <w:bookmarkEnd w:id="4"/>
    </w:p>
    <w:p w14:paraId="0C3E9A41" w14:textId="77777777" w:rsidR="00643153" w:rsidRPr="009C057D" w:rsidRDefault="00643153" w:rsidP="00643153">
      <w:pPr>
        <w:pStyle w:val="ATHeading3"/>
      </w:pPr>
      <w:bookmarkStart w:id="5" w:name="Sujet"/>
      <w:r w:rsidRPr="009C057D">
        <w:t>Legislative Entschließung de</w:t>
      </w:r>
      <w:r w:rsidR="008A0962">
        <w:t>s Europäischen Parlaments vom 22. Mai</w:t>
      </w:r>
      <w:r w:rsidRPr="009C057D">
        <w:t xml:space="preserve"> 2025 </w:t>
      </w:r>
      <w:r w:rsidR="008A0962">
        <w:t>zu dem</w:t>
      </w:r>
      <w:r w:rsidRPr="009C057D">
        <w:t xml:space="preserve"> Vorschlag für einen Beschluss des Europäischen Parlaments und des Rates zur Änderung der Entscheidung 2003/17/EG des Rates zur Gleichstellung von Feldbesichtigungen der Vermehrungsbestände von Futterpflanzensaatgut in der Republik Moldau und der Gleichstellung des in der Republik Moldau erzeugten Futterpflanzensaatguts sowie zur Gleichstellung von Feldbesichtigungen der Vermehrungsbestände von Betarüben- und Ölpflanzensaatgut in der Ukraine und der Gleichstellung des in der Ukraine erzeugten Betarüben- und Ölpflanzensaatguts</w:t>
      </w:r>
      <w:bookmarkEnd w:id="5"/>
      <w:r w:rsidRPr="009C057D">
        <w:t xml:space="preserve"> </w:t>
      </w:r>
      <w:bookmarkStart w:id="6" w:name="References"/>
      <w:r w:rsidRPr="009C057D">
        <w:t>(COM(2024)0052 – C9-0026/2024 – 2024/0027(COD))</w:t>
      </w:r>
      <w:bookmarkEnd w:id="6"/>
    </w:p>
    <w:p w14:paraId="58B055E7" w14:textId="77777777" w:rsidR="00EF1085" w:rsidRPr="009C057D" w:rsidRDefault="00EF1085" w:rsidP="00EF1085">
      <w:pPr>
        <w:pStyle w:val="NormalBold"/>
      </w:pPr>
      <w:r w:rsidRPr="009C057D">
        <w:t>(Ordentliches Gesetzgebungsverfahren: erste Lesung)</w:t>
      </w:r>
    </w:p>
    <w:p w14:paraId="7FDC51C9" w14:textId="77777777" w:rsidR="00EF1085" w:rsidRPr="009C057D" w:rsidRDefault="00EF1085" w:rsidP="00EF1085">
      <w:pPr>
        <w:pStyle w:val="EPComma"/>
      </w:pPr>
      <w:r w:rsidRPr="009C057D">
        <w:rPr>
          <w:i/>
        </w:rPr>
        <w:t>Das Europäische Parlament</w:t>
      </w:r>
      <w:r w:rsidRPr="009C057D">
        <w:t>,</w:t>
      </w:r>
    </w:p>
    <w:p w14:paraId="423A882D" w14:textId="77777777" w:rsidR="00EF1085" w:rsidRPr="009C057D" w:rsidRDefault="00EF1085" w:rsidP="00EF1085">
      <w:pPr>
        <w:pStyle w:val="NormalHanging12a"/>
      </w:pPr>
      <w:r w:rsidRPr="009C057D">
        <w:t>–</w:t>
      </w:r>
      <w:r w:rsidRPr="009C057D">
        <w:tab/>
        <w:t>unter Hinweis auf den Vorschlag der Kommission an das Europäische Parlament und den Rat (</w:t>
      </w:r>
      <w:proofErr w:type="gramStart"/>
      <w:r w:rsidRPr="009C057D">
        <w:t>COM(</w:t>
      </w:r>
      <w:proofErr w:type="gramEnd"/>
      <w:r w:rsidRPr="009C057D">
        <w:t>2024)0052),</w:t>
      </w:r>
    </w:p>
    <w:p w14:paraId="5A86FF70" w14:textId="77777777" w:rsidR="00EF1085" w:rsidRPr="009C057D" w:rsidRDefault="00EF1085" w:rsidP="00EF1085">
      <w:pPr>
        <w:pStyle w:val="NormalHanging12a"/>
      </w:pPr>
      <w:r w:rsidRPr="009C057D">
        <w:t>–</w:t>
      </w:r>
      <w:r w:rsidRPr="009C057D">
        <w:tab/>
        <w:t>gestützt auf Artikel 294 Absatz 2 und Artikel 43 Absatz 2 des Vertrags über die Arbeitsweise der Europäischen Union, auf deren Grundlage ihm der Vorschlag der Kommission unterbreitet wurde (C9-0026/2024),</w:t>
      </w:r>
    </w:p>
    <w:p w14:paraId="08024468" w14:textId="77777777" w:rsidR="00EF1085" w:rsidRPr="009C057D" w:rsidRDefault="00EF1085" w:rsidP="00EF1085">
      <w:pPr>
        <w:pStyle w:val="NormalHanging12a"/>
      </w:pPr>
      <w:r w:rsidRPr="009C057D">
        <w:t>–</w:t>
      </w:r>
      <w:r w:rsidRPr="009C057D">
        <w:tab/>
        <w:t>gestützt auf Artikel 294 Absatz 3 des Vertrags über die Arbeitsweise der Europäischen Union,</w:t>
      </w:r>
    </w:p>
    <w:p w14:paraId="5A06FFA7" w14:textId="438498D8" w:rsidR="00EF1085" w:rsidRDefault="00EF1085" w:rsidP="00EF1085">
      <w:pPr>
        <w:pStyle w:val="NormalHanging12a"/>
      </w:pPr>
      <w:r w:rsidRPr="009C057D">
        <w:t>–</w:t>
      </w:r>
      <w:r w:rsidRPr="009C057D">
        <w:tab/>
        <w:t>unter Hinweis auf die Stellungnahme des Europäischen Wirtschafts- und Sozialausschusses vom 20. März 2024</w:t>
      </w:r>
      <w:r w:rsidRPr="009C057D">
        <w:rPr>
          <w:rStyle w:val="FootnoteReference"/>
        </w:rPr>
        <w:footnoteReference w:id="1"/>
      </w:r>
      <w:r w:rsidRPr="009C057D">
        <w:t xml:space="preserve">, </w:t>
      </w:r>
    </w:p>
    <w:p w14:paraId="50E87F5E" w14:textId="77E4D9B6" w:rsidR="003F77C4" w:rsidRPr="009C057D" w:rsidRDefault="003F77C4" w:rsidP="00EF1085">
      <w:pPr>
        <w:pStyle w:val="NormalHanging12a"/>
      </w:pPr>
      <w:r w:rsidRPr="009C057D">
        <w:t>–</w:t>
      </w:r>
      <w:r w:rsidRPr="009C057D">
        <w:tab/>
      </w:r>
      <w:r w:rsidRPr="003F77C4">
        <w:t>unter Hinweis auf die vom Vertrete</w:t>
      </w:r>
      <w:r>
        <w:t>r des Rates mit Schreiben vom 30. April</w:t>
      </w:r>
      <w:r w:rsidRPr="003F77C4">
        <w:t xml:space="preserve"> 2025 gemachte Zusage, den Standpunkt des Europäischen Parlaments gemäß Artikel 294 Absatz 4 des Vertrags über die Arbeitsweise der Europäischen Union zu billigen,</w:t>
      </w:r>
    </w:p>
    <w:p w14:paraId="598A9A82" w14:textId="77777777" w:rsidR="00EF1085" w:rsidRPr="009C057D" w:rsidRDefault="00EF1085" w:rsidP="00EF1085">
      <w:pPr>
        <w:pStyle w:val="NormalHanging12a"/>
      </w:pPr>
      <w:r w:rsidRPr="009C057D">
        <w:lastRenderedPageBreak/>
        <w:t>–</w:t>
      </w:r>
      <w:r w:rsidRPr="009C057D">
        <w:tab/>
        <w:t>gestützt auf Artikel 60 seiner Geschäftsordnung,</w:t>
      </w:r>
    </w:p>
    <w:p w14:paraId="35565C32" w14:textId="77777777" w:rsidR="00EF1085" w:rsidRPr="009C057D" w:rsidRDefault="00EF1085" w:rsidP="00EF1085">
      <w:pPr>
        <w:pStyle w:val="NormalHanging12a"/>
      </w:pPr>
      <w:r w:rsidRPr="009C057D">
        <w:t>–</w:t>
      </w:r>
      <w:r w:rsidRPr="009C057D">
        <w:tab/>
        <w:t>unter Hinweis auf den Bericht des Ausschusses für Landwirtschaft und ländliche Entwicklung (A10-0043/2025),</w:t>
      </w:r>
    </w:p>
    <w:p w14:paraId="4D1BC461" w14:textId="77777777" w:rsidR="00EF1085" w:rsidRPr="009C057D" w:rsidRDefault="00EF1085" w:rsidP="00EF1085">
      <w:pPr>
        <w:pStyle w:val="NormalHanging12a"/>
      </w:pPr>
      <w:r w:rsidRPr="009C057D">
        <w:t>1.</w:t>
      </w:r>
      <w:r w:rsidRPr="009C057D">
        <w:tab/>
        <w:t>legt den folgenden Standpunkt in erster Lesung fest;</w:t>
      </w:r>
    </w:p>
    <w:p w14:paraId="3D498B64" w14:textId="77777777" w:rsidR="00EF1085" w:rsidRPr="009C057D" w:rsidRDefault="00EF1085" w:rsidP="00EF1085">
      <w:pPr>
        <w:pStyle w:val="NormalHanging12a"/>
      </w:pPr>
      <w:r w:rsidRPr="009C057D">
        <w:t>2.</w:t>
      </w:r>
      <w:r w:rsidRPr="009C057D">
        <w:tab/>
        <w:t>fordert die Kommission auf, es erneut zu befassen, falls sie ihren Vorschlag ersetzt, entscheidend ändert oder beabsichtigt, ihn entscheidend zu ändern;</w:t>
      </w:r>
    </w:p>
    <w:p w14:paraId="4975401D" w14:textId="77777777" w:rsidR="00EF1085" w:rsidRPr="009C057D" w:rsidRDefault="00EF1085" w:rsidP="00EF1085">
      <w:pPr>
        <w:pStyle w:val="NormalHanging12a"/>
      </w:pPr>
      <w:r w:rsidRPr="009C057D">
        <w:t>3.</w:t>
      </w:r>
      <w:r w:rsidRPr="009C057D">
        <w:tab/>
        <w:t>beauftragt seine Präsidentin, den Standpunkt des Parlaments dem Rat und der Kommission sowie den nationalen Parlamenten zu übermitteln.</w:t>
      </w:r>
    </w:p>
    <w:p w14:paraId="322968A2" w14:textId="77777777" w:rsidR="008A0962" w:rsidRDefault="008A0962" w:rsidP="00EF1085">
      <w:pPr>
        <w:pStyle w:val="AMNumberTabs"/>
        <w:keepNext/>
        <w:sectPr w:rsidR="008A0962" w:rsidSect="009C057D">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FD8AB36" w14:textId="6DB39F19" w:rsidR="003F77C4" w:rsidRPr="009F4798" w:rsidRDefault="003F77C4" w:rsidP="003F77C4">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2024)0027</w:t>
      </w:r>
    </w:p>
    <w:p w14:paraId="49597AB5" w14:textId="470702D1" w:rsidR="00CB14AA" w:rsidRDefault="003F77C4" w:rsidP="003F77C4">
      <w:pPr>
        <w:rPr>
          <w:rFonts w:eastAsia="Calibri"/>
          <w:b/>
          <w:noProof/>
          <w:szCs w:val="22"/>
          <w:lang w:eastAsia="en-US"/>
        </w:rPr>
      </w:pPr>
      <w:r w:rsidRPr="009F4798">
        <w:rPr>
          <w:b/>
          <w:snapToGrid w:val="0"/>
        </w:rPr>
        <w:t>Standpunkt des Europäischen Parlaments festg</w:t>
      </w:r>
      <w:r>
        <w:rPr>
          <w:b/>
          <w:snapToGrid w:val="0"/>
        </w:rPr>
        <w:t>elegt in erster Lesung am 22. Mai 2025</w:t>
      </w:r>
      <w:r w:rsidRPr="009F4798">
        <w:rPr>
          <w:b/>
          <w:snapToGrid w:val="0"/>
        </w:rPr>
        <w:t xml:space="preserve"> im Hinblick auf den</w:t>
      </w:r>
      <w:r>
        <w:rPr>
          <w:b/>
          <w:snapToGrid w:val="0"/>
        </w:rPr>
        <w:t xml:space="preserve"> Erlass des Beschlusses (EU) 2025</w:t>
      </w:r>
      <w:r w:rsidRPr="009F4798">
        <w:rPr>
          <w:b/>
          <w:snapToGrid w:val="0"/>
        </w:rPr>
        <w:t>/... des Europä</w:t>
      </w:r>
      <w:r>
        <w:rPr>
          <w:b/>
          <w:snapToGrid w:val="0"/>
        </w:rPr>
        <w:t xml:space="preserve">ischen Parlaments und des Rates </w:t>
      </w:r>
      <w:r w:rsidR="00CB14AA" w:rsidRPr="00CB14AA">
        <w:rPr>
          <w:rFonts w:eastAsia="Calibri"/>
          <w:b/>
          <w:noProof/>
          <w:szCs w:val="22"/>
          <w:lang w:eastAsia="en-US"/>
        </w:rPr>
        <w:t xml:space="preserve">zur Änderung der Entscheidung 2003/17/EG des Rates zur Gleichstellung von Feldbesichtigungen </w:t>
      </w:r>
      <w:bookmarkStart w:id="7" w:name="_Hlk197611593"/>
      <w:r w:rsidR="00CB14AA" w:rsidRPr="00CB14AA">
        <w:rPr>
          <w:rFonts w:eastAsia="Calibri"/>
          <w:b/>
          <w:noProof/>
          <w:szCs w:val="22"/>
          <w:lang w:eastAsia="en-US"/>
        </w:rPr>
        <w:t xml:space="preserve">der Vermehrungsbestände von Futterpflanzensaatgut </w:t>
      </w:r>
      <w:bookmarkEnd w:id="7"/>
      <w:r w:rsidR="00CB14AA" w:rsidRPr="00CB14AA">
        <w:rPr>
          <w:rFonts w:eastAsia="Calibri"/>
          <w:b/>
          <w:noProof/>
          <w:szCs w:val="22"/>
          <w:lang w:eastAsia="en-US"/>
        </w:rPr>
        <w:t>in der Republik Moldau und der Gleichstellung des in der Republik Moldau erzeugtem Futterpflanzensaatguts sowie zur Gleichstellung von Feldbesichtigungen der Vermehrungsbestände von Betarübensaatgut und der Vermehrungsbestände von Ölpflanzensaatgut in der Ukraine und der Gleichstellung des in der Ukraine erzeugten Betarüben- und Ölpflanzensaatguts</w:t>
      </w:r>
    </w:p>
    <w:p w14:paraId="3BA19A92" w14:textId="0F8619B9" w:rsidR="00EF1538" w:rsidRPr="003F77C4" w:rsidRDefault="00EF1538" w:rsidP="00EF1538">
      <w:pPr>
        <w:spacing w:before="240"/>
        <w:rPr>
          <w:b/>
          <w:snapToGrid w:val="0"/>
        </w:rPr>
      </w:pPr>
      <w:r>
        <w:rPr>
          <w:rStyle w:val="normaltextrun"/>
          <w:i/>
          <w:iCs/>
          <w:color w:val="000000"/>
          <w:shd w:val="clear" w:color="auto" w:fill="FFFFFF"/>
        </w:rPr>
        <w:t xml:space="preserve">(Da Parlament und Rat eine Einigung erzielt haben, entspricht der Standpunkt des Parlaments dem endgültigen Rechtsakt, </w:t>
      </w:r>
      <w:r>
        <w:rPr>
          <w:rStyle w:val="normaltextrun"/>
          <w:i/>
          <w:iCs/>
          <w:color w:val="000000"/>
          <w:shd w:val="clear" w:color="auto" w:fill="FFFFFF"/>
        </w:rPr>
        <w:t>Beschluss (EU) 2025/1228</w:t>
      </w:r>
      <w:r>
        <w:rPr>
          <w:rStyle w:val="normaltextrun"/>
          <w:i/>
          <w:iCs/>
          <w:color w:val="000000"/>
          <w:shd w:val="clear" w:color="auto" w:fill="FFFFFF"/>
        </w:rPr>
        <w:t>.)</w:t>
      </w:r>
      <w:r>
        <w:rPr>
          <w:rStyle w:val="eop"/>
          <w:color w:val="000000"/>
          <w:shd w:val="clear" w:color="auto" w:fill="FFFFFF"/>
        </w:rPr>
        <w:t> </w:t>
      </w:r>
    </w:p>
    <w:sectPr w:rsidR="00EF1538" w:rsidRPr="003F77C4" w:rsidSect="00EF1538">
      <w:footnotePr>
        <w:numRestart w:val="eachSect"/>
      </w:footnote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A0389" w14:textId="77777777" w:rsidR="00643153" w:rsidRPr="009C057D" w:rsidRDefault="00643153">
      <w:r w:rsidRPr="009C057D">
        <w:separator/>
      </w:r>
    </w:p>
  </w:endnote>
  <w:endnote w:type="continuationSeparator" w:id="0">
    <w:p w14:paraId="3E163E72" w14:textId="77777777" w:rsidR="00643153" w:rsidRPr="009C057D" w:rsidRDefault="00643153">
      <w:r w:rsidRPr="009C05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D9E64" w14:textId="77777777" w:rsidR="00643153" w:rsidRPr="009C057D" w:rsidRDefault="00643153">
      <w:r w:rsidRPr="009C057D">
        <w:separator/>
      </w:r>
    </w:p>
  </w:footnote>
  <w:footnote w:type="continuationSeparator" w:id="0">
    <w:p w14:paraId="69305EF5" w14:textId="77777777" w:rsidR="00643153" w:rsidRPr="009C057D" w:rsidRDefault="00643153">
      <w:r w:rsidRPr="009C057D">
        <w:continuationSeparator/>
      </w:r>
    </w:p>
  </w:footnote>
  <w:footnote w:id="1">
    <w:p w14:paraId="12ED605E" w14:textId="77777777" w:rsidR="00EF1085" w:rsidRPr="009C057D" w:rsidRDefault="00EF1085" w:rsidP="009C057D">
      <w:pPr>
        <w:pStyle w:val="FootnoteText"/>
        <w:ind w:left="567" w:hanging="567"/>
        <w:rPr>
          <w:sz w:val="24"/>
          <w:lang w:val="de-DE"/>
        </w:rPr>
      </w:pPr>
      <w:r w:rsidRPr="009C057D">
        <w:rPr>
          <w:rStyle w:val="FootnoteReference"/>
          <w:sz w:val="24"/>
          <w:lang w:val="de-DE"/>
        </w:rPr>
        <w:footnoteRef/>
      </w:r>
      <w:r w:rsidR="009C057D" w:rsidRPr="009C057D">
        <w:rPr>
          <w:color w:val="333333"/>
          <w:sz w:val="24"/>
          <w:shd w:val="clear" w:color="auto" w:fill="FFFFFF"/>
          <w:lang w:val="de-DE"/>
        </w:rPr>
        <w:t xml:space="preserve"> </w:t>
      </w:r>
      <w:r w:rsidR="009C057D" w:rsidRPr="009C057D">
        <w:rPr>
          <w:color w:val="333333"/>
          <w:sz w:val="24"/>
          <w:shd w:val="clear" w:color="auto" w:fill="FFFFFF"/>
          <w:lang w:val="de-DE"/>
        </w:rPr>
        <w:tab/>
      </w:r>
      <w:proofErr w:type="spellStart"/>
      <w:r w:rsidRPr="009C057D">
        <w:rPr>
          <w:color w:val="333333"/>
          <w:sz w:val="24"/>
          <w:shd w:val="clear" w:color="auto" w:fill="FFFFFF"/>
          <w:lang w:val="de-DE"/>
        </w:rPr>
        <w:t>ABl.</w:t>
      </w:r>
      <w:proofErr w:type="spellEnd"/>
      <w:r w:rsidRPr="009C057D">
        <w:rPr>
          <w:color w:val="333333"/>
          <w:sz w:val="24"/>
          <w:shd w:val="clear" w:color="auto" w:fill="FFFFFF"/>
          <w:lang w:val="de-DE"/>
        </w:rPr>
        <w:t> C, C/2024/3386, 31.5.2024, ELI: </w:t>
      </w:r>
      <w:hyperlink r:id="rId1" w:tgtFrame="_blank" w:tooltip="Ermöglicht den Zugang zu diesem Dokument über seine ELI-URI." w:history="1">
        <w:r w:rsidRPr="009C057D">
          <w:rPr>
            <w:rStyle w:val="Hyperlink"/>
            <w:color w:val="337AB7"/>
            <w:sz w:val="24"/>
            <w:lang w:val="de-DE"/>
          </w:rPr>
          <w:t>http://data.europa.eu/eli/C/2024/3386/oj</w:t>
        </w:r>
      </w:hyperlink>
      <w:r w:rsidRPr="009C057D">
        <w:rPr>
          <w:color w:val="333333"/>
          <w:sz w:val="24"/>
          <w:shd w:val="clear" w:color="auto" w:fill="FFFFFF"/>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4375506">
    <w:abstractNumId w:val="9"/>
  </w:num>
  <w:num w:numId="2" w16cid:durableId="552666833">
    <w:abstractNumId w:val="9"/>
  </w:num>
  <w:num w:numId="3" w16cid:durableId="1812600695">
    <w:abstractNumId w:val="7"/>
  </w:num>
  <w:num w:numId="4" w16cid:durableId="66391913">
    <w:abstractNumId w:val="7"/>
  </w:num>
  <w:num w:numId="5" w16cid:durableId="1696881569">
    <w:abstractNumId w:val="6"/>
  </w:num>
  <w:num w:numId="6" w16cid:durableId="1333413841">
    <w:abstractNumId w:val="6"/>
  </w:num>
  <w:num w:numId="7" w16cid:durableId="290090722">
    <w:abstractNumId w:val="5"/>
  </w:num>
  <w:num w:numId="8" w16cid:durableId="1321428180">
    <w:abstractNumId w:val="5"/>
  </w:num>
  <w:num w:numId="9" w16cid:durableId="1759055677">
    <w:abstractNumId w:val="4"/>
  </w:num>
  <w:num w:numId="10" w16cid:durableId="842861741">
    <w:abstractNumId w:val="4"/>
  </w:num>
  <w:num w:numId="11" w16cid:durableId="1951162658">
    <w:abstractNumId w:val="8"/>
  </w:num>
  <w:num w:numId="12" w16cid:durableId="765425500">
    <w:abstractNumId w:val="8"/>
  </w:num>
  <w:num w:numId="13" w16cid:durableId="364523874">
    <w:abstractNumId w:val="3"/>
  </w:num>
  <w:num w:numId="14" w16cid:durableId="706681207">
    <w:abstractNumId w:val="3"/>
  </w:num>
  <w:num w:numId="15" w16cid:durableId="2021154168">
    <w:abstractNumId w:val="2"/>
  </w:num>
  <w:num w:numId="16" w16cid:durableId="604266092">
    <w:abstractNumId w:val="2"/>
  </w:num>
  <w:num w:numId="17" w16cid:durableId="842017418">
    <w:abstractNumId w:val="1"/>
  </w:num>
  <w:num w:numId="18" w16cid:durableId="540822040">
    <w:abstractNumId w:val="1"/>
  </w:num>
  <w:num w:numId="19" w16cid:durableId="712123035">
    <w:abstractNumId w:val="0"/>
  </w:num>
  <w:num w:numId="20" w16cid:durableId="805244125">
    <w:abstractNumId w:val="0"/>
  </w:num>
  <w:num w:numId="21" w16cid:durableId="133254242">
    <w:abstractNumId w:val="9"/>
  </w:num>
  <w:num w:numId="22" w16cid:durableId="397703061">
    <w:abstractNumId w:val="7"/>
  </w:num>
  <w:num w:numId="23" w16cid:durableId="1582988817">
    <w:abstractNumId w:val="6"/>
  </w:num>
  <w:num w:numId="24" w16cid:durableId="1766225467">
    <w:abstractNumId w:val="5"/>
  </w:num>
  <w:num w:numId="25" w16cid:durableId="2069306375">
    <w:abstractNumId w:val="4"/>
  </w:num>
  <w:num w:numId="26" w16cid:durableId="1242183713">
    <w:abstractNumId w:val="8"/>
  </w:num>
  <w:num w:numId="27" w16cid:durableId="1356158032">
    <w:abstractNumId w:val="3"/>
  </w:num>
  <w:num w:numId="28" w16cid:durableId="1098015588">
    <w:abstractNumId w:val="2"/>
  </w:num>
  <w:num w:numId="29" w16cid:durableId="1127891415">
    <w:abstractNumId w:val="1"/>
  </w:num>
  <w:num w:numId="30" w16cid:durableId="686634975">
    <w:abstractNumId w:val="0"/>
  </w:num>
  <w:num w:numId="31" w16cid:durableId="1425222926">
    <w:abstractNumId w:val="9"/>
  </w:num>
  <w:num w:numId="32" w16cid:durableId="1718318399">
    <w:abstractNumId w:val="7"/>
  </w:num>
  <w:num w:numId="33" w16cid:durableId="726730526">
    <w:abstractNumId w:val="6"/>
  </w:num>
  <w:num w:numId="34" w16cid:durableId="160855909">
    <w:abstractNumId w:val="5"/>
  </w:num>
  <w:num w:numId="35" w16cid:durableId="672685901">
    <w:abstractNumId w:val="4"/>
  </w:num>
  <w:num w:numId="36" w16cid:durableId="1958174257">
    <w:abstractNumId w:val="8"/>
  </w:num>
  <w:num w:numId="37" w16cid:durableId="1426851805">
    <w:abstractNumId w:val="3"/>
  </w:num>
  <w:num w:numId="38" w16cid:durableId="104547115">
    <w:abstractNumId w:val="2"/>
  </w:num>
  <w:num w:numId="39" w16cid:durableId="1301036601">
    <w:abstractNumId w:val="1"/>
  </w:num>
  <w:num w:numId="40" w16cid:durableId="1482385413">
    <w:abstractNumId w:val="0"/>
  </w:num>
  <w:num w:numId="41" w16cid:durableId="366367933">
    <w:abstractNumId w:val="10"/>
  </w:num>
  <w:num w:numId="42" w16cid:durableId="837768875">
    <w:abstractNumId w:val="10"/>
  </w:num>
  <w:num w:numId="43" w16cid:durableId="1249581079">
    <w:abstractNumId w:val="10"/>
  </w:num>
  <w:num w:numId="44" w16cid:durableId="1862235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3/2025"/>
    <w:docVar w:name="dvlangue" w:val="DE"/>
    <w:docVar w:name="dvnumam" w:val="2"/>
    <w:docVar w:name="dvpe" w:val="766.952"/>
    <w:docVar w:name="dvrapporteur" w:val="Berichterstatterin: "/>
    <w:docVar w:name="dvstar" w:val="***I"/>
    <w:docVar w:name="dvtitre" w:val="Legislative Entschließung des Europäischen Parlaments vom XX. XXX 2025 über den Vorschlag für einen Beschluss des Europäischen Parlaments und des Rates zur Änderung der Entscheidung 2003/17/EG des Rates zur Gleichstellung von Feldbesichtigungen der Vermehrungsbestände von Futterpflanzensaatgut in der Republik Moldau und der Gleichstellung des in der Republik Moldau erzeugten Futterpflanzensaatguts sowie zur Gleichstellung von Feldbesichtigungen der Vermehrungsbestände von Betarüben- und Ölpflanzensaatgut in der Ukraine und der Gleichstellung des in der Ukraine erzeugten Betarüben- und Ölpflanzensaatguts(COM(2024)0052 – C9-0026/2024 – 2024/0027(COD))"/>
  </w:docVars>
  <w:rsids>
    <w:rsidRoot w:val="00643153"/>
    <w:rsid w:val="00002272"/>
    <w:rsid w:val="00064002"/>
    <w:rsid w:val="000677B9"/>
    <w:rsid w:val="000831BA"/>
    <w:rsid w:val="000A42CC"/>
    <w:rsid w:val="000E7DD9"/>
    <w:rsid w:val="000F7680"/>
    <w:rsid w:val="0010095E"/>
    <w:rsid w:val="00125B37"/>
    <w:rsid w:val="00187494"/>
    <w:rsid w:val="001B29E7"/>
    <w:rsid w:val="001F32AE"/>
    <w:rsid w:val="00201486"/>
    <w:rsid w:val="002767FF"/>
    <w:rsid w:val="002B18FE"/>
    <w:rsid w:val="002B5493"/>
    <w:rsid w:val="002D35A5"/>
    <w:rsid w:val="00343214"/>
    <w:rsid w:val="00361C00"/>
    <w:rsid w:val="00395FA1"/>
    <w:rsid w:val="003E15D4"/>
    <w:rsid w:val="003F77C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153"/>
    <w:rsid w:val="006631B6"/>
    <w:rsid w:val="00680577"/>
    <w:rsid w:val="006C7442"/>
    <w:rsid w:val="006F74FA"/>
    <w:rsid w:val="00731ADD"/>
    <w:rsid w:val="00734777"/>
    <w:rsid w:val="00747932"/>
    <w:rsid w:val="00751A4A"/>
    <w:rsid w:val="00756632"/>
    <w:rsid w:val="00762C74"/>
    <w:rsid w:val="00786EC0"/>
    <w:rsid w:val="007D1690"/>
    <w:rsid w:val="007E22AD"/>
    <w:rsid w:val="00817416"/>
    <w:rsid w:val="00832303"/>
    <w:rsid w:val="00842779"/>
    <w:rsid w:val="00865F67"/>
    <w:rsid w:val="00881A7B"/>
    <w:rsid w:val="008840E5"/>
    <w:rsid w:val="00887B3E"/>
    <w:rsid w:val="008A0962"/>
    <w:rsid w:val="008C2AC6"/>
    <w:rsid w:val="00930C23"/>
    <w:rsid w:val="0093193B"/>
    <w:rsid w:val="009509D8"/>
    <w:rsid w:val="00950B64"/>
    <w:rsid w:val="0095388C"/>
    <w:rsid w:val="00981893"/>
    <w:rsid w:val="009C05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4AA"/>
    <w:rsid w:val="00CC2357"/>
    <w:rsid w:val="00CE3F12"/>
    <w:rsid w:val="00CF071A"/>
    <w:rsid w:val="00D058B8"/>
    <w:rsid w:val="00D56C11"/>
    <w:rsid w:val="00D834A0"/>
    <w:rsid w:val="00D872DF"/>
    <w:rsid w:val="00D91E21"/>
    <w:rsid w:val="00D92898"/>
    <w:rsid w:val="00DA7FCD"/>
    <w:rsid w:val="00E365E1"/>
    <w:rsid w:val="00E820A4"/>
    <w:rsid w:val="00EB006A"/>
    <w:rsid w:val="00EB4772"/>
    <w:rsid w:val="00ED169E"/>
    <w:rsid w:val="00ED4235"/>
    <w:rsid w:val="00EF1085"/>
    <w:rsid w:val="00EF1538"/>
    <w:rsid w:val="00F04346"/>
    <w:rsid w:val="00F075DC"/>
    <w:rsid w:val="00F149E9"/>
    <w:rsid w:val="00F5134D"/>
    <w:rsid w:val="00F74202"/>
    <w:rsid w:val="00F87713"/>
    <w:rsid w:val="00FB4360"/>
    <w:rsid w:val="00FC6D9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B85F7"/>
  <w15:chartTrackingRefBased/>
  <w15:docId w15:val="{6E9E7937-337F-4E3C-B752-02C7C685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F1085"/>
    <w:rPr>
      <w:b/>
    </w:rPr>
  </w:style>
  <w:style w:type="paragraph" w:customStyle="1" w:styleId="NormalHanging12a">
    <w:name w:val="NormalHanging12a"/>
    <w:basedOn w:val="Normal"/>
    <w:rsid w:val="00EF1085"/>
    <w:pPr>
      <w:spacing w:after="240"/>
      <w:ind w:left="567" w:hanging="567"/>
    </w:pPr>
  </w:style>
  <w:style w:type="paragraph" w:customStyle="1" w:styleId="NormalBold12b">
    <w:name w:val="NormalBold12b"/>
    <w:basedOn w:val="Normal"/>
    <w:rsid w:val="00EF1085"/>
    <w:pPr>
      <w:spacing w:before="240"/>
    </w:pPr>
    <w:rPr>
      <w:b/>
    </w:rPr>
  </w:style>
  <w:style w:type="paragraph" w:customStyle="1" w:styleId="EPComma">
    <w:name w:val="EPComma"/>
    <w:basedOn w:val="Normal"/>
    <w:rsid w:val="00EF1085"/>
    <w:pPr>
      <w:spacing w:before="480" w:after="240"/>
    </w:pPr>
  </w:style>
  <w:style w:type="character" w:customStyle="1" w:styleId="Normal6Char">
    <w:name w:val="Normal6 Char"/>
    <w:basedOn w:val="DefaultParagraphFont"/>
    <w:link w:val="Normal6"/>
    <w:locked/>
    <w:rsid w:val="00EF1085"/>
    <w:rPr>
      <w:sz w:val="24"/>
      <w:lang w:val="de-DE"/>
    </w:rPr>
  </w:style>
  <w:style w:type="paragraph" w:customStyle="1" w:styleId="Normal6">
    <w:name w:val="Normal6"/>
    <w:basedOn w:val="Normal"/>
    <w:link w:val="Normal6Char"/>
    <w:rsid w:val="00EF1085"/>
    <w:pPr>
      <w:spacing w:after="120"/>
    </w:pPr>
  </w:style>
  <w:style w:type="character" w:customStyle="1" w:styleId="NormalBoldChar">
    <w:name w:val="NormalBold Char"/>
    <w:basedOn w:val="DefaultParagraphFont"/>
    <w:link w:val="NormalBold"/>
    <w:locked/>
    <w:rsid w:val="00EF1085"/>
    <w:rPr>
      <w:b/>
      <w:sz w:val="24"/>
      <w:lang w:val="de-DE"/>
    </w:rPr>
  </w:style>
  <w:style w:type="paragraph" w:customStyle="1" w:styleId="ColumnHeading">
    <w:name w:val="ColumnHeading"/>
    <w:basedOn w:val="Normal"/>
    <w:rsid w:val="00EF1085"/>
    <w:pPr>
      <w:spacing w:after="240"/>
      <w:jc w:val="center"/>
    </w:pPr>
    <w:rPr>
      <w:i/>
    </w:rPr>
  </w:style>
  <w:style w:type="paragraph" w:customStyle="1" w:styleId="AMNumberTabs">
    <w:name w:val="AMNumberTabs"/>
    <w:basedOn w:val="Normal"/>
    <w:rsid w:val="00EF10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EF1085"/>
    <w:rPr>
      <w:color w:val="0000FF"/>
      <w:u w:val="single"/>
    </w:rPr>
  </w:style>
  <w:style w:type="character" w:styleId="CommentReference">
    <w:name w:val="annotation reference"/>
    <w:basedOn w:val="DefaultParagraphFont"/>
    <w:rsid w:val="008A0962"/>
    <w:rPr>
      <w:sz w:val="16"/>
      <w:szCs w:val="16"/>
    </w:rPr>
  </w:style>
  <w:style w:type="paragraph" w:styleId="CommentText">
    <w:name w:val="annotation text"/>
    <w:basedOn w:val="Normal"/>
    <w:link w:val="CommentTextChar"/>
    <w:rsid w:val="008A0962"/>
    <w:rPr>
      <w:sz w:val="20"/>
    </w:rPr>
  </w:style>
  <w:style w:type="character" w:customStyle="1" w:styleId="CommentTextChar">
    <w:name w:val="Comment Text Char"/>
    <w:basedOn w:val="DefaultParagraphFont"/>
    <w:link w:val="CommentText"/>
    <w:rsid w:val="008A0962"/>
    <w:rPr>
      <w:lang w:val="de-DE"/>
    </w:rPr>
  </w:style>
  <w:style w:type="paragraph" w:styleId="CommentSubject">
    <w:name w:val="annotation subject"/>
    <w:basedOn w:val="CommentText"/>
    <w:next w:val="CommentText"/>
    <w:link w:val="CommentSubjectChar"/>
    <w:rsid w:val="008A0962"/>
    <w:rPr>
      <w:b/>
      <w:bCs/>
    </w:rPr>
  </w:style>
  <w:style w:type="character" w:customStyle="1" w:styleId="CommentSubjectChar">
    <w:name w:val="Comment Subject Char"/>
    <w:basedOn w:val="CommentTextChar"/>
    <w:link w:val="CommentSubject"/>
    <w:rsid w:val="008A0962"/>
    <w:rPr>
      <w:b/>
      <w:bCs/>
      <w:lang w:val="de-DE"/>
    </w:rPr>
  </w:style>
  <w:style w:type="paragraph" w:styleId="BalloonText">
    <w:name w:val="Balloon Text"/>
    <w:basedOn w:val="Normal"/>
    <w:link w:val="BalloonTextChar"/>
    <w:rsid w:val="008A0962"/>
    <w:rPr>
      <w:rFonts w:ascii="Segoe UI" w:hAnsi="Segoe UI" w:cs="Segoe UI"/>
      <w:sz w:val="18"/>
      <w:szCs w:val="18"/>
    </w:rPr>
  </w:style>
  <w:style w:type="character" w:customStyle="1" w:styleId="BalloonTextChar">
    <w:name w:val="Balloon Text Char"/>
    <w:basedOn w:val="DefaultParagraphFont"/>
    <w:link w:val="BalloonText"/>
    <w:rsid w:val="008A0962"/>
    <w:rPr>
      <w:rFonts w:ascii="Segoe UI" w:hAnsi="Segoe UI" w:cs="Segoe UI"/>
      <w:sz w:val="18"/>
      <w:szCs w:val="18"/>
      <w:lang w:val="de-DE"/>
    </w:rPr>
  </w:style>
  <w:style w:type="paragraph" w:customStyle="1" w:styleId="Normal12Hanging">
    <w:name w:val="Normal12Hanging"/>
    <w:basedOn w:val="Normal"/>
    <w:rsid w:val="00CB14AA"/>
    <w:pPr>
      <w:spacing w:after="240"/>
      <w:ind w:left="357" w:hanging="357"/>
    </w:pPr>
    <w:rPr>
      <w:snapToGrid w:val="0"/>
    </w:rPr>
  </w:style>
  <w:style w:type="paragraph" w:customStyle="1" w:styleId="Normal12Centre">
    <w:name w:val="Normal12Centre"/>
    <w:basedOn w:val="Normal"/>
    <w:rsid w:val="00CB14AA"/>
    <w:pPr>
      <w:spacing w:after="240"/>
      <w:jc w:val="center"/>
    </w:pPr>
  </w:style>
  <w:style w:type="paragraph" w:customStyle="1" w:styleId="ConsLine">
    <w:name w:val="ConsLine"/>
    <w:basedOn w:val="Normal"/>
    <w:rsid w:val="00CB14AA"/>
    <w:pPr>
      <w:snapToGrid w:val="0"/>
      <w:spacing w:before="240" w:after="240"/>
      <w:jc w:val="center"/>
    </w:pPr>
    <w:rPr>
      <w:bCs/>
      <w:lang w:val="en-GB"/>
    </w:rPr>
  </w:style>
  <w:style w:type="paragraph" w:customStyle="1" w:styleId="NormalCentre">
    <w:name w:val="NormalCentre"/>
    <w:basedOn w:val="Normal"/>
    <w:rsid w:val="00CB14AA"/>
    <w:pPr>
      <w:snapToGrid w:val="0"/>
      <w:jc w:val="center"/>
    </w:pPr>
    <w:rPr>
      <w:lang w:val="en-G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CB14AA"/>
    <w:pPr>
      <w:widowControl/>
      <w:spacing w:after="160" w:line="240" w:lineRule="exact"/>
    </w:pPr>
    <w:rPr>
      <w:sz w:val="20"/>
      <w:vertAlign w:val="superscript"/>
      <w:lang w:val="en-GB"/>
    </w:rPr>
  </w:style>
  <w:style w:type="character" w:customStyle="1" w:styleId="ui-provider">
    <w:name w:val="ui-provider"/>
    <w:rsid w:val="00CB14AA"/>
  </w:style>
  <w:style w:type="paragraph" w:styleId="Footer">
    <w:name w:val="footer"/>
    <w:basedOn w:val="Normal"/>
    <w:link w:val="FooterChar"/>
    <w:rsid w:val="00CB14AA"/>
    <w:pPr>
      <w:tabs>
        <w:tab w:val="center" w:pos="4513"/>
        <w:tab w:val="right" w:pos="9026"/>
      </w:tabs>
    </w:pPr>
  </w:style>
  <w:style w:type="character" w:customStyle="1" w:styleId="FooterChar">
    <w:name w:val="Footer Char"/>
    <w:basedOn w:val="DefaultParagraphFont"/>
    <w:link w:val="Footer"/>
    <w:rsid w:val="00CB14AA"/>
    <w:rPr>
      <w:sz w:val="24"/>
      <w:lang w:val="de-DE"/>
    </w:rPr>
  </w:style>
  <w:style w:type="character" w:customStyle="1" w:styleId="normaltextrun">
    <w:name w:val="normaltextrun"/>
    <w:basedOn w:val="DefaultParagraphFont"/>
    <w:rsid w:val="00EF1538"/>
  </w:style>
  <w:style w:type="character" w:customStyle="1" w:styleId="eop">
    <w:name w:val="eop"/>
    <w:basedOn w:val="DefaultParagraphFont"/>
    <w:rsid w:val="00EF1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F85E4-FD23-430A-8028-E8B1A77CF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387</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cp:lastModifiedBy>
  <cp:revision>2</cp:revision>
  <cp:lastPrinted>2004-11-19T15:42:00Z</cp:lastPrinted>
  <dcterms:created xsi:type="dcterms:W3CDTF">2025-07-03T15:21:00Z</dcterms:created>
  <dcterms:modified xsi:type="dcterms:W3CDTF">2025-07-03T15:21:00Z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P10_TA(2025)0110_</vt:lpwstr>
  </property>
  <property fmtid="{D5CDD505-2E9C-101B-9397-08002B2CF9AE}" pid="4" name="&lt;Type&gt;">
    <vt:lpwstr>RR</vt:lpwstr>
  </property>
</Properties>
</file>