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1F12" w14:paraId="5601088B" w14:textId="77777777" w:rsidTr="0010095E">
        <w:trPr>
          <w:trHeight w:hRule="exact" w:val="1418"/>
        </w:trPr>
        <w:tc>
          <w:tcPr>
            <w:tcW w:w="6804" w:type="dxa"/>
            <w:shd w:val="clear" w:color="auto" w:fill="auto"/>
            <w:vAlign w:val="center"/>
          </w:tcPr>
          <w:p w14:paraId="7037AF8C" w14:textId="77777777" w:rsidR="00751A4A" w:rsidRPr="00771F12" w:rsidRDefault="00484EB6" w:rsidP="0010095E">
            <w:pPr>
              <w:pStyle w:val="EPName"/>
            </w:pPr>
            <w:r w:rsidRPr="00771F12">
              <w:t>Euroopa Parlament</w:t>
            </w:r>
          </w:p>
          <w:p w14:paraId="23567749" w14:textId="77777777" w:rsidR="00751A4A" w:rsidRPr="00771F12" w:rsidRDefault="005F1B17" w:rsidP="005F1B17">
            <w:pPr>
              <w:pStyle w:val="EPTerm"/>
              <w:rPr>
                <w:rStyle w:val="HideTWBExt"/>
                <w:noProof w:val="0"/>
                <w:vanish w:val="0"/>
                <w:color w:val="auto"/>
              </w:rPr>
            </w:pPr>
            <w:r w:rsidRPr="00771F12">
              <w:t>2024</w:t>
            </w:r>
            <w:r w:rsidR="00817416" w:rsidRPr="00771F12">
              <w:t>-202</w:t>
            </w:r>
            <w:r w:rsidRPr="00771F12">
              <w:t>9</w:t>
            </w:r>
          </w:p>
        </w:tc>
        <w:tc>
          <w:tcPr>
            <w:tcW w:w="2268" w:type="dxa"/>
            <w:shd w:val="clear" w:color="auto" w:fill="auto"/>
          </w:tcPr>
          <w:p w14:paraId="472AF4E0" w14:textId="77777777" w:rsidR="00751A4A" w:rsidRPr="00771F12" w:rsidRDefault="00187494" w:rsidP="0010095E">
            <w:pPr>
              <w:pStyle w:val="EPLogo"/>
            </w:pPr>
            <w:r w:rsidRPr="00771F12">
              <w:rPr>
                <w:noProof/>
                <w:lang w:val="en-GB"/>
              </w:rPr>
              <w:drawing>
                <wp:inline distT="0" distB="0" distL="0" distR="0" wp14:anchorId="4BB09494" wp14:editId="5040CC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B1AE2B" w14:textId="77777777" w:rsidR="00D058B8" w:rsidRPr="00771F12" w:rsidRDefault="00D058B8" w:rsidP="004C5D52">
      <w:pPr>
        <w:pStyle w:val="LineTop"/>
      </w:pPr>
    </w:p>
    <w:p w14:paraId="3B7349CA" w14:textId="77777777" w:rsidR="00680577" w:rsidRPr="00771F12" w:rsidRDefault="00484EB6" w:rsidP="00680577">
      <w:pPr>
        <w:pStyle w:val="EPBodyTA1"/>
      </w:pPr>
      <w:r w:rsidRPr="00771F12">
        <w:t>VASTUVÕETUD TEKSTID</w:t>
      </w:r>
    </w:p>
    <w:p w14:paraId="50E29DA1" w14:textId="77777777" w:rsidR="00D058B8" w:rsidRPr="00771F12" w:rsidRDefault="00D058B8" w:rsidP="00D058B8">
      <w:pPr>
        <w:pStyle w:val="LineBottom"/>
      </w:pPr>
    </w:p>
    <w:p w14:paraId="20C6073A" w14:textId="2B6044DC" w:rsidR="00484EB6" w:rsidRPr="00771F12" w:rsidRDefault="00484EB6" w:rsidP="00484EB6">
      <w:pPr>
        <w:pStyle w:val="ATHeading1"/>
      </w:pPr>
      <w:bookmarkStart w:id="0" w:name="TANumber"/>
      <w:r w:rsidRPr="00771F12">
        <w:t>P10_TA(2025)0</w:t>
      </w:r>
      <w:r w:rsidR="001E369F" w:rsidRPr="00771F12">
        <w:t>110</w:t>
      </w:r>
      <w:bookmarkEnd w:id="0"/>
    </w:p>
    <w:p w14:paraId="680FF876" w14:textId="422F0C73" w:rsidR="00484EB6" w:rsidRPr="00771F12" w:rsidRDefault="00484EB6" w:rsidP="00484EB6">
      <w:pPr>
        <w:pStyle w:val="ATHeading2"/>
      </w:pPr>
      <w:bookmarkStart w:id="1" w:name="title"/>
      <w:r w:rsidRPr="00771F12">
        <w:t xml:space="preserve">Moldova ja Ukraina põldtunnustamise ja seemnetootmise </w:t>
      </w:r>
      <w:r w:rsidR="00390FED" w:rsidRPr="00771F12">
        <w:t>samaväärseks tunnistamine</w:t>
      </w:r>
      <w:bookmarkEnd w:id="1"/>
    </w:p>
    <w:p w14:paraId="47BBB024" w14:textId="77777777" w:rsidR="00484EB6" w:rsidRPr="00771F12" w:rsidRDefault="00484EB6" w:rsidP="00484EB6">
      <w:pPr>
        <w:rPr>
          <w:i/>
          <w:vanish/>
        </w:rPr>
      </w:pPr>
      <w:r w:rsidRPr="00771F12">
        <w:rPr>
          <w:i/>
        </w:rPr>
        <w:fldChar w:fldCharType="begin"/>
      </w:r>
      <w:r w:rsidRPr="00771F12">
        <w:rPr>
          <w:i/>
        </w:rPr>
        <w:instrText xml:space="preserve"> TC"(</w:instrText>
      </w:r>
      <w:bookmarkStart w:id="2" w:name="DocNumber"/>
      <w:r w:rsidRPr="00771F12">
        <w:rPr>
          <w:i/>
        </w:rPr>
        <w:instrText>A10-0043/2025</w:instrText>
      </w:r>
      <w:bookmarkEnd w:id="2"/>
      <w:r w:rsidRPr="00771F12">
        <w:rPr>
          <w:i/>
        </w:rPr>
        <w:instrText xml:space="preserve"> - Raportöör: Veronika Vrecionová)"\l3 \n&gt; \* MERGEFORMAT </w:instrText>
      </w:r>
      <w:r w:rsidRPr="00771F12">
        <w:rPr>
          <w:i/>
        </w:rPr>
        <w:fldChar w:fldCharType="end"/>
      </w:r>
    </w:p>
    <w:p w14:paraId="066136CA" w14:textId="77777777" w:rsidR="00484EB6" w:rsidRPr="00771F12" w:rsidRDefault="00484EB6" w:rsidP="00484EB6">
      <w:pPr>
        <w:rPr>
          <w:vanish/>
        </w:rPr>
      </w:pPr>
      <w:bookmarkStart w:id="3" w:name="Commission"/>
      <w:r w:rsidRPr="00771F12">
        <w:rPr>
          <w:vanish/>
        </w:rPr>
        <w:t>Põllumajanduse ja maaelu arengu komisjon</w:t>
      </w:r>
      <w:bookmarkEnd w:id="3"/>
    </w:p>
    <w:p w14:paraId="5A7F9176" w14:textId="77777777" w:rsidR="00484EB6" w:rsidRPr="00771F12" w:rsidRDefault="00484EB6" w:rsidP="00484EB6">
      <w:pPr>
        <w:rPr>
          <w:vanish/>
        </w:rPr>
      </w:pPr>
      <w:bookmarkStart w:id="4" w:name="PE"/>
      <w:r w:rsidRPr="00771F12">
        <w:rPr>
          <w:vanish/>
        </w:rPr>
        <w:t>PE766.952</w:t>
      </w:r>
      <w:bookmarkEnd w:id="4"/>
    </w:p>
    <w:p w14:paraId="6AFC50E7" w14:textId="77777777" w:rsidR="00484EB6" w:rsidRPr="00771F12" w:rsidRDefault="00693CC1" w:rsidP="00484EB6">
      <w:pPr>
        <w:pStyle w:val="ATHeading3"/>
      </w:pPr>
      <w:bookmarkStart w:id="5" w:name="Sujet"/>
      <w:r w:rsidRPr="00771F12">
        <w:t>Euroopa Parlamendi 22</w:t>
      </w:r>
      <w:r w:rsidR="00484EB6" w:rsidRPr="00771F12">
        <w:t>.</w:t>
      </w:r>
      <w:r w:rsidRPr="00771F12">
        <w:t> mai 2025. </w:t>
      </w:r>
      <w:r w:rsidR="00484EB6" w:rsidRPr="00771F12">
        <w:t>aasta seadusandlik resolutsioon ettepaneku kohta võtta vastu Euroopa Parlamendi ja nõukogu otsus, mi</w:t>
      </w:r>
      <w:r w:rsidRPr="00771F12">
        <w:t>llega muudetakse nõukogu otsust </w:t>
      </w:r>
      <w:r w:rsidR="00484EB6" w:rsidRPr="00771F12">
        <w:t>2003/17/EÜ Moldova Vabariigis söödakultuuride tootmiseks kasvatatavate seemnekultuuride põldtunnustamise samaväärsuse ja Moldova Vabariigis kasvatatud söödakultuuride seemne samaväärsuse ning Ukrainas peedi ja õlitaimede seemnekultuuride põldtunnustamise samaväärsuse ja Ukrainas kasvatatud peedi ja õlitaimede seemne samaväärsuse osas</w:t>
      </w:r>
      <w:bookmarkEnd w:id="5"/>
      <w:r w:rsidR="00484EB6" w:rsidRPr="00771F12">
        <w:t xml:space="preserve"> </w:t>
      </w:r>
      <w:bookmarkStart w:id="6" w:name="References"/>
      <w:r w:rsidRPr="00771F12">
        <w:t>(COM(2024)0052 – C9</w:t>
      </w:r>
      <w:r w:rsidRPr="00771F12">
        <w:noBreakHyphen/>
      </w:r>
      <w:r w:rsidR="00484EB6" w:rsidRPr="00771F12">
        <w:t>0026/2024 – 2024/0027(COD))</w:t>
      </w:r>
      <w:bookmarkStart w:id="7" w:name="_GoBack"/>
      <w:bookmarkEnd w:id="6"/>
      <w:bookmarkEnd w:id="7"/>
    </w:p>
    <w:p w14:paraId="6CB8A37A" w14:textId="77777777" w:rsidR="00103E2E" w:rsidRPr="00771F12" w:rsidRDefault="00103E2E" w:rsidP="00103E2E">
      <w:pPr>
        <w:pStyle w:val="NormalBold"/>
      </w:pPr>
      <w:r w:rsidRPr="00771F12">
        <w:t>(Seadusandlik tavamenetlus: esimene lugemine)</w:t>
      </w:r>
    </w:p>
    <w:p w14:paraId="02647F60" w14:textId="77777777" w:rsidR="00103E2E" w:rsidRPr="00771F12" w:rsidRDefault="00103E2E" w:rsidP="00103E2E">
      <w:pPr>
        <w:pStyle w:val="EPComma"/>
      </w:pPr>
      <w:r w:rsidRPr="00771F12">
        <w:rPr>
          <w:i/>
        </w:rPr>
        <w:t>Euroopa Parlament</w:t>
      </w:r>
      <w:r w:rsidRPr="00771F12">
        <w:t>,</w:t>
      </w:r>
    </w:p>
    <w:p w14:paraId="647749AF" w14:textId="77777777" w:rsidR="00103E2E" w:rsidRPr="00771F12" w:rsidRDefault="00103E2E" w:rsidP="00103E2E">
      <w:pPr>
        <w:pStyle w:val="NormalHanging12a"/>
      </w:pPr>
      <w:r w:rsidRPr="00771F12">
        <w:t>–</w:t>
      </w:r>
      <w:r w:rsidRPr="00771F12">
        <w:tab/>
        <w:t>võttes arvesse komisjoni ettepanekut Euroopa Parlamendile ja nõukogule (COM(2024)0052),</w:t>
      </w:r>
    </w:p>
    <w:p w14:paraId="4F52A72D" w14:textId="77777777" w:rsidR="00103E2E" w:rsidRPr="00771F12" w:rsidRDefault="00103E2E" w:rsidP="00103E2E">
      <w:pPr>
        <w:pStyle w:val="NormalHanging12a"/>
      </w:pPr>
      <w:r w:rsidRPr="00771F12">
        <w:t>–</w:t>
      </w:r>
      <w:r w:rsidRPr="00771F12">
        <w:tab/>
        <w:t>võttes arvesse Euroopa Liidu toimimise lepingu artikli 294 lõiget 2 ja artikli 43 lõiget 2, mille alusel komisjon esitas ette</w:t>
      </w:r>
      <w:r w:rsidR="00693CC1" w:rsidRPr="00771F12">
        <w:t>paneku Euroopa Parlamendile (C9</w:t>
      </w:r>
      <w:r w:rsidR="00693CC1" w:rsidRPr="00771F12">
        <w:noBreakHyphen/>
      </w:r>
      <w:r w:rsidRPr="00771F12">
        <w:t>0026/2024),</w:t>
      </w:r>
    </w:p>
    <w:p w14:paraId="30E449B5" w14:textId="77777777" w:rsidR="00103E2E" w:rsidRPr="00771F12" w:rsidRDefault="00103E2E" w:rsidP="00103E2E">
      <w:pPr>
        <w:pStyle w:val="NormalHanging12a"/>
      </w:pPr>
      <w:r w:rsidRPr="00771F12">
        <w:t>–</w:t>
      </w:r>
      <w:r w:rsidRPr="00771F12">
        <w:tab/>
        <w:t>võttes arvesse Euroopa Liidu toimimise lepingu artikli 294 lõiget 3,</w:t>
      </w:r>
    </w:p>
    <w:p w14:paraId="40EC6EDC" w14:textId="6A533C51" w:rsidR="00103E2E" w:rsidRPr="00771F12" w:rsidRDefault="00103E2E" w:rsidP="00103E2E">
      <w:pPr>
        <w:pStyle w:val="NormalHanging12a"/>
      </w:pPr>
      <w:r w:rsidRPr="00771F12">
        <w:t>–</w:t>
      </w:r>
      <w:r w:rsidRPr="00771F12">
        <w:tab/>
        <w:t>võttes arvesse Euroopa Majandus- ja Sotsiaalkomitee 20. märtsi 2024. aasta arvamust</w:t>
      </w:r>
      <w:r w:rsidRPr="00771F12">
        <w:rPr>
          <w:rStyle w:val="FootnoteReference"/>
        </w:rPr>
        <w:footnoteReference w:id="1"/>
      </w:r>
      <w:r w:rsidRPr="00771F12">
        <w:t xml:space="preserve">, </w:t>
      </w:r>
    </w:p>
    <w:p w14:paraId="163DEE48" w14:textId="4896F098" w:rsidR="007C20E3" w:rsidRPr="00771F12" w:rsidRDefault="007C20E3" w:rsidP="00103E2E">
      <w:pPr>
        <w:pStyle w:val="NormalHanging12a"/>
      </w:pPr>
      <w:r w:rsidRPr="00771F12">
        <w:t>–</w:t>
      </w:r>
      <w:r w:rsidRPr="00771F12">
        <w:tab/>
        <w:t>võttes arvesse nõukogu esindaja poolt 30. aprilli 2025. aasta kirjas võetud kohustust kiita Euroopa Parlamendi seisukoht heaks vastavalt Euroopa Liidu toimimise lepingu artikli 294 lõikele 4,</w:t>
      </w:r>
    </w:p>
    <w:p w14:paraId="4965BA0C" w14:textId="77777777" w:rsidR="00103E2E" w:rsidRPr="00771F12" w:rsidRDefault="00103E2E" w:rsidP="00103E2E">
      <w:pPr>
        <w:pStyle w:val="NormalHanging12a"/>
      </w:pPr>
      <w:r w:rsidRPr="00771F12">
        <w:t>–</w:t>
      </w:r>
      <w:r w:rsidRPr="00771F12">
        <w:tab/>
        <w:t>võttes arvesse kodukorra artiklit 60,</w:t>
      </w:r>
    </w:p>
    <w:p w14:paraId="5E9F4D2D" w14:textId="77777777" w:rsidR="00103E2E" w:rsidRPr="00771F12" w:rsidRDefault="00103E2E" w:rsidP="00103E2E">
      <w:pPr>
        <w:pStyle w:val="NormalHanging12a"/>
      </w:pPr>
      <w:r w:rsidRPr="00771F12">
        <w:t>–</w:t>
      </w:r>
      <w:r w:rsidRPr="00771F12">
        <w:tab/>
        <w:t>võttes arvesse põllumajanduse ja maaelu</w:t>
      </w:r>
      <w:r w:rsidR="00693CC1" w:rsidRPr="00771F12">
        <w:t xml:space="preserve"> arengu komisjoni raportit (A10</w:t>
      </w:r>
      <w:r w:rsidR="00693CC1" w:rsidRPr="00771F12">
        <w:noBreakHyphen/>
      </w:r>
      <w:r w:rsidRPr="00771F12">
        <w:t>0043/2025),</w:t>
      </w:r>
    </w:p>
    <w:p w14:paraId="2060A9FD" w14:textId="77777777" w:rsidR="00103E2E" w:rsidRPr="00771F12" w:rsidRDefault="00103E2E" w:rsidP="00103E2E">
      <w:pPr>
        <w:pStyle w:val="NormalHanging12a"/>
      </w:pPr>
      <w:r w:rsidRPr="00771F12">
        <w:lastRenderedPageBreak/>
        <w:t>1.</w:t>
      </w:r>
      <w:r w:rsidRPr="00771F12">
        <w:tab/>
        <w:t>võtab vastu allpool toodud esimese lugemise seisukoha;</w:t>
      </w:r>
    </w:p>
    <w:p w14:paraId="3766254E" w14:textId="77777777" w:rsidR="00103E2E" w:rsidRPr="00771F12" w:rsidRDefault="00103E2E" w:rsidP="00103E2E">
      <w:pPr>
        <w:pStyle w:val="NormalHanging12a"/>
      </w:pPr>
      <w:r w:rsidRPr="00771F12">
        <w:t>2.</w:t>
      </w:r>
      <w:r w:rsidRPr="00771F12">
        <w:tab/>
        <w:t>palub komisjonil ettepaneku uuesti Euroopa Parlamendile saata, kui komisjon asendab oma ettepaneku, muudab seda oluliselt või kavatseb seda oluliselt muuta;</w:t>
      </w:r>
    </w:p>
    <w:p w14:paraId="64B1E55E" w14:textId="1749FC63" w:rsidR="00103E2E" w:rsidRPr="00771F12" w:rsidRDefault="00103E2E" w:rsidP="00103E2E">
      <w:pPr>
        <w:pStyle w:val="NormalHanging12a"/>
      </w:pPr>
      <w:r w:rsidRPr="00771F12">
        <w:t>3.</w:t>
      </w:r>
      <w:r w:rsidRPr="00771F12">
        <w:tab/>
        <w:t>teeb presidendile ülesandeks edastada Euroopa Parlamendi seisukoht nõukogule</w:t>
      </w:r>
      <w:r w:rsidR="000E2208" w:rsidRPr="00771F12">
        <w:t>,</w:t>
      </w:r>
      <w:r w:rsidRPr="00771F12">
        <w:t xml:space="preserve"> komisjonile ning liikmesriikide parlamentidele.</w:t>
      </w:r>
    </w:p>
    <w:p w14:paraId="17B944A8" w14:textId="77777777" w:rsidR="00693CC1" w:rsidRPr="00771F12" w:rsidRDefault="00693CC1" w:rsidP="00103E2E">
      <w:pPr>
        <w:pStyle w:val="AMNumberTabs"/>
        <w:keepNext/>
      </w:pPr>
    </w:p>
    <w:p w14:paraId="398B9E06" w14:textId="77777777" w:rsidR="00693CC1" w:rsidRPr="00771F12" w:rsidRDefault="00693CC1" w:rsidP="00103E2E">
      <w:pPr>
        <w:pStyle w:val="AMNumberTabs"/>
        <w:keepNext/>
        <w:sectPr w:rsidR="00693CC1" w:rsidRPr="00771F12" w:rsidSect="009E4ACE">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p>
    <w:p w14:paraId="12DEF83A" w14:textId="4B0C55CF" w:rsidR="0013218D" w:rsidRPr="00771F12" w:rsidRDefault="0013218D" w:rsidP="0013218D">
      <w:pPr>
        <w:widowControl/>
        <w:spacing w:after="240"/>
        <w:rPr>
          <w:b/>
          <w:szCs w:val="24"/>
          <w:lang w:eastAsia="de-DE"/>
        </w:rPr>
      </w:pPr>
      <w:r w:rsidRPr="00771F12">
        <w:rPr>
          <w:b/>
          <w:szCs w:val="24"/>
          <w:lang w:eastAsia="de-DE"/>
        </w:rPr>
        <w:lastRenderedPageBreak/>
        <w:t>P10_</w:t>
      </w:r>
      <w:r w:rsidRPr="00771F12">
        <w:rPr>
          <w:b/>
          <w:noProof/>
          <w:szCs w:val="24"/>
          <w:lang w:eastAsia="de-DE"/>
        </w:rPr>
        <w:t>TC1-COD</w:t>
      </w:r>
      <w:r w:rsidRPr="00771F12">
        <w:rPr>
          <w:b/>
          <w:szCs w:val="24"/>
          <w:lang w:eastAsia="de-DE"/>
        </w:rPr>
        <w:t>(2024)0027</w:t>
      </w:r>
    </w:p>
    <w:p w14:paraId="102FC61B" w14:textId="0056613A" w:rsidR="003A0C00" w:rsidRDefault="0013218D" w:rsidP="0013218D">
      <w:pPr>
        <w:widowControl/>
        <w:spacing w:after="240"/>
        <w:rPr>
          <w:rFonts w:eastAsia="Calibri"/>
          <w:b/>
          <w:noProof/>
          <w:szCs w:val="22"/>
          <w:lang w:eastAsia="en-US"/>
        </w:rPr>
      </w:pPr>
      <w:r w:rsidRPr="00771F12">
        <w:rPr>
          <w:b/>
          <w:noProof/>
          <w:szCs w:val="24"/>
        </w:rPr>
        <w:t xml:space="preserve">Euroopa Parlamendi seisukoht, vastu võetud esimesel lugemisel 22. mail 2025. aastal eesmärgiga võtta vastu Euroopa Parlamendi ja nõukogu </w:t>
      </w:r>
      <w:r w:rsidRPr="00771F12">
        <w:rPr>
          <w:b/>
          <w:szCs w:val="24"/>
        </w:rPr>
        <w:t xml:space="preserve">otsus (EL) 2025/…, </w:t>
      </w:r>
      <w:r w:rsidR="003A0C00" w:rsidRPr="00771F12">
        <w:rPr>
          <w:rFonts w:eastAsia="Calibri"/>
          <w:b/>
          <w:noProof/>
          <w:szCs w:val="22"/>
          <w:lang w:eastAsia="en-US"/>
        </w:rPr>
        <w:t>millega muudetakse nõukogu otsust 2003/17/EÜ Moldova Vabariigis söödakultuuride tootmiseks kasvatatavate seemnekultuuride põldtunnustamise samaväärsuse ja Moldova Vabariigis kasvatatud söödakultuuride seemne samaväärsuse ning Ukrainas peedi ja õlitaimede seemnekultuuride põldtunnustamise samaväärsuse ja Ukrainas kasvatatud peedi- ja õlitaimede seemne samaväärsuse osas</w:t>
      </w:r>
    </w:p>
    <w:p w14:paraId="70ABF81A" w14:textId="4CE3603B" w:rsidR="00DC4449" w:rsidRDefault="00DC4449" w:rsidP="00DC4449">
      <w:pPr>
        <w:rPr>
          <w:i/>
        </w:rPr>
      </w:pPr>
      <w:r w:rsidRPr="0065180A">
        <w:rPr>
          <w:i/>
        </w:rPr>
        <w:t xml:space="preserve">(Kuna Euroopa Parlament ja nõukogu jõudsid kokkuleppele, vastab Euroopa Parlamendi seisukoht õigusakti (otsus </w:t>
      </w:r>
      <w:r>
        <w:rPr>
          <w:i/>
        </w:rPr>
        <w:t>(EL) 2025/1228</w:t>
      </w:r>
      <w:r w:rsidRPr="0065180A">
        <w:rPr>
          <w:i/>
        </w:rPr>
        <w:t>) lõplikule kujule)</w:t>
      </w:r>
      <w:r>
        <w:rPr>
          <w:i/>
        </w:rPr>
        <w:t>.</w:t>
      </w:r>
    </w:p>
    <w:sectPr w:rsidR="00DC4449" w:rsidSect="00DC4449">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F3C3A9" w14:textId="77777777" w:rsidR="00484EB6" w:rsidRPr="009E4ACE" w:rsidRDefault="00484EB6">
      <w:r w:rsidRPr="009E4ACE">
        <w:separator/>
      </w:r>
    </w:p>
  </w:endnote>
  <w:endnote w:type="continuationSeparator" w:id="0">
    <w:p w14:paraId="24B59237" w14:textId="77777777" w:rsidR="00484EB6" w:rsidRPr="009E4ACE" w:rsidRDefault="00484EB6">
      <w:r w:rsidRPr="009E4A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20919" w14:textId="77777777" w:rsidR="00064002" w:rsidRPr="009E4AC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4F7C7" w14:textId="77777777" w:rsidR="00064002" w:rsidRPr="009E4AC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5A856" w14:textId="77777777" w:rsidR="00064002" w:rsidRPr="009E4A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0D2ED8" w14:textId="77777777" w:rsidR="00484EB6" w:rsidRPr="009E4ACE" w:rsidRDefault="00484EB6">
      <w:r w:rsidRPr="009E4ACE">
        <w:separator/>
      </w:r>
    </w:p>
  </w:footnote>
  <w:footnote w:type="continuationSeparator" w:id="0">
    <w:p w14:paraId="2F9DD8F1" w14:textId="77777777" w:rsidR="00484EB6" w:rsidRPr="009E4ACE" w:rsidRDefault="00484EB6">
      <w:r w:rsidRPr="009E4ACE">
        <w:continuationSeparator/>
      </w:r>
    </w:p>
  </w:footnote>
  <w:footnote w:id="1">
    <w:p w14:paraId="3C749CE9" w14:textId="77777777" w:rsidR="00103E2E" w:rsidRPr="009E4ACE" w:rsidRDefault="00103E2E" w:rsidP="009E4ACE">
      <w:pPr>
        <w:pStyle w:val="FootnoteText"/>
        <w:ind w:left="567" w:hanging="567"/>
        <w:rPr>
          <w:sz w:val="24"/>
          <w:szCs w:val="24"/>
          <w:lang w:val="et-EE"/>
        </w:rPr>
      </w:pPr>
      <w:r w:rsidRPr="009E4ACE">
        <w:rPr>
          <w:rStyle w:val="FootnoteReference"/>
          <w:sz w:val="24"/>
          <w:szCs w:val="24"/>
          <w:lang w:val="et-EE"/>
        </w:rPr>
        <w:footnoteRef/>
      </w:r>
      <w:r w:rsidR="009E4ACE" w:rsidRPr="009E4ACE">
        <w:rPr>
          <w:color w:val="333333"/>
          <w:sz w:val="24"/>
          <w:shd w:val="clear" w:color="auto" w:fill="FFFFFF"/>
          <w:lang w:val="et-EE"/>
        </w:rPr>
        <w:t xml:space="preserve"> </w:t>
      </w:r>
      <w:r w:rsidR="009E4ACE" w:rsidRPr="009E4ACE">
        <w:rPr>
          <w:color w:val="333333"/>
          <w:sz w:val="24"/>
          <w:shd w:val="clear" w:color="auto" w:fill="FFFFFF"/>
          <w:lang w:val="et-EE"/>
        </w:rPr>
        <w:tab/>
      </w:r>
      <w:r w:rsidR="00693CC1">
        <w:rPr>
          <w:color w:val="333333"/>
          <w:sz w:val="24"/>
          <w:shd w:val="clear" w:color="auto" w:fill="FFFFFF"/>
          <w:lang w:val="et-EE"/>
        </w:rPr>
        <w:t>ELT </w:t>
      </w:r>
      <w:r w:rsidRPr="009E4ACE">
        <w:rPr>
          <w:color w:val="333333"/>
          <w:sz w:val="24"/>
          <w:shd w:val="clear" w:color="auto" w:fill="FFFFFF"/>
          <w:lang w:val="et-EE"/>
        </w:rPr>
        <w:t>C, C/2024/3386, 31.5 2024, ELI: </w:t>
      </w:r>
      <w:hyperlink r:id="rId1" w:tgtFrame="_blank" w:tooltip="Annab juurdepääsu sellele dokumendile ELI URI kaudu." w:history="1">
        <w:r w:rsidRPr="009E4ACE">
          <w:rPr>
            <w:rStyle w:val="Hyperlink"/>
            <w:color w:val="337AB7"/>
            <w:sz w:val="24"/>
            <w:lang w:val="et-EE"/>
          </w:rPr>
          <w:t>http://data.europa.eu/eli/C/2024/3386/oj</w:t>
        </w:r>
      </w:hyperlink>
      <w:r w:rsidRPr="009E4ACE">
        <w:rPr>
          <w:color w:val="333333"/>
          <w:sz w:val="24"/>
          <w:shd w:val="clear" w:color="auto" w:fill="FFFFFF"/>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279A8" w14:textId="77777777" w:rsidR="00064002" w:rsidRPr="009E4A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82539" w14:textId="77777777" w:rsidR="00064002" w:rsidRPr="009E4A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36DDB" w14:textId="77777777" w:rsidR="00064002" w:rsidRPr="009E4A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3/2025"/>
    <w:docVar w:name="dvlangue" w:val="ET"/>
    <w:docVar w:name="dvnumam" w:val="0"/>
    <w:docVar w:name="dvpe" w:val="766.952"/>
    <w:docVar w:name="dvrapporteur" w:val="Raportöör: "/>
    <w:docVar w:name="dvstar" w:val="***I"/>
    <w:docVar w:name="dvtitre" w:val="Euroopa Parlamendi .... 2025. aasta seadusandlik resolutsioon ettepaneku kohta võtta vastu Euroopa Parlamendi ja nõukogu otsus, millega muudetakse nõukogu otsust 2003/17/EÜ Moldova Vabariigis söödakultuuride tootmiseks kasvatatavate seemnekultuuride põldtunnustamise samaväärsuse ja Moldova Vabariigis kasvatatud söödakultuuride seemne samaväärsuse ning Ukrainas peedi ja õlitaimede seemnekultuuride põldtunnustamise samaväärsuse ja Ukrainas kasvatatud peedi ja õlitaimede seemne samaväärsuse osas(COM(2024)0052 – C9-0026/2024 – 2024/0027(COD))"/>
  </w:docVars>
  <w:rsids>
    <w:rsidRoot w:val="00484EB6"/>
    <w:rsid w:val="00002272"/>
    <w:rsid w:val="00064002"/>
    <w:rsid w:val="000677B9"/>
    <w:rsid w:val="000831BA"/>
    <w:rsid w:val="000A42CC"/>
    <w:rsid w:val="000E2208"/>
    <w:rsid w:val="000E7DD9"/>
    <w:rsid w:val="0010095E"/>
    <w:rsid w:val="00103E2E"/>
    <w:rsid w:val="00125B37"/>
    <w:rsid w:val="0013218D"/>
    <w:rsid w:val="00187494"/>
    <w:rsid w:val="001E369F"/>
    <w:rsid w:val="001F32AE"/>
    <w:rsid w:val="002767FF"/>
    <w:rsid w:val="002B18FE"/>
    <w:rsid w:val="002B5493"/>
    <w:rsid w:val="00343214"/>
    <w:rsid w:val="00361C00"/>
    <w:rsid w:val="00390FED"/>
    <w:rsid w:val="00395FA1"/>
    <w:rsid w:val="003A0C00"/>
    <w:rsid w:val="003E15D4"/>
    <w:rsid w:val="003F68EB"/>
    <w:rsid w:val="00411CCE"/>
    <w:rsid w:val="0041666E"/>
    <w:rsid w:val="00421060"/>
    <w:rsid w:val="00471C19"/>
    <w:rsid w:val="00484EB6"/>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3CC1"/>
    <w:rsid w:val="006F74FA"/>
    <w:rsid w:val="00731ADD"/>
    <w:rsid w:val="00734777"/>
    <w:rsid w:val="00747932"/>
    <w:rsid w:val="00751A4A"/>
    <w:rsid w:val="00756632"/>
    <w:rsid w:val="00762C74"/>
    <w:rsid w:val="00771F12"/>
    <w:rsid w:val="00786EC0"/>
    <w:rsid w:val="007C20E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4AC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449"/>
    <w:rsid w:val="00E365E1"/>
    <w:rsid w:val="00E820A4"/>
    <w:rsid w:val="00EB006A"/>
    <w:rsid w:val="00EB4772"/>
    <w:rsid w:val="00ED169E"/>
    <w:rsid w:val="00ED4235"/>
    <w:rsid w:val="00F04346"/>
    <w:rsid w:val="00F075DC"/>
    <w:rsid w:val="00F149E9"/>
    <w:rsid w:val="00F5134D"/>
    <w:rsid w:val="00F74202"/>
    <w:rsid w:val="00F8350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A2336C"/>
  <w15:chartTrackingRefBased/>
  <w15:docId w15:val="{F5D864AB-C5AD-454E-A8B0-08768DC97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Reference Superscript,BVI fn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103E2E"/>
    <w:rPr>
      <w:b/>
    </w:rPr>
  </w:style>
  <w:style w:type="paragraph" w:customStyle="1" w:styleId="NormalHanging12a">
    <w:name w:val="NormalHanging12a"/>
    <w:basedOn w:val="Normal"/>
    <w:rsid w:val="00103E2E"/>
    <w:pPr>
      <w:spacing w:after="240"/>
      <w:ind w:left="567" w:hanging="567"/>
    </w:pPr>
  </w:style>
  <w:style w:type="paragraph" w:customStyle="1" w:styleId="NormalBold12b">
    <w:name w:val="NormalBold12b"/>
    <w:basedOn w:val="Normal"/>
    <w:rsid w:val="00103E2E"/>
    <w:pPr>
      <w:spacing w:before="240"/>
    </w:pPr>
    <w:rPr>
      <w:b/>
    </w:rPr>
  </w:style>
  <w:style w:type="paragraph" w:customStyle="1" w:styleId="EPComma">
    <w:name w:val="EPComma"/>
    <w:basedOn w:val="Normal"/>
    <w:rsid w:val="00103E2E"/>
    <w:pPr>
      <w:spacing w:before="480" w:after="240"/>
    </w:pPr>
  </w:style>
  <w:style w:type="character" w:customStyle="1" w:styleId="Normal6Char">
    <w:name w:val="Normal6 Char"/>
    <w:basedOn w:val="DefaultParagraphFont"/>
    <w:link w:val="Normal6"/>
    <w:locked/>
    <w:rsid w:val="00103E2E"/>
    <w:rPr>
      <w:sz w:val="24"/>
      <w:lang w:val="et-EE"/>
    </w:rPr>
  </w:style>
  <w:style w:type="paragraph" w:customStyle="1" w:styleId="Normal6">
    <w:name w:val="Normal6"/>
    <w:basedOn w:val="Normal"/>
    <w:link w:val="Normal6Char"/>
    <w:rsid w:val="00103E2E"/>
    <w:pPr>
      <w:spacing w:after="120"/>
    </w:pPr>
  </w:style>
  <w:style w:type="character" w:customStyle="1" w:styleId="NormalBoldChar">
    <w:name w:val="NormalBold Char"/>
    <w:basedOn w:val="DefaultParagraphFont"/>
    <w:link w:val="NormalBold"/>
    <w:locked/>
    <w:rsid w:val="00103E2E"/>
    <w:rPr>
      <w:b/>
      <w:sz w:val="24"/>
      <w:lang w:val="et-EE"/>
    </w:rPr>
  </w:style>
  <w:style w:type="paragraph" w:customStyle="1" w:styleId="ColumnHeading">
    <w:name w:val="ColumnHeading"/>
    <w:basedOn w:val="Normal"/>
    <w:rsid w:val="00103E2E"/>
    <w:pPr>
      <w:spacing w:after="240"/>
      <w:jc w:val="center"/>
    </w:pPr>
    <w:rPr>
      <w:i/>
    </w:rPr>
  </w:style>
  <w:style w:type="paragraph" w:customStyle="1" w:styleId="AMNumberTabs">
    <w:name w:val="AMNumberTabs"/>
    <w:basedOn w:val="Normal"/>
    <w:rsid w:val="00103E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103E2E"/>
    <w:rPr>
      <w:color w:val="0000FF"/>
      <w:u w:val="single"/>
    </w:rPr>
  </w:style>
  <w:style w:type="paragraph" w:styleId="BalloonText">
    <w:name w:val="Balloon Text"/>
    <w:basedOn w:val="Normal"/>
    <w:link w:val="BalloonTextChar"/>
    <w:rsid w:val="00693CC1"/>
    <w:rPr>
      <w:rFonts w:ascii="Segoe UI" w:hAnsi="Segoe UI" w:cs="Segoe UI"/>
      <w:sz w:val="18"/>
      <w:szCs w:val="18"/>
    </w:rPr>
  </w:style>
  <w:style w:type="character" w:customStyle="1" w:styleId="BalloonTextChar">
    <w:name w:val="Balloon Text Char"/>
    <w:basedOn w:val="DefaultParagraphFont"/>
    <w:link w:val="BalloonText"/>
    <w:rsid w:val="00693CC1"/>
    <w:rPr>
      <w:rFonts w:ascii="Segoe UI" w:hAnsi="Segoe UI" w:cs="Segoe UI"/>
      <w:sz w:val="18"/>
      <w:szCs w:val="18"/>
      <w:lang w:val="et-EE"/>
    </w:rPr>
  </w:style>
  <w:style w:type="character" w:styleId="CommentReference">
    <w:name w:val="annotation reference"/>
    <w:basedOn w:val="DefaultParagraphFont"/>
    <w:rsid w:val="00390FED"/>
    <w:rPr>
      <w:sz w:val="16"/>
      <w:szCs w:val="16"/>
    </w:rPr>
  </w:style>
  <w:style w:type="paragraph" w:styleId="CommentText">
    <w:name w:val="annotation text"/>
    <w:basedOn w:val="Normal"/>
    <w:link w:val="CommentTextChar"/>
    <w:rsid w:val="00390FED"/>
    <w:rPr>
      <w:sz w:val="20"/>
    </w:rPr>
  </w:style>
  <w:style w:type="character" w:customStyle="1" w:styleId="CommentTextChar">
    <w:name w:val="Comment Text Char"/>
    <w:basedOn w:val="DefaultParagraphFont"/>
    <w:link w:val="CommentText"/>
    <w:rsid w:val="00390FED"/>
    <w:rPr>
      <w:lang w:val="et-EE"/>
    </w:rPr>
  </w:style>
  <w:style w:type="paragraph" w:styleId="CommentSubject">
    <w:name w:val="annotation subject"/>
    <w:basedOn w:val="CommentText"/>
    <w:next w:val="CommentText"/>
    <w:link w:val="CommentSubjectChar"/>
    <w:rsid w:val="00390FED"/>
    <w:rPr>
      <w:b/>
      <w:bCs/>
    </w:rPr>
  </w:style>
  <w:style w:type="character" w:customStyle="1" w:styleId="CommentSubjectChar">
    <w:name w:val="Comment Subject Char"/>
    <w:basedOn w:val="CommentTextChar"/>
    <w:link w:val="CommentSubject"/>
    <w:rsid w:val="00390FED"/>
    <w:rPr>
      <w:b/>
      <w:bCs/>
      <w:lang w:val="et-EE"/>
    </w:rPr>
  </w:style>
  <w:style w:type="paragraph" w:customStyle="1" w:styleId="Typedudocument">
    <w:name w:val="Type du document"/>
    <w:basedOn w:val="Normal"/>
    <w:next w:val="Normal"/>
    <w:rsid w:val="003A0C00"/>
    <w:pPr>
      <w:widowControl/>
      <w:spacing w:before="360"/>
      <w:jc w:val="center"/>
    </w:pPr>
    <w:rPr>
      <w:b/>
      <w:snapToGrid w:val="0"/>
      <w:szCs w:val="24"/>
      <w:lang w:val="en-GB"/>
    </w:rPr>
  </w:style>
  <w:style w:type="character" w:customStyle="1" w:styleId="Hyperlink1">
    <w:name w:val="Hyperlink1"/>
    <w:basedOn w:val="DefaultParagraphFont"/>
    <w:uiPriority w:val="99"/>
    <w:rsid w:val="003F68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7D4DF-20C5-4A62-92F9-B67FFC60C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289</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2025-07-07T08:11:00Z</dcterms:created>
  <dcterms:modified xsi:type="dcterms:W3CDTF">2025-07-07T08:11:00Z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P10_TA(2025)0110_</vt:lpwstr>
  </property>
  <property fmtid="{D5CDD505-2E9C-101B-9397-08002B2CF9AE}" pid="4" name="&lt;Type&gt;">
    <vt:lpwstr>RR</vt:lpwstr>
  </property>
</Properties>
</file>