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6C55" w14:paraId="6EC3987E" w14:textId="77777777" w:rsidTr="0010095E">
        <w:trPr>
          <w:trHeight w:hRule="exact" w:val="1418"/>
        </w:trPr>
        <w:tc>
          <w:tcPr>
            <w:tcW w:w="6804" w:type="dxa"/>
            <w:shd w:val="clear" w:color="auto" w:fill="auto"/>
            <w:vAlign w:val="center"/>
          </w:tcPr>
          <w:p w14:paraId="36ABA5C8" w14:textId="77777777" w:rsidR="00751A4A" w:rsidRPr="006A6C55" w:rsidRDefault="00F141E6" w:rsidP="0010095E">
            <w:pPr>
              <w:pStyle w:val="EPName"/>
            </w:pPr>
            <w:r w:rsidRPr="006A6C55">
              <w:t>Parlamento europeo</w:t>
            </w:r>
          </w:p>
          <w:p w14:paraId="7203CDC0" w14:textId="77777777" w:rsidR="00751A4A" w:rsidRPr="006A6C55" w:rsidRDefault="005F1B17" w:rsidP="005F1B17">
            <w:pPr>
              <w:pStyle w:val="EPTerm"/>
              <w:rPr>
                <w:rStyle w:val="HideTWBExt"/>
                <w:noProof w:val="0"/>
                <w:vanish w:val="0"/>
                <w:color w:val="auto"/>
              </w:rPr>
            </w:pPr>
            <w:r w:rsidRPr="006A6C55">
              <w:t>2024</w:t>
            </w:r>
            <w:r w:rsidR="00817416" w:rsidRPr="006A6C55">
              <w:t>-202</w:t>
            </w:r>
            <w:r w:rsidRPr="006A6C55">
              <w:t>9</w:t>
            </w:r>
          </w:p>
        </w:tc>
        <w:tc>
          <w:tcPr>
            <w:tcW w:w="2268" w:type="dxa"/>
            <w:shd w:val="clear" w:color="auto" w:fill="auto"/>
          </w:tcPr>
          <w:p w14:paraId="16F92315" w14:textId="77777777" w:rsidR="00751A4A" w:rsidRPr="006A6C55" w:rsidRDefault="00187494" w:rsidP="0010095E">
            <w:pPr>
              <w:pStyle w:val="EPLogo"/>
            </w:pPr>
            <w:r w:rsidRPr="006A6C55">
              <w:rPr>
                <w:noProof/>
                <w:lang w:val="en-GB"/>
              </w:rPr>
              <w:drawing>
                <wp:inline distT="0" distB="0" distL="0" distR="0" wp14:anchorId="056C2716" wp14:editId="21241A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BE1EFF" w14:textId="77777777" w:rsidR="00D058B8" w:rsidRPr="006A6C55" w:rsidRDefault="00D058B8" w:rsidP="004C5D52">
      <w:pPr>
        <w:pStyle w:val="LineTop"/>
      </w:pPr>
    </w:p>
    <w:p w14:paraId="78B7F4F9" w14:textId="77777777" w:rsidR="00680577" w:rsidRPr="006A6C55" w:rsidRDefault="00F141E6" w:rsidP="00680577">
      <w:pPr>
        <w:pStyle w:val="EPBodyTA1"/>
      </w:pPr>
      <w:r w:rsidRPr="006A6C55">
        <w:t>TESTI APPROVATI</w:t>
      </w:r>
    </w:p>
    <w:p w14:paraId="443DFA94" w14:textId="77777777" w:rsidR="00D058B8" w:rsidRPr="006A6C55" w:rsidRDefault="00D058B8" w:rsidP="00D058B8">
      <w:pPr>
        <w:pStyle w:val="LineBottom"/>
      </w:pPr>
    </w:p>
    <w:p w14:paraId="18C2DF01" w14:textId="4DC3B0DA" w:rsidR="00F141E6" w:rsidRPr="006A6C55" w:rsidRDefault="00F141E6" w:rsidP="00F141E6">
      <w:pPr>
        <w:pStyle w:val="ATHeading1"/>
      </w:pPr>
      <w:bookmarkStart w:id="0" w:name="TANumber"/>
      <w:r w:rsidRPr="006A6C55">
        <w:t>P10_</w:t>
      </w:r>
      <w:proofErr w:type="gramStart"/>
      <w:r w:rsidRPr="006A6C55">
        <w:t>TA(</w:t>
      </w:r>
      <w:proofErr w:type="gramEnd"/>
      <w:r w:rsidRPr="006A6C55">
        <w:t>2025)0</w:t>
      </w:r>
      <w:r w:rsidR="00342F13" w:rsidRPr="006A6C55">
        <w:t>11</w:t>
      </w:r>
      <w:r w:rsidRPr="006A6C55">
        <w:t>0</w:t>
      </w:r>
      <w:bookmarkEnd w:id="0"/>
    </w:p>
    <w:p w14:paraId="06F1D7AC" w14:textId="77777777" w:rsidR="00F141E6" w:rsidRPr="006A6C55" w:rsidRDefault="00F141E6" w:rsidP="00F141E6">
      <w:pPr>
        <w:pStyle w:val="ATHeading2"/>
      </w:pPr>
      <w:bookmarkStart w:id="1" w:name="title"/>
      <w:r w:rsidRPr="006A6C55">
        <w:t xml:space="preserve">Concessione alla Moldova e all'Ucraina dell'equivalenza delle ispezioni in campo e </w:t>
      </w:r>
      <w:r w:rsidR="00CA273A" w:rsidRPr="006A6C55">
        <w:t>del</w:t>
      </w:r>
      <w:r w:rsidRPr="006A6C55">
        <w:t>la produzione di sementi</w:t>
      </w:r>
      <w:bookmarkEnd w:id="1"/>
    </w:p>
    <w:p w14:paraId="06EB9EB4" w14:textId="77777777" w:rsidR="00F141E6" w:rsidRPr="006A6C55" w:rsidRDefault="00F141E6" w:rsidP="00F141E6">
      <w:pPr>
        <w:rPr>
          <w:i/>
          <w:vanish/>
        </w:rPr>
      </w:pPr>
      <w:r w:rsidRPr="006A6C55">
        <w:rPr>
          <w:i/>
        </w:rPr>
        <w:fldChar w:fldCharType="begin"/>
      </w:r>
      <w:r w:rsidRPr="006A6C55">
        <w:rPr>
          <w:i/>
        </w:rPr>
        <w:instrText xml:space="preserve"> TC"(</w:instrText>
      </w:r>
      <w:bookmarkStart w:id="2" w:name="DocNumber"/>
      <w:r w:rsidRPr="006A6C55">
        <w:rPr>
          <w:i/>
        </w:rPr>
        <w:instrText>A10-0043/2025</w:instrText>
      </w:r>
      <w:bookmarkEnd w:id="2"/>
      <w:r w:rsidRPr="006A6C55">
        <w:rPr>
          <w:i/>
        </w:rPr>
        <w:instrText xml:space="preserve"> - Relatrice: Veronika </w:instrText>
      </w:r>
      <w:proofErr w:type="spellStart"/>
      <w:r w:rsidRPr="006A6C55">
        <w:rPr>
          <w:i/>
        </w:rPr>
        <w:instrText>Vrecionová</w:instrText>
      </w:r>
      <w:proofErr w:type="spellEnd"/>
      <w:r w:rsidRPr="006A6C55">
        <w:rPr>
          <w:i/>
        </w:rPr>
        <w:instrText xml:space="preserve">)"\l3 \n&gt; \* MERGEFORMAT </w:instrText>
      </w:r>
      <w:r w:rsidRPr="006A6C55">
        <w:rPr>
          <w:i/>
        </w:rPr>
        <w:fldChar w:fldCharType="end"/>
      </w:r>
    </w:p>
    <w:p w14:paraId="1834223B" w14:textId="77777777" w:rsidR="00F141E6" w:rsidRPr="006A6C55" w:rsidRDefault="00F141E6" w:rsidP="00F141E6">
      <w:pPr>
        <w:rPr>
          <w:vanish/>
        </w:rPr>
      </w:pPr>
      <w:bookmarkStart w:id="3" w:name="Commission"/>
      <w:r w:rsidRPr="006A6C55">
        <w:rPr>
          <w:vanish/>
        </w:rPr>
        <w:t>Commissione per l'agricoltura e lo sviluppo rurale</w:t>
      </w:r>
      <w:bookmarkEnd w:id="3"/>
    </w:p>
    <w:p w14:paraId="2311E5D0" w14:textId="77777777" w:rsidR="00F141E6" w:rsidRPr="006A6C55" w:rsidRDefault="00F141E6" w:rsidP="00F141E6">
      <w:pPr>
        <w:rPr>
          <w:vanish/>
        </w:rPr>
      </w:pPr>
      <w:bookmarkStart w:id="4" w:name="PE"/>
      <w:r w:rsidRPr="006A6C55">
        <w:rPr>
          <w:vanish/>
        </w:rPr>
        <w:t>PE766.952</w:t>
      </w:r>
      <w:bookmarkEnd w:id="4"/>
    </w:p>
    <w:p w14:paraId="00AA0EC5" w14:textId="6DD15399" w:rsidR="00F141E6" w:rsidRPr="006A6C55" w:rsidRDefault="00F141E6" w:rsidP="00F141E6">
      <w:pPr>
        <w:pStyle w:val="ATHeading3"/>
      </w:pPr>
      <w:bookmarkStart w:id="5" w:name="Sujet"/>
      <w:r w:rsidRPr="006A6C55">
        <w:t xml:space="preserve">Risoluzione legislativa del Parlamento europeo del </w:t>
      </w:r>
      <w:r w:rsidR="005031C3" w:rsidRPr="006A6C55">
        <w:t xml:space="preserve">22 maggio </w:t>
      </w:r>
      <w:r w:rsidRPr="006A6C55">
        <w:t>2025 sulla proposta di decisione del Parlamento europeo e del Consiglio che modifica la decisione 2003/17/CE del Consiglio per quanto riguarda l'equivalenza delle ispezioni in campo delle colture di sementi di piante foraggere effettuate nella Repubblica di Moldova e l'equivalenza delle sementi di piante foraggere prodotte nella Repubblica di Moldova, nonché l'equivalenza delle ispezioni in campo delle colture di sementi di barbabietole e delle colture di sementi di piante oleaginose effettuate in Ucraina e l'equivalenza delle sementi di barbabietole e delle sementi di piante oleaginose prodotte in Ucraina</w:t>
      </w:r>
      <w:bookmarkEnd w:id="5"/>
      <w:r w:rsidRPr="006A6C55">
        <w:t xml:space="preserve"> </w:t>
      </w:r>
      <w:bookmarkStart w:id="6" w:name="References"/>
      <w:r w:rsidRPr="006A6C55">
        <w:t>(COM(2024)0052 – C9-0026/2024 – 2024/0027(COD))</w:t>
      </w:r>
      <w:bookmarkEnd w:id="6"/>
    </w:p>
    <w:p w14:paraId="17054382" w14:textId="77777777" w:rsidR="00AB0C72" w:rsidRPr="006A6C55" w:rsidRDefault="00AB0C72" w:rsidP="00AB0C72">
      <w:pPr>
        <w:pStyle w:val="NormalBold"/>
      </w:pPr>
      <w:r w:rsidRPr="006A6C55">
        <w:t>(Procedura legislativa ordinaria: prima lettura)</w:t>
      </w:r>
    </w:p>
    <w:p w14:paraId="3FFB7E96" w14:textId="77777777" w:rsidR="00AB0C72" w:rsidRPr="006A6C55" w:rsidRDefault="00AB0C72" w:rsidP="00AB0C72">
      <w:pPr>
        <w:pStyle w:val="EPComma"/>
      </w:pPr>
      <w:r w:rsidRPr="006A6C55">
        <w:rPr>
          <w:i/>
        </w:rPr>
        <w:t>Il Parlamento europeo</w:t>
      </w:r>
      <w:r w:rsidRPr="006A6C55">
        <w:t>,</w:t>
      </w:r>
    </w:p>
    <w:p w14:paraId="2E3413DA" w14:textId="77777777" w:rsidR="00AB0C72" w:rsidRPr="006A6C55" w:rsidRDefault="00AB0C72" w:rsidP="00AB0C72">
      <w:pPr>
        <w:pStyle w:val="NormalHanging12a"/>
      </w:pPr>
      <w:r w:rsidRPr="006A6C55">
        <w:t>–</w:t>
      </w:r>
      <w:r w:rsidRPr="006A6C55">
        <w:tab/>
        <w:t>vista la proposta della Commissione al Parlamento europeo e al Consiglio (</w:t>
      </w:r>
      <w:proofErr w:type="gramStart"/>
      <w:r w:rsidRPr="006A6C55">
        <w:t>COM(</w:t>
      </w:r>
      <w:proofErr w:type="gramEnd"/>
      <w:r w:rsidRPr="006A6C55">
        <w:t>2024)0052),</w:t>
      </w:r>
    </w:p>
    <w:p w14:paraId="1EEA5BC7" w14:textId="77777777" w:rsidR="00AB0C72" w:rsidRPr="006A6C55" w:rsidRDefault="00AB0C72" w:rsidP="00AB0C72">
      <w:pPr>
        <w:pStyle w:val="NormalHanging12a"/>
      </w:pPr>
      <w:r w:rsidRPr="006A6C55">
        <w:t>–</w:t>
      </w:r>
      <w:r w:rsidRPr="006A6C55">
        <w:tab/>
        <w:t>visti l'articolo 294, paragrafo 2, e l'articolo 43, paragrafo 2, del trattato sul funzionamento dell'Unione europea, a norma dei quali la proposta gli è stata presentata dalla Commissione (C9-0026/2024),</w:t>
      </w:r>
    </w:p>
    <w:p w14:paraId="1FCFA302" w14:textId="77777777" w:rsidR="00AB0C72" w:rsidRPr="006A6C55" w:rsidRDefault="00AB0C72" w:rsidP="00AB0C72">
      <w:pPr>
        <w:pStyle w:val="NormalHanging12a"/>
      </w:pPr>
      <w:r w:rsidRPr="006A6C55">
        <w:t>–</w:t>
      </w:r>
      <w:r w:rsidRPr="006A6C55">
        <w:tab/>
        <w:t>visto l'articolo 294, paragrafo 3, del trattato sul funzionamento dell'Unione europea,</w:t>
      </w:r>
    </w:p>
    <w:p w14:paraId="7BAD42AA" w14:textId="77777777" w:rsidR="00AB0C72" w:rsidRPr="006A6C55" w:rsidRDefault="00AB0C72" w:rsidP="00AB0C72">
      <w:pPr>
        <w:pStyle w:val="NormalHanging12a"/>
      </w:pPr>
      <w:r w:rsidRPr="006A6C55">
        <w:t>–</w:t>
      </w:r>
      <w:r w:rsidRPr="006A6C55">
        <w:tab/>
        <w:t>visto il parere del Comitato economico e sociale europeo del 20 marzo 2024</w:t>
      </w:r>
      <w:r w:rsidRPr="006A6C55">
        <w:rPr>
          <w:rStyle w:val="FootnoteReference"/>
        </w:rPr>
        <w:footnoteReference w:id="1"/>
      </w:r>
      <w:r w:rsidRPr="006A6C55">
        <w:t xml:space="preserve">, </w:t>
      </w:r>
    </w:p>
    <w:p w14:paraId="40E363C7" w14:textId="4301F006" w:rsidR="00D61C68" w:rsidRPr="006A6C55" w:rsidRDefault="00D61C68" w:rsidP="00CF1B20">
      <w:pPr>
        <w:pStyle w:val="Normal12Hanging"/>
        <w:ind w:left="567" w:hanging="567"/>
      </w:pPr>
      <w:r w:rsidRPr="006A6C55">
        <w:rPr>
          <w:szCs w:val="24"/>
        </w:rPr>
        <w:t>–</w:t>
      </w:r>
      <w:r w:rsidRPr="006A6C55">
        <w:rPr>
          <w:szCs w:val="24"/>
        </w:rPr>
        <w:tab/>
      </w:r>
      <w:r w:rsidRPr="006A6C55">
        <w:t xml:space="preserve">visto l'impegno assunto dal rappresentante del Consiglio, con lettera del </w:t>
      </w:r>
      <w:r w:rsidR="00F1025B" w:rsidRPr="006A6C55">
        <w:t>3</w:t>
      </w:r>
      <w:r w:rsidRPr="006A6C55">
        <w:t xml:space="preserve">0 aprile 2025, di approvare la posizione del Parlamento europeo, in conformità dell'articolo 294, paragrafo 4, del trattato sul funzionamento dell'Unione europea, </w:t>
      </w:r>
    </w:p>
    <w:p w14:paraId="6E77920C" w14:textId="77777777" w:rsidR="00AB0C72" w:rsidRPr="006A6C55" w:rsidRDefault="00AB0C72" w:rsidP="00AB0C72">
      <w:pPr>
        <w:pStyle w:val="NormalHanging12a"/>
      </w:pPr>
      <w:r w:rsidRPr="006A6C55">
        <w:t>–</w:t>
      </w:r>
      <w:r w:rsidRPr="006A6C55">
        <w:tab/>
        <w:t>visto l'articolo 60 del suo regolamento,</w:t>
      </w:r>
    </w:p>
    <w:p w14:paraId="7C2ABE82" w14:textId="77777777" w:rsidR="00AB0C72" w:rsidRPr="006A6C55" w:rsidRDefault="00AB0C72" w:rsidP="00AB0C72">
      <w:pPr>
        <w:pStyle w:val="NormalHanging12a"/>
      </w:pPr>
      <w:r w:rsidRPr="006A6C55">
        <w:t>–</w:t>
      </w:r>
      <w:r w:rsidRPr="006A6C55">
        <w:tab/>
        <w:t xml:space="preserve">vista la relazione della commissione per l'agricoltura e lo sviluppo rurale </w:t>
      </w:r>
      <w:r w:rsidRPr="006A6C55">
        <w:lastRenderedPageBreak/>
        <w:t>(A10</w:t>
      </w:r>
      <w:r w:rsidRPr="006A6C55">
        <w:noBreakHyphen/>
        <w:t>0043/2025),</w:t>
      </w:r>
    </w:p>
    <w:p w14:paraId="0EDB6DA7" w14:textId="77777777" w:rsidR="00AB0C72" w:rsidRPr="006A6C55" w:rsidRDefault="00AB0C72" w:rsidP="00AB0C72">
      <w:pPr>
        <w:pStyle w:val="NormalHanging12a"/>
      </w:pPr>
      <w:r w:rsidRPr="006A6C55">
        <w:t>1.</w:t>
      </w:r>
      <w:r w:rsidRPr="006A6C55">
        <w:tab/>
        <w:t>adotta la posizione in prima lettura figurante in appresso;</w:t>
      </w:r>
    </w:p>
    <w:p w14:paraId="130A4CDA" w14:textId="77777777" w:rsidR="00AB0C72" w:rsidRPr="006A6C55" w:rsidRDefault="00AB0C72" w:rsidP="00AB0C72">
      <w:pPr>
        <w:pStyle w:val="NormalHanging12a"/>
      </w:pPr>
      <w:r w:rsidRPr="006A6C55">
        <w:t>2.</w:t>
      </w:r>
      <w:r w:rsidRPr="006A6C55">
        <w:tab/>
        <w:t>chiede alla Commissione di presentargli nuovamente la proposta qualora la sostituisca, la modifichi sostanzialmente o intenda modificarla sostanzialmente;</w:t>
      </w:r>
    </w:p>
    <w:p w14:paraId="0D330EFB" w14:textId="77777777" w:rsidR="00AB0C72" w:rsidRPr="006A6C55" w:rsidRDefault="00AB0C72" w:rsidP="00AB0C72">
      <w:pPr>
        <w:pStyle w:val="NormalHanging12a"/>
      </w:pPr>
      <w:r w:rsidRPr="006A6C55">
        <w:t>3.</w:t>
      </w:r>
      <w:r w:rsidRPr="006A6C55">
        <w:tab/>
        <w:t>incarica la sua Presidente di trasmettere la posizione del Parlamento al Consiglio e alla Commissione nonché ai parlamenti nazionali.</w:t>
      </w:r>
    </w:p>
    <w:p w14:paraId="7AD2671B" w14:textId="77777777" w:rsidR="005031C3" w:rsidRPr="006A6C55" w:rsidRDefault="005031C3" w:rsidP="00AB0C72">
      <w:pPr>
        <w:widowControl/>
        <w:sectPr w:rsidR="005031C3" w:rsidRPr="006A6C55" w:rsidSect="008851D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4CA724A" w14:textId="77777777" w:rsidR="00D61C68" w:rsidRPr="006A6C55" w:rsidRDefault="00D61C68" w:rsidP="00D61C68">
      <w:pPr>
        <w:spacing w:after="240"/>
        <w:rPr>
          <w:b/>
        </w:rPr>
      </w:pPr>
      <w:bookmarkStart w:id="7" w:name="_Hlk150411056"/>
      <w:r w:rsidRPr="006A6C55">
        <w:rPr>
          <w:b/>
        </w:rPr>
        <w:lastRenderedPageBreak/>
        <w:t>P10_TC1-COD(2024)0027</w:t>
      </w:r>
    </w:p>
    <w:p w14:paraId="158F67EA" w14:textId="77777777" w:rsidR="005031C3" w:rsidRPr="006A6C55" w:rsidRDefault="00D61C68" w:rsidP="00D61C68">
      <w:pPr>
        <w:pStyle w:val="Normal12Centre"/>
        <w:spacing w:before="240"/>
        <w:jc w:val="left"/>
        <w:rPr>
          <w:rFonts w:eastAsia="Calibri"/>
          <w:b/>
          <w:noProof/>
          <w:szCs w:val="22"/>
          <w:lang w:eastAsia="en-US"/>
        </w:rPr>
      </w:pPr>
      <w:r w:rsidRPr="006A6C55">
        <w:rPr>
          <w:b/>
        </w:rPr>
        <w:t xml:space="preserve">Posizione del Parlamento europeo definita in prima lettura il 22 maggio 2025 in vista dell'adozione della decisione (UE) 2025/... del Parlamento europeo e del Consiglio </w:t>
      </w:r>
      <w:r w:rsidR="005031C3" w:rsidRPr="006A6C55">
        <w:rPr>
          <w:rFonts w:eastAsia="Calibri"/>
          <w:b/>
          <w:noProof/>
          <w:szCs w:val="22"/>
          <w:lang w:eastAsia="en-US"/>
        </w:rPr>
        <w:t>che modifica la decisione 2003/17/CE del Consiglio per quanto riguarda l'equivalenza delle ispezioni in campo delle colture di piante foraggere destinate alla produzione di sementi effettuate nella Repubblica di Moldova e l'equivalenza delle sementi di piante foraggere prodotte nella Repubblica di Moldova, nonché l'equivalenza delle ispezioni in campo delle colture di barbabietole destinate alla produzione di sementi e delle colture di piante oleaginose destinate alla produzione di sementi effettuate in Ucraina e l'equivalenza delle sementi di barbabietole e delle sementi di piante oleaginose prodotte in Ucraina</w:t>
      </w:r>
    </w:p>
    <w:p w14:paraId="3892D614" w14:textId="4403E652" w:rsidR="006A6C55" w:rsidRPr="006A6C55" w:rsidRDefault="006A6C55" w:rsidP="006A6C55">
      <w:pPr>
        <w:rPr>
          <w:i/>
        </w:rPr>
      </w:pPr>
      <w:r w:rsidRPr="006A6C55">
        <w:rPr>
          <w:i/>
        </w:rPr>
        <w:t>(Dato l'accordo tra il Parlamento e il Consiglio, la posizione del Parlamento corrisponde all'atto legislativo finale, la decisione (UE) 2025</w:t>
      </w:r>
      <w:r w:rsidRPr="006A6C55">
        <w:rPr>
          <w:i/>
        </w:rPr>
        <w:t>/1228</w:t>
      </w:r>
      <w:r w:rsidRPr="006A6C55">
        <w:rPr>
          <w:i/>
        </w:rPr>
        <w:t>.)</w:t>
      </w:r>
    </w:p>
    <w:p w14:paraId="39922631" w14:textId="7EFCDDF9" w:rsidR="005031C3" w:rsidRPr="006A6C55" w:rsidRDefault="005031C3" w:rsidP="006A6C55">
      <w:pPr>
        <w:widowControl/>
        <w:spacing w:line="360" w:lineRule="auto"/>
        <w:rPr>
          <w:rFonts w:eastAsia="Calibri"/>
          <w:bCs/>
          <w:noProof/>
          <w:szCs w:val="22"/>
          <w:lang w:eastAsia="en-US"/>
        </w:rPr>
      </w:pPr>
    </w:p>
    <w:bookmarkEnd w:id="7"/>
    <w:sectPr w:rsidR="005031C3" w:rsidRPr="006A6C55" w:rsidSect="006A6C55">
      <w:footnotePr>
        <w:numRestart w:val="eachSect"/>
      </w:footnotePr>
      <w:pgSz w:w="11907" w:h="1683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8F82A" w14:textId="77777777" w:rsidR="00F141E6" w:rsidRPr="008851DB" w:rsidRDefault="00F141E6">
      <w:r w:rsidRPr="008851DB">
        <w:separator/>
      </w:r>
    </w:p>
  </w:endnote>
  <w:endnote w:type="continuationSeparator" w:id="0">
    <w:p w14:paraId="2FF55E7C" w14:textId="77777777" w:rsidR="00F141E6" w:rsidRPr="008851DB" w:rsidRDefault="00F141E6">
      <w:r w:rsidRPr="008851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AD109" w14:textId="77777777" w:rsidR="00064002" w:rsidRPr="008851D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CB59" w14:textId="77777777" w:rsidR="00064002" w:rsidRPr="008851D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6BE85" w14:textId="77777777" w:rsidR="00064002" w:rsidRPr="008851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9E7BA" w14:textId="77777777" w:rsidR="00F141E6" w:rsidRPr="008851DB" w:rsidRDefault="00F141E6">
      <w:r w:rsidRPr="008851DB">
        <w:separator/>
      </w:r>
    </w:p>
  </w:footnote>
  <w:footnote w:type="continuationSeparator" w:id="0">
    <w:p w14:paraId="4AC18A79" w14:textId="77777777" w:rsidR="00F141E6" w:rsidRPr="008851DB" w:rsidRDefault="00F141E6">
      <w:r w:rsidRPr="008851DB">
        <w:continuationSeparator/>
      </w:r>
    </w:p>
  </w:footnote>
  <w:footnote w:id="1">
    <w:p w14:paraId="528CEA9D" w14:textId="142DA266" w:rsidR="00AB0C72" w:rsidRPr="00CF1B20" w:rsidRDefault="00AB0C72" w:rsidP="008851DB">
      <w:pPr>
        <w:pStyle w:val="FootnoteText"/>
        <w:ind w:left="567" w:hanging="567"/>
        <w:rPr>
          <w:sz w:val="24"/>
          <w:szCs w:val="24"/>
          <w:lang w:val="pl-PL"/>
        </w:rPr>
      </w:pPr>
      <w:r w:rsidRPr="008851DB">
        <w:rPr>
          <w:rStyle w:val="FootnoteReference"/>
          <w:sz w:val="24"/>
          <w:szCs w:val="24"/>
          <w:lang w:val="it-IT"/>
        </w:rPr>
        <w:footnoteRef/>
      </w:r>
      <w:r w:rsidR="008851DB" w:rsidRPr="00CF1B20">
        <w:rPr>
          <w:color w:val="333333"/>
          <w:sz w:val="24"/>
          <w:shd w:val="clear" w:color="auto" w:fill="FFFFFF"/>
          <w:lang w:val="pl-PL"/>
        </w:rPr>
        <w:t xml:space="preserve"> </w:t>
      </w:r>
      <w:r w:rsidR="008851DB" w:rsidRPr="00CF1B20">
        <w:rPr>
          <w:color w:val="333333"/>
          <w:sz w:val="24"/>
          <w:shd w:val="clear" w:color="auto" w:fill="FFFFFF"/>
          <w:lang w:val="pl-PL"/>
        </w:rPr>
        <w:tab/>
      </w:r>
      <w:r w:rsidR="00D61C68" w:rsidRPr="00CF1B20">
        <w:rPr>
          <w:sz w:val="24"/>
          <w:shd w:val="clear" w:color="auto" w:fill="FFFFFF"/>
          <w:lang w:val="pl-PL"/>
        </w:rPr>
        <w:t>GU</w:t>
      </w:r>
      <w:r w:rsidRPr="00CF1B20">
        <w:rPr>
          <w:sz w:val="24"/>
          <w:shd w:val="clear" w:color="auto" w:fill="FFFFFF"/>
          <w:lang w:val="pl-PL"/>
        </w:rPr>
        <w:t xml:space="preserve"> C, C/2024/3386, </w:t>
      </w:r>
      <w:proofErr w:type="gramStart"/>
      <w:r w:rsidRPr="00CF1B20">
        <w:rPr>
          <w:sz w:val="24"/>
          <w:shd w:val="clear" w:color="auto" w:fill="FFFFFF"/>
          <w:lang w:val="pl-PL"/>
        </w:rPr>
        <w:t>31.5.2024</w:t>
      </w:r>
      <w:proofErr w:type="gramEnd"/>
      <w:r w:rsidRPr="00CF1B20">
        <w:rPr>
          <w:sz w:val="24"/>
          <w:shd w:val="clear" w:color="auto" w:fill="FFFFFF"/>
          <w:lang w:val="pl-PL"/>
        </w:rPr>
        <w:t>, ELI: </w:t>
      </w:r>
      <w:hyperlink r:id="rId1" w:tgtFrame="_blank" w:tooltip="Il link dà accesso al documento tramite il relativo URI ELI." w:history="1">
        <w:r w:rsidRPr="00CF1B20">
          <w:rPr>
            <w:rStyle w:val="Hyperlink"/>
            <w:color w:val="337AB7"/>
            <w:sz w:val="24"/>
            <w:lang w:val="pl-PL"/>
          </w:rPr>
          <w:t>http://data.europa.eu/eli/C/2024/3386/oj</w:t>
        </w:r>
      </w:hyperlink>
      <w:r w:rsidRPr="00CF1B20">
        <w:rPr>
          <w:color w:val="333333"/>
          <w:sz w:val="24"/>
          <w:shd w:val="clear" w:color="auto" w:fill="FFFFFF"/>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4FB82" w14:textId="77777777" w:rsidR="00064002" w:rsidRPr="008851D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FA7B8" w14:textId="77777777" w:rsidR="00064002" w:rsidRPr="008851D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BAC90" w14:textId="77777777" w:rsidR="00064002" w:rsidRPr="008851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0468082">
    <w:abstractNumId w:val="9"/>
  </w:num>
  <w:num w:numId="2" w16cid:durableId="2011324014">
    <w:abstractNumId w:val="9"/>
  </w:num>
  <w:num w:numId="3" w16cid:durableId="702368150">
    <w:abstractNumId w:val="7"/>
  </w:num>
  <w:num w:numId="4" w16cid:durableId="777140696">
    <w:abstractNumId w:val="7"/>
  </w:num>
  <w:num w:numId="5" w16cid:durableId="963465914">
    <w:abstractNumId w:val="6"/>
  </w:num>
  <w:num w:numId="6" w16cid:durableId="1515922396">
    <w:abstractNumId w:val="6"/>
  </w:num>
  <w:num w:numId="7" w16cid:durableId="14231489">
    <w:abstractNumId w:val="5"/>
  </w:num>
  <w:num w:numId="8" w16cid:durableId="2120831695">
    <w:abstractNumId w:val="5"/>
  </w:num>
  <w:num w:numId="9" w16cid:durableId="2071072214">
    <w:abstractNumId w:val="4"/>
  </w:num>
  <w:num w:numId="10" w16cid:durableId="648901694">
    <w:abstractNumId w:val="4"/>
  </w:num>
  <w:num w:numId="11" w16cid:durableId="775709892">
    <w:abstractNumId w:val="8"/>
  </w:num>
  <w:num w:numId="12" w16cid:durableId="1530292450">
    <w:abstractNumId w:val="8"/>
  </w:num>
  <w:num w:numId="13" w16cid:durableId="1327709683">
    <w:abstractNumId w:val="3"/>
  </w:num>
  <w:num w:numId="14" w16cid:durableId="1725711843">
    <w:abstractNumId w:val="3"/>
  </w:num>
  <w:num w:numId="15" w16cid:durableId="364254424">
    <w:abstractNumId w:val="2"/>
  </w:num>
  <w:num w:numId="16" w16cid:durableId="1851525598">
    <w:abstractNumId w:val="2"/>
  </w:num>
  <w:num w:numId="17" w16cid:durableId="1747798835">
    <w:abstractNumId w:val="1"/>
  </w:num>
  <w:num w:numId="18" w16cid:durableId="1010255500">
    <w:abstractNumId w:val="1"/>
  </w:num>
  <w:num w:numId="19" w16cid:durableId="763301406">
    <w:abstractNumId w:val="0"/>
  </w:num>
  <w:num w:numId="20" w16cid:durableId="2092310343">
    <w:abstractNumId w:val="0"/>
  </w:num>
  <w:num w:numId="21" w16cid:durableId="1654990851">
    <w:abstractNumId w:val="9"/>
  </w:num>
  <w:num w:numId="22" w16cid:durableId="620577120">
    <w:abstractNumId w:val="7"/>
  </w:num>
  <w:num w:numId="23" w16cid:durableId="747384303">
    <w:abstractNumId w:val="6"/>
  </w:num>
  <w:num w:numId="24" w16cid:durableId="698091866">
    <w:abstractNumId w:val="5"/>
  </w:num>
  <w:num w:numId="25" w16cid:durableId="1413508082">
    <w:abstractNumId w:val="4"/>
  </w:num>
  <w:num w:numId="26" w16cid:durableId="1210454484">
    <w:abstractNumId w:val="8"/>
  </w:num>
  <w:num w:numId="27" w16cid:durableId="1561136613">
    <w:abstractNumId w:val="3"/>
  </w:num>
  <w:num w:numId="28" w16cid:durableId="14112067">
    <w:abstractNumId w:val="2"/>
  </w:num>
  <w:num w:numId="29" w16cid:durableId="1097211080">
    <w:abstractNumId w:val="1"/>
  </w:num>
  <w:num w:numId="30" w16cid:durableId="622729108">
    <w:abstractNumId w:val="0"/>
  </w:num>
  <w:num w:numId="31" w16cid:durableId="1476070862">
    <w:abstractNumId w:val="9"/>
  </w:num>
  <w:num w:numId="32" w16cid:durableId="547109424">
    <w:abstractNumId w:val="7"/>
  </w:num>
  <w:num w:numId="33" w16cid:durableId="967125874">
    <w:abstractNumId w:val="6"/>
  </w:num>
  <w:num w:numId="34" w16cid:durableId="1186794597">
    <w:abstractNumId w:val="5"/>
  </w:num>
  <w:num w:numId="35" w16cid:durableId="1818186375">
    <w:abstractNumId w:val="4"/>
  </w:num>
  <w:num w:numId="36" w16cid:durableId="125589510">
    <w:abstractNumId w:val="8"/>
  </w:num>
  <w:num w:numId="37" w16cid:durableId="244532339">
    <w:abstractNumId w:val="3"/>
  </w:num>
  <w:num w:numId="38" w16cid:durableId="1315914702">
    <w:abstractNumId w:val="2"/>
  </w:num>
  <w:num w:numId="39" w16cid:durableId="971209416">
    <w:abstractNumId w:val="1"/>
  </w:num>
  <w:num w:numId="40" w16cid:durableId="386495507">
    <w:abstractNumId w:val="0"/>
  </w:num>
  <w:num w:numId="41" w16cid:durableId="1003053255">
    <w:abstractNumId w:val="10"/>
  </w:num>
  <w:num w:numId="42" w16cid:durableId="943928257">
    <w:abstractNumId w:val="10"/>
  </w:num>
  <w:num w:numId="43" w16cid:durableId="1678460108">
    <w:abstractNumId w:val="10"/>
  </w:num>
  <w:num w:numId="44" w16cid:durableId="18886870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3/2025"/>
    <w:docVar w:name="dvlangue" w:val="IT"/>
    <w:docVar w:name="dvnumam" w:val="2"/>
    <w:docVar w:name="dvpe" w:val="766.952"/>
    <w:docVar w:name="dvrapporteur" w:val="Relatrice: "/>
    <w:docVar w:name="dvstar" w:val="***I"/>
    <w:docVar w:name="dvtitre" w:val="Risoluzione legislativa del Parlamento europeo del ... 2025 sulla proposta di decisione del Parlamento europeo e del Consiglio che modifica la decisione 2003/17/CE del Consiglio per quanto riguarda l'equivalenza delle ispezioni in campo delle colture di sementi di piante foraggere effettuate nella Repubblica di Moldova e l'equivalenza delle sementi di piante foraggere prodotte nella Repubblica di Moldova, nonché l'equivalenza delle ispezioni in campo delle colture di sementi di barbabietole e delle colture di sementi di piante oleaginose effettuate in Ucraina e l'equivalenza delle sementi di barbabietole e delle sementi di piante oleaginose prodotte in Ucraina(COM(2024)0052 – C9-0026/2024 – 2024/0027(COD))"/>
  </w:docVars>
  <w:rsids>
    <w:rsidRoot w:val="00F141E6"/>
    <w:rsid w:val="00002272"/>
    <w:rsid w:val="00064002"/>
    <w:rsid w:val="000677B9"/>
    <w:rsid w:val="000831BA"/>
    <w:rsid w:val="000A42CC"/>
    <w:rsid w:val="000E7DD9"/>
    <w:rsid w:val="0010095E"/>
    <w:rsid w:val="00125B37"/>
    <w:rsid w:val="00187494"/>
    <w:rsid w:val="001A02DF"/>
    <w:rsid w:val="001F32AE"/>
    <w:rsid w:val="002767FF"/>
    <w:rsid w:val="002B18FE"/>
    <w:rsid w:val="002B5493"/>
    <w:rsid w:val="00342F13"/>
    <w:rsid w:val="00343214"/>
    <w:rsid w:val="00361C00"/>
    <w:rsid w:val="00395FA1"/>
    <w:rsid w:val="003E15D4"/>
    <w:rsid w:val="00411CCE"/>
    <w:rsid w:val="0041666E"/>
    <w:rsid w:val="00421060"/>
    <w:rsid w:val="00471C19"/>
    <w:rsid w:val="004867E3"/>
    <w:rsid w:val="00494A28"/>
    <w:rsid w:val="004C0004"/>
    <w:rsid w:val="004C5D52"/>
    <w:rsid w:val="005031C3"/>
    <w:rsid w:val="0050519A"/>
    <w:rsid w:val="005072A1"/>
    <w:rsid w:val="00514517"/>
    <w:rsid w:val="00545827"/>
    <w:rsid w:val="00560270"/>
    <w:rsid w:val="005C2568"/>
    <w:rsid w:val="005F1B17"/>
    <w:rsid w:val="006037C0"/>
    <w:rsid w:val="006631B6"/>
    <w:rsid w:val="00680577"/>
    <w:rsid w:val="006A6C55"/>
    <w:rsid w:val="006F74FA"/>
    <w:rsid w:val="00731ADD"/>
    <w:rsid w:val="00734777"/>
    <w:rsid w:val="00747932"/>
    <w:rsid w:val="00751A4A"/>
    <w:rsid w:val="00756632"/>
    <w:rsid w:val="00762C74"/>
    <w:rsid w:val="007770B3"/>
    <w:rsid w:val="00786EC0"/>
    <w:rsid w:val="00794CB4"/>
    <w:rsid w:val="007D1690"/>
    <w:rsid w:val="007E22AD"/>
    <w:rsid w:val="00817416"/>
    <w:rsid w:val="00842779"/>
    <w:rsid w:val="00865F67"/>
    <w:rsid w:val="00881A7B"/>
    <w:rsid w:val="008840E5"/>
    <w:rsid w:val="008851DB"/>
    <w:rsid w:val="00887B3E"/>
    <w:rsid w:val="008C2AC6"/>
    <w:rsid w:val="0091028A"/>
    <w:rsid w:val="00930C23"/>
    <w:rsid w:val="0093193B"/>
    <w:rsid w:val="009509D8"/>
    <w:rsid w:val="00950B64"/>
    <w:rsid w:val="00981893"/>
    <w:rsid w:val="00A1687D"/>
    <w:rsid w:val="00A43E52"/>
    <w:rsid w:val="00A4678D"/>
    <w:rsid w:val="00A778C7"/>
    <w:rsid w:val="00AB0C7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73A"/>
    <w:rsid w:val="00CC2357"/>
    <w:rsid w:val="00CF071A"/>
    <w:rsid w:val="00CF1B20"/>
    <w:rsid w:val="00D058B8"/>
    <w:rsid w:val="00D56C11"/>
    <w:rsid w:val="00D61C68"/>
    <w:rsid w:val="00D834A0"/>
    <w:rsid w:val="00D872DF"/>
    <w:rsid w:val="00D91E21"/>
    <w:rsid w:val="00DA7FCD"/>
    <w:rsid w:val="00E365E1"/>
    <w:rsid w:val="00E820A4"/>
    <w:rsid w:val="00EB006A"/>
    <w:rsid w:val="00EB4772"/>
    <w:rsid w:val="00ED169E"/>
    <w:rsid w:val="00ED4235"/>
    <w:rsid w:val="00F04346"/>
    <w:rsid w:val="00F075DC"/>
    <w:rsid w:val="00F1025B"/>
    <w:rsid w:val="00F141E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869A2E"/>
  <w15:chartTrackingRefBased/>
  <w15:docId w15:val="{547C5E97-C397-4766-A0EE-B8238489C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AB0C72"/>
    <w:rPr>
      <w:b/>
    </w:rPr>
  </w:style>
  <w:style w:type="paragraph" w:customStyle="1" w:styleId="NormalHanging12a">
    <w:name w:val="NormalHanging12a"/>
    <w:basedOn w:val="Normal"/>
    <w:rsid w:val="00AB0C72"/>
    <w:pPr>
      <w:spacing w:after="240"/>
      <w:ind w:left="567" w:hanging="567"/>
    </w:pPr>
  </w:style>
  <w:style w:type="paragraph" w:customStyle="1" w:styleId="NormalBold12b">
    <w:name w:val="NormalBold12b"/>
    <w:basedOn w:val="Normal"/>
    <w:rsid w:val="00AB0C72"/>
    <w:pPr>
      <w:spacing w:before="240"/>
    </w:pPr>
    <w:rPr>
      <w:b/>
    </w:rPr>
  </w:style>
  <w:style w:type="paragraph" w:customStyle="1" w:styleId="EPComma">
    <w:name w:val="EPComma"/>
    <w:basedOn w:val="Normal"/>
    <w:rsid w:val="00AB0C72"/>
    <w:pPr>
      <w:spacing w:before="480" w:after="240"/>
    </w:pPr>
  </w:style>
  <w:style w:type="character" w:customStyle="1" w:styleId="Normal6Char">
    <w:name w:val="Normal6 Char"/>
    <w:basedOn w:val="DefaultParagraphFont"/>
    <w:link w:val="Normal6"/>
    <w:locked/>
    <w:rsid w:val="00AB0C72"/>
    <w:rPr>
      <w:sz w:val="24"/>
      <w:lang w:val="it-IT"/>
    </w:rPr>
  </w:style>
  <w:style w:type="paragraph" w:customStyle="1" w:styleId="Normal6">
    <w:name w:val="Normal6"/>
    <w:basedOn w:val="Normal"/>
    <w:link w:val="Normal6Char"/>
    <w:rsid w:val="00AB0C72"/>
    <w:pPr>
      <w:spacing w:after="120"/>
    </w:pPr>
  </w:style>
  <w:style w:type="character" w:customStyle="1" w:styleId="NormalBoldChar">
    <w:name w:val="NormalBold Char"/>
    <w:basedOn w:val="DefaultParagraphFont"/>
    <w:link w:val="NormalBold"/>
    <w:locked/>
    <w:rsid w:val="00AB0C72"/>
    <w:rPr>
      <w:b/>
      <w:sz w:val="24"/>
      <w:lang w:val="it-IT"/>
    </w:rPr>
  </w:style>
  <w:style w:type="paragraph" w:customStyle="1" w:styleId="ColumnHeading">
    <w:name w:val="ColumnHeading"/>
    <w:basedOn w:val="Normal"/>
    <w:rsid w:val="00AB0C72"/>
    <w:pPr>
      <w:spacing w:after="240"/>
      <w:jc w:val="center"/>
    </w:pPr>
    <w:rPr>
      <w:i/>
    </w:rPr>
  </w:style>
  <w:style w:type="paragraph" w:customStyle="1" w:styleId="AMNumberTabs">
    <w:name w:val="AMNumberTabs"/>
    <w:basedOn w:val="Normal"/>
    <w:rsid w:val="00AB0C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AB0C72"/>
    <w:rPr>
      <w:color w:val="0000FF"/>
      <w:u w:val="single"/>
    </w:rPr>
  </w:style>
  <w:style w:type="paragraph" w:styleId="BalloonText">
    <w:name w:val="Balloon Text"/>
    <w:basedOn w:val="Normal"/>
    <w:link w:val="BalloonTextChar"/>
    <w:rsid w:val="005031C3"/>
    <w:rPr>
      <w:rFonts w:ascii="Segoe UI" w:hAnsi="Segoe UI" w:cs="Segoe UI"/>
      <w:sz w:val="18"/>
      <w:szCs w:val="18"/>
    </w:rPr>
  </w:style>
  <w:style w:type="character" w:customStyle="1" w:styleId="BalloonTextChar">
    <w:name w:val="Balloon Text Char"/>
    <w:basedOn w:val="DefaultParagraphFont"/>
    <w:link w:val="BalloonText"/>
    <w:rsid w:val="005031C3"/>
    <w:rPr>
      <w:rFonts w:ascii="Segoe UI" w:hAnsi="Segoe UI" w:cs="Segoe UI"/>
      <w:sz w:val="18"/>
      <w:szCs w:val="18"/>
      <w:lang w:val="it-IT"/>
    </w:rPr>
  </w:style>
  <w:style w:type="paragraph" w:customStyle="1" w:styleId="Normal24">
    <w:name w:val="Normal24"/>
    <w:basedOn w:val="Normal"/>
    <w:rsid w:val="005031C3"/>
    <w:pPr>
      <w:spacing w:after="480"/>
    </w:pPr>
    <w:rPr>
      <w:lang w:val="fr-FR"/>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5031C3"/>
    <w:rPr>
      <w:sz w:val="22"/>
      <w:lang w:val="fr-FR" w:eastAsia="en-GB" w:bidi="ar-SA"/>
    </w:rPr>
  </w:style>
  <w:style w:type="character" w:customStyle="1" w:styleId="ui-provider">
    <w:name w:val="ui-provider"/>
    <w:rsid w:val="005031C3"/>
  </w:style>
  <w:style w:type="paragraph" w:styleId="Header">
    <w:name w:val="header"/>
    <w:basedOn w:val="Normal"/>
    <w:link w:val="HeaderChar"/>
    <w:uiPriority w:val="99"/>
    <w:unhideWhenUsed/>
    <w:rsid w:val="005031C3"/>
    <w:pPr>
      <w:widowControl/>
      <w:tabs>
        <w:tab w:val="center" w:pos="4513"/>
        <w:tab w:val="right" w:pos="9026"/>
      </w:tabs>
      <w:jc w:val="both"/>
    </w:pPr>
    <w:rPr>
      <w:rFonts w:eastAsia="Calibri"/>
      <w:szCs w:val="24"/>
      <w:lang w:val="en-GB" w:eastAsia="en-US"/>
    </w:rPr>
  </w:style>
  <w:style w:type="character" w:customStyle="1" w:styleId="HeaderChar">
    <w:name w:val="Header Char"/>
    <w:basedOn w:val="DefaultParagraphFont"/>
    <w:link w:val="Header"/>
    <w:uiPriority w:val="99"/>
    <w:rsid w:val="005031C3"/>
    <w:rPr>
      <w:rFonts w:eastAsia="Calibri"/>
      <w:sz w:val="24"/>
      <w:szCs w:val="24"/>
      <w:lang w:eastAsia="en-US"/>
    </w:rPr>
  </w:style>
  <w:style w:type="paragraph" w:styleId="Footer">
    <w:name w:val="footer"/>
    <w:basedOn w:val="Normal"/>
    <w:link w:val="FooterChar"/>
    <w:uiPriority w:val="99"/>
    <w:unhideWhenUsed/>
    <w:rsid w:val="005031C3"/>
    <w:pPr>
      <w:widowControl/>
      <w:tabs>
        <w:tab w:val="center" w:pos="4513"/>
        <w:tab w:val="right" w:pos="9026"/>
      </w:tabs>
      <w:jc w:val="both"/>
    </w:pPr>
    <w:rPr>
      <w:rFonts w:eastAsia="Calibri"/>
      <w:szCs w:val="24"/>
      <w:lang w:val="en-GB" w:eastAsia="en-US"/>
    </w:rPr>
  </w:style>
  <w:style w:type="character" w:customStyle="1" w:styleId="FooterChar">
    <w:name w:val="Footer Char"/>
    <w:basedOn w:val="DefaultParagraphFont"/>
    <w:link w:val="Footer"/>
    <w:uiPriority w:val="99"/>
    <w:rsid w:val="005031C3"/>
    <w:rPr>
      <w:rFonts w:eastAsia="Calibri"/>
      <w:sz w:val="24"/>
      <w:szCs w:val="24"/>
      <w:lang w:eastAsia="en-US"/>
    </w:rPr>
  </w:style>
  <w:style w:type="character" w:styleId="FollowedHyperlink">
    <w:name w:val="FollowedHyperlink"/>
    <w:basedOn w:val="DefaultParagraphFont"/>
    <w:rsid w:val="001A02DF"/>
    <w:rPr>
      <w:color w:val="954F72" w:themeColor="followedHyperlink"/>
      <w:u w:val="single"/>
    </w:rPr>
  </w:style>
  <w:style w:type="paragraph" w:customStyle="1" w:styleId="Normal12Hanging">
    <w:name w:val="Normal12Hanging"/>
    <w:basedOn w:val="Normal"/>
    <w:link w:val="CharChar1"/>
    <w:rsid w:val="00D61C68"/>
    <w:pPr>
      <w:spacing w:after="240"/>
      <w:ind w:left="357" w:hanging="357"/>
    </w:pPr>
    <w:rPr>
      <w:snapToGrid w:val="0"/>
    </w:rPr>
  </w:style>
  <w:style w:type="character" w:customStyle="1" w:styleId="CharChar1">
    <w:name w:val="Char Char1"/>
    <w:link w:val="Normal12Hanging"/>
    <w:locked/>
    <w:rsid w:val="00D61C68"/>
    <w:rPr>
      <w:snapToGrid w:val="0"/>
      <w:sz w:val="24"/>
      <w:lang w:val="it-IT"/>
    </w:rPr>
  </w:style>
  <w:style w:type="paragraph" w:customStyle="1" w:styleId="Normal12Centre">
    <w:name w:val="Normal12Centre"/>
    <w:basedOn w:val="Normal"/>
    <w:rsid w:val="00D61C68"/>
    <w:pPr>
      <w:spacing w:after="240"/>
      <w:jc w:val="center"/>
    </w:pPr>
    <w:rPr>
      <w:snapToGrid w:val="0"/>
    </w:rPr>
  </w:style>
  <w:style w:type="character" w:styleId="CommentReference">
    <w:name w:val="annotation reference"/>
    <w:basedOn w:val="DefaultParagraphFont"/>
    <w:rsid w:val="00F1025B"/>
    <w:rPr>
      <w:sz w:val="16"/>
      <w:szCs w:val="16"/>
    </w:rPr>
  </w:style>
  <w:style w:type="paragraph" w:styleId="CommentText">
    <w:name w:val="annotation text"/>
    <w:basedOn w:val="Normal"/>
    <w:link w:val="CommentTextChar"/>
    <w:rsid w:val="00F1025B"/>
    <w:rPr>
      <w:sz w:val="20"/>
    </w:rPr>
  </w:style>
  <w:style w:type="character" w:customStyle="1" w:styleId="CommentTextChar">
    <w:name w:val="Comment Text Char"/>
    <w:basedOn w:val="DefaultParagraphFont"/>
    <w:link w:val="CommentText"/>
    <w:rsid w:val="00F1025B"/>
    <w:rPr>
      <w:lang w:val="it-IT"/>
    </w:rPr>
  </w:style>
  <w:style w:type="paragraph" w:styleId="CommentSubject">
    <w:name w:val="annotation subject"/>
    <w:basedOn w:val="CommentText"/>
    <w:next w:val="CommentText"/>
    <w:link w:val="CommentSubjectChar"/>
    <w:rsid w:val="00F1025B"/>
    <w:rPr>
      <w:b/>
      <w:bCs/>
    </w:rPr>
  </w:style>
  <w:style w:type="character" w:customStyle="1" w:styleId="CommentSubjectChar">
    <w:name w:val="Comment Subject Char"/>
    <w:basedOn w:val="CommentTextChar"/>
    <w:link w:val="CommentSubject"/>
    <w:rsid w:val="00F1025B"/>
    <w:rPr>
      <w:b/>
      <w:bCs/>
      <w:lang w:val="it-IT"/>
    </w:rPr>
  </w:style>
  <w:style w:type="paragraph" w:styleId="Revision">
    <w:name w:val="Revision"/>
    <w:hidden/>
    <w:uiPriority w:val="99"/>
    <w:semiHidden/>
    <w:rsid w:val="006A6C55"/>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59DE9-6313-4A6E-81AA-71021D5DE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425</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AR_relfinale</dc:creator>
  <cp:keywords/>
  <cp:lastModifiedBy>Cecilia LOMBARDINI</cp:lastModifiedBy>
  <cp:revision>2</cp:revision>
  <cp:lastPrinted>2004-11-19T15:42:00Z</cp:lastPrinted>
  <dcterms:created xsi:type="dcterms:W3CDTF">2025-07-11T10:14:00Z</dcterms:created>
  <dcterms:modified xsi:type="dcterms:W3CDTF">2025-07-11T10:14:00Z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P10_TA(2025)0110_</vt:lpwstr>
  </property>
  <property fmtid="{D5CDD505-2E9C-101B-9397-08002B2CF9AE}" pid="4" name="&lt;Type&gt;">
    <vt:lpwstr>RR</vt:lpwstr>
  </property>
</Properties>
</file>