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790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C7908" w:rsidRDefault="008020E6" w:rsidP="0010095E">
            <w:pPr>
              <w:pStyle w:val="EPName"/>
            </w:pPr>
            <w:r w:rsidRPr="007C7908">
              <w:t>Parlament Ewropew</w:t>
            </w:r>
          </w:p>
          <w:p w:rsidR="00751A4A" w:rsidRPr="007C790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7908">
              <w:t>2024</w:t>
            </w:r>
            <w:r w:rsidR="00817416" w:rsidRPr="007C7908">
              <w:t>-202</w:t>
            </w:r>
            <w:r w:rsidRPr="007C790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C7908" w:rsidRDefault="00187494" w:rsidP="0010095E">
            <w:pPr>
              <w:pStyle w:val="EPLogo"/>
            </w:pPr>
            <w:r w:rsidRPr="007C790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C7908" w:rsidRDefault="00D058B8" w:rsidP="004C5D52">
      <w:pPr>
        <w:pStyle w:val="LineTop"/>
      </w:pPr>
    </w:p>
    <w:p w:rsidR="00680577" w:rsidRPr="007C7908" w:rsidRDefault="008020E6" w:rsidP="00680577">
      <w:pPr>
        <w:pStyle w:val="EPBodyTA1"/>
      </w:pPr>
      <w:r w:rsidRPr="007C7908">
        <w:t>TESTI ADOTTATI</w:t>
      </w:r>
    </w:p>
    <w:p w:rsidR="00D058B8" w:rsidRPr="007C7908" w:rsidRDefault="00D058B8" w:rsidP="00D058B8">
      <w:pPr>
        <w:pStyle w:val="LineBottom"/>
      </w:pPr>
    </w:p>
    <w:p w:rsidR="008020E6" w:rsidRPr="007C7908" w:rsidRDefault="008020E6" w:rsidP="008020E6">
      <w:pPr>
        <w:pStyle w:val="ATHeading1"/>
      </w:pPr>
      <w:bookmarkStart w:id="0" w:name="TANumber"/>
      <w:r w:rsidRPr="007C7908">
        <w:t>P10_TA(2025)0</w:t>
      </w:r>
      <w:bookmarkEnd w:id="0"/>
      <w:r w:rsidR="00B16AC0">
        <w:t>110</w:t>
      </w:r>
    </w:p>
    <w:p w:rsidR="008020E6" w:rsidRPr="007C7908" w:rsidRDefault="008020E6" w:rsidP="008020E6">
      <w:pPr>
        <w:pStyle w:val="ATHeading2"/>
      </w:pPr>
      <w:bookmarkStart w:id="1" w:name="title"/>
      <w:r w:rsidRPr="007C7908">
        <w:t>L-għoti tal-ekwivalenza lill-Moldova u lill-Ukrajna għall-ispezzjonijiet fuq il-post u l-produzzjoni taż-żrieragħ</w:t>
      </w:r>
      <w:bookmarkEnd w:id="1"/>
    </w:p>
    <w:p w:rsidR="008020E6" w:rsidRPr="007C7908" w:rsidRDefault="008020E6" w:rsidP="008020E6">
      <w:pPr>
        <w:rPr>
          <w:i/>
          <w:vanish/>
        </w:rPr>
      </w:pPr>
      <w:r w:rsidRPr="007C7908">
        <w:rPr>
          <w:i/>
        </w:rPr>
        <w:fldChar w:fldCharType="begin"/>
      </w:r>
      <w:r w:rsidRPr="007C7908">
        <w:rPr>
          <w:i/>
        </w:rPr>
        <w:instrText xml:space="preserve"> TC"(</w:instrText>
      </w:r>
      <w:bookmarkStart w:id="2" w:name="DocNumber"/>
      <w:r w:rsidRPr="007C7908">
        <w:rPr>
          <w:i/>
        </w:rPr>
        <w:instrText>A10-0043/2025</w:instrText>
      </w:r>
      <w:bookmarkEnd w:id="2"/>
      <w:r w:rsidRPr="007C7908">
        <w:rPr>
          <w:i/>
        </w:rPr>
        <w:instrText xml:space="preserve"> - Rapporteur: Veronika Vrecionová)"\l3 \n&gt; \* MERGEFORMAT </w:instrText>
      </w:r>
      <w:r w:rsidRPr="007C7908">
        <w:rPr>
          <w:i/>
        </w:rPr>
        <w:fldChar w:fldCharType="end"/>
      </w:r>
    </w:p>
    <w:p w:rsidR="008020E6" w:rsidRPr="007C7908" w:rsidRDefault="008020E6" w:rsidP="008020E6">
      <w:pPr>
        <w:rPr>
          <w:vanish/>
        </w:rPr>
      </w:pPr>
      <w:bookmarkStart w:id="3" w:name="Commission"/>
      <w:r w:rsidRPr="007C7908">
        <w:rPr>
          <w:vanish/>
        </w:rPr>
        <w:t>Kumitat għall-Agrikoltura u l-Iżvilupp Rurali</w:t>
      </w:r>
      <w:bookmarkEnd w:id="3"/>
    </w:p>
    <w:p w:rsidR="008020E6" w:rsidRPr="007C7908" w:rsidRDefault="008020E6" w:rsidP="008020E6">
      <w:pPr>
        <w:rPr>
          <w:vanish/>
        </w:rPr>
      </w:pPr>
      <w:bookmarkStart w:id="4" w:name="PE"/>
      <w:r w:rsidRPr="007C7908">
        <w:rPr>
          <w:vanish/>
        </w:rPr>
        <w:t>PE766.952</w:t>
      </w:r>
      <w:bookmarkEnd w:id="4"/>
    </w:p>
    <w:p w:rsidR="008020E6" w:rsidRPr="007C7908" w:rsidRDefault="008020E6" w:rsidP="008020E6">
      <w:pPr>
        <w:pStyle w:val="ATHeading3"/>
      </w:pPr>
      <w:bookmarkStart w:id="5" w:name="Sujet"/>
      <w:r w:rsidRPr="007C7908">
        <w:t>Riżoluzzjoni leġiżlattiva tal-Parlament Ewropew tat-22 ta' Mejju 2025 dwar il-proposta għal deċiżjoni tal-Parlament Ewropew u tal-Kunsill li temenda d-Deċiżjoni tal-Kunsill 2003/17/KE fir-rigward tal-ekwivalenza tal-ispezzjonijiet fuq il-post imwettqa fir-Repubblika tal-Moldova fuq l-għelejjel li jipproduċu ż-żrieragħ tal-pjanti tal-għalf, tal-ekwivalenza taż-żrieragħ tal-pjanti tal-għalf prodotti fir-Repubblika tal-Moldova, tal-ekwivalenza tal-ispezzjonijiet fuq il-post imwettqa fl-Ukrajna fuq l-għelejjel li jipproduċu ż-żrieragħ tal-pitravi u l-għelejjel li jipproduċu ż-żrieragħ tal-pjanti taż-żejt, u tal-ekwivalenza taż-żrieragħ tal-pitravi u taż-żrieragħ tal-pjanti taż-żejt prodotti fl-Ukrajna</w:t>
      </w:r>
      <w:bookmarkEnd w:id="5"/>
      <w:r w:rsidRPr="007C7908">
        <w:t xml:space="preserve"> </w:t>
      </w:r>
      <w:bookmarkStart w:id="6" w:name="References"/>
      <w:r w:rsidRPr="007C7908">
        <w:t>(COM(2024)0052 – C9-0026/2024 – 2024/0027(COD))</w:t>
      </w:r>
      <w:bookmarkEnd w:id="6"/>
    </w:p>
    <w:p w:rsidR="00134D38" w:rsidRPr="007C7908" w:rsidRDefault="00134D38" w:rsidP="00134D38">
      <w:pPr>
        <w:pStyle w:val="NormalBold"/>
      </w:pPr>
      <w:r w:rsidRPr="007C7908">
        <w:t>(Proċedura leġiżlattiva ordinarja: l-ewwel qari)</w:t>
      </w:r>
    </w:p>
    <w:p w:rsidR="00134D38" w:rsidRPr="007C7908" w:rsidRDefault="00134D38" w:rsidP="00134D38">
      <w:pPr>
        <w:pStyle w:val="EPComma"/>
      </w:pPr>
      <w:r w:rsidRPr="007C7908">
        <w:rPr>
          <w:i/>
        </w:rPr>
        <w:t>Il-Parlament Ewropew</w:t>
      </w:r>
      <w:r w:rsidRPr="007C7908">
        <w:t>,</w:t>
      </w:r>
    </w:p>
    <w:p w:rsidR="00134D38" w:rsidRPr="007C7908" w:rsidRDefault="00134D38" w:rsidP="00134D38">
      <w:pPr>
        <w:pStyle w:val="NormalHanging12a"/>
      </w:pPr>
      <w:r w:rsidRPr="007C7908">
        <w:t>–</w:t>
      </w:r>
      <w:r w:rsidRPr="007C7908">
        <w:tab/>
        <w:t>wara li kkunsidra l-proposta tal-Kummissjoni lill-Parlament Ewropew u lill-Kunsill (COM(2024)0052),</w:t>
      </w:r>
    </w:p>
    <w:p w:rsidR="00134D38" w:rsidRPr="007C7908" w:rsidRDefault="00134D38" w:rsidP="00134D38">
      <w:pPr>
        <w:pStyle w:val="NormalHanging12a"/>
      </w:pPr>
      <w:r w:rsidRPr="007C7908">
        <w:t>–</w:t>
      </w:r>
      <w:r w:rsidRPr="007C7908">
        <w:tab/>
        <w:t>wara li kkunsidra l-Artikolu 294(2) u l-Artikolu 43(2) tat-Trattat dwar il-Funzjonament tal-Unjoni Ewropea, skont liema artikoli l-Kummissjoni ppreżentat il-proposta lill-Parlament (C9-0026/2024),</w:t>
      </w:r>
    </w:p>
    <w:p w:rsidR="00134D38" w:rsidRPr="007C7908" w:rsidRDefault="00134D38" w:rsidP="00134D38">
      <w:pPr>
        <w:pStyle w:val="NormalHanging12a"/>
      </w:pPr>
      <w:r w:rsidRPr="007C7908">
        <w:t>–</w:t>
      </w:r>
      <w:r w:rsidRPr="007C7908">
        <w:tab/>
        <w:t>wara li kkunsidra l-Artikolu 294(3) tat-Trattat dwar il-Funzjonament tal-Unjoni Ewropea,</w:t>
      </w:r>
    </w:p>
    <w:p w:rsidR="00134D38" w:rsidRDefault="00134D38" w:rsidP="00134D38">
      <w:pPr>
        <w:pStyle w:val="NormalHanging12a"/>
      </w:pPr>
      <w:r w:rsidRPr="007C7908">
        <w:t>–</w:t>
      </w:r>
      <w:r w:rsidRPr="007C7908">
        <w:tab/>
        <w:t>wara li kkunsidra l-opinjoni tal-20 ta’ Marzu 2024 tal-Kumitat Ekonomiku u Soċjali Ewropew</w:t>
      </w:r>
      <w:r w:rsidRPr="007C7908">
        <w:rPr>
          <w:vertAlign w:val="superscript"/>
        </w:rPr>
        <w:footnoteReference w:id="1"/>
      </w:r>
      <w:r w:rsidRPr="007C7908">
        <w:t xml:space="preserve">, </w:t>
      </w:r>
    </w:p>
    <w:p w:rsidR="00A450CE" w:rsidRPr="007C7908" w:rsidRDefault="00A450CE" w:rsidP="00134D38">
      <w:pPr>
        <w:pStyle w:val="NormalHanging12a"/>
      </w:pPr>
      <w:r w:rsidRPr="00A450CE">
        <w:t>–</w:t>
      </w:r>
      <w:r>
        <w:tab/>
      </w:r>
      <w:r w:rsidRPr="00A450CE">
        <w:t>wara li kkunsidra l-impenn meħud mir-rappreżentant tal-Kunsill</w:t>
      </w:r>
      <w:r w:rsidR="001E61FF">
        <w:t>,</w:t>
      </w:r>
      <w:r w:rsidRPr="00A450CE">
        <w:t xml:space="preserve"> permezz tal-ittra ta</w:t>
      </w:r>
      <w:r>
        <w:t>t</w:t>
      </w:r>
      <w:r w:rsidRPr="00A450CE">
        <w:t>-</w:t>
      </w:r>
      <w:r>
        <w:t>30</w:t>
      </w:r>
      <w:r w:rsidRPr="00A450CE">
        <w:t xml:space="preserve"> ta’ </w:t>
      </w:r>
      <w:r>
        <w:t>April</w:t>
      </w:r>
      <w:r w:rsidRPr="00A450CE">
        <w:t xml:space="preserve"> 20</w:t>
      </w:r>
      <w:r>
        <w:t>25</w:t>
      </w:r>
      <w:r w:rsidR="001E61FF">
        <w:t>,</w:t>
      </w:r>
      <w:r w:rsidRPr="00A450CE">
        <w:t xml:space="preserve"> li japp</w:t>
      </w:r>
      <w:r>
        <w:t xml:space="preserve">rova l-pożizzjoni tal-Parlament, </w:t>
      </w:r>
      <w:r w:rsidRPr="00A450CE">
        <w:t>skont l-Artikolu 294(4) tat-Trattat dwar il-Funzjonament tal-Unjoni Ewropea,</w:t>
      </w:r>
    </w:p>
    <w:p w:rsidR="00134D38" w:rsidRPr="007C7908" w:rsidRDefault="00134D38" w:rsidP="00134D38">
      <w:pPr>
        <w:pStyle w:val="NormalHanging12a"/>
      </w:pPr>
      <w:r w:rsidRPr="007C7908">
        <w:lastRenderedPageBreak/>
        <w:t>–</w:t>
      </w:r>
      <w:r w:rsidRPr="007C7908">
        <w:tab/>
        <w:t>wara li kkunsidra l-Artikolu 60 tar-Regoli ta’ Proċedura tiegħu,</w:t>
      </w:r>
    </w:p>
    <w:p w:rsidR="00134D38" w:rsidRPr="007C7908" w:rsidRDefault="00134D38" w:rsidP="00134D38">
      <w:pPr>
        <w:pStyle w:val="NormalHanging12a"/>
      </w:pPr>
      <w:r w:rsidRPr="007C7908">
        <w:t>–</w:t>
      </w:r>
      <w:r w:rsidRPr="007C7908">
        <w:tab/>
        <w:t>wara li kkunsidra r-rapport tal-Kumitat għall-Agrikoltura u l-Iżvilupp Rurali (A10-0043/2025),</w:t>
      </w:r>
    </w:p>
    <w:p w:rsidR="00134D38" w:rsidRPr="007C7908" w:rsidRDefault="00134D38" w:rsidP="00134D38">
      <w:pPr>
        <w:pStyle w:val="NormalHanging12a"/>
      </w:pPr>
      <w:r w:rsidRPr="007C7908">
        <w:t>1.</w:t>
      </w:r>
      <w:r w:rsidRPr="007C7908">
        <w:tab/>
        <w:t>Jadotta l-pożizzjoni fl-ewwel qari li tidher hawn taħt;</w:t>
      </w:r>
    </w:p>
    <w:p w:rsidR="00134D38" w:rsidRPr="007C7908" w:rsidRDefault="00134D38" w:rsidP="00134D38">
      <w:pPr>
        <w:pStyle w:val="NormalHanging12a"/>
      </w:pPr>
      <w:r w:rsidRPr="007C7908">
        <w:t>2.</w:t>
      </w:r>
      <w:r w:rsidRPr="007C7908">
        <w:tab/>
        <w:t>Jitlob lill-Kummissjoni terġa’ tirreferi l-kwistjoni lill-Parlament jekk tibdel il-proposta tagħha, temendaha b’mod sustanzjali jew ikollha l-ħsieb li temendaha b’mod sustanzjali;</w:t>
      </w:r>
    </w:p>
    <w:p w:rsidR="00A450CE" w:rsidRDefault="00134D38" w:rsidP="00134D38">
      <w:pPr>
        <w:pStyle w:val="NormalHanging12a"/>
        <w:sectPr w:rsidR="00A450CE" w:rsidSect="00A450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C7908">
        <w:t>3.</w:t>
      </w:r>
      <w:r w:rsidRPr="007C7908">
        <w:tab/>
        <w:t>Jagħti istruzzjonijiet lill-President tiegħu biex tgħaddi l-pożizzjoni tal-Parlament lill-Kunsill u lill-Kummissjoni kif ukoll lill-parlamenti nazzjonali.</w:t>
      </w:r>
    </w:p>
    <w:p w:rsidR="00134D38" w:rsidRPr="007C7908" w:rsidRDefault="00134D38" w:rsidP="00134D38">
      <w:pPr>
        <w:pStyle w:val="NormalHanging12a"/>
      </w:pPr>
    </w:p>
    <w:p w:rsidR="00A450CE" w:rsidRDefault="00A450CE">
      <w:pPr>
        <w:widowControl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br w:type="page"/>
      </w:r>
    </w:p>
    <w:p w:rsidR="00A450CE" w:rsidRPr="00A450CE" w:rsidRDefault="00A450CE" w:rsidP="00A450CE">
      <w:pPr>
        <w:pStyle w:val="NormalHanging12a"/>
        <w:ind w:left="0" w:firstLine="0"/>
      </w:pPr>
      <w:r w:rsidRPr="00556D52">
        <w:rPr>
          <w:rFonts w:eastAsia="Calibri"/>
          <w:b/>
          <w:bCs/>
          <w:color w:val="000000"/>
          <w:szCs w:val="24"/>
        </w:rPr>
        <w:lastRenderedPageBreak/>
        <w:t>P10_TC1-COD(2024)0027</w:t>
      </w:r>
    </w:p>
    <w:p w:rsidR="009A357B" w:rsidRDefault="00A450CE" w:rsidP="00A450CE">
      <w:pPr>
        <w:spacing w:before="240" w:after="240"/>
        <w:rPr>
          <w:rFonts w:eastAsia="Calibri"/>
          <w:b/>
          <w:noProof/>
          <w:color w:val="000000"/>
          <w:szCs w:val="22"/>
        </w:rPr>
      </w:pPr>
      <w:r w:rsidRPr="00A450CE">
        <w:rPr>
          <w:rFonts w:eastAsia="Calibri"/>
          <w:b/>
          <w:noProof/>
          <w:color w:val="000000"/>
          <w:szCs w:val="22"/>
        </w:rPr>
        <w:t>Pożizzjoni tal-Parlament Ewropew adottata fl-ewwel qari fit-22 ta' Mejju 2025 bil-ħsieb tal-adozzjoni tad-Deċiżjoni (UE) 2025/... tal-Parlament Ewropew u t</w:t>
      </w:r>
      <w:r>
        <w:rPr>
          <w:rFonts w:eastAsia="Calibri"/>
          <w:b/>
          <w:noProof/>
          <w:color w:val="000000"/>
          <w:szCs w:val="22"/>
        </w:rPr>
        <w:t xml:space="preserve">al-Kunsill </w:t>
      </w:r>
      <w:r w:rsidR="009A357B" w:rsidRPr="006369E7">
        <w:rPr>
          <w:rFonts w:eastAsia="Calibri"/>
          <w:b/>
          <w:noProof/>
          <w:color w:val="000000"/>
          <w:szCs w:val="22"/>
        </w:rPr>
        <w:t xml:space="preserve">li temenda d-Deċiżjoni tal-Kunsill 2003/17/KE fir-rigward tal-ekwivalenza tal-ispezzjonijiet fuq il-post imwettqa fir-Repubblika tal-Moldova fuq l-għelejjel </w:t>
      </w:r>
      <w:r w:rsidR="009A357B">
        <w:rPr>
          <w:rFonts w:eastAsia="Calibri"/>
          <w:b/>
          <w:noProof/>
          <w:color w:val="000000"/>
          <w:szCs w:val="22"/>
        </w:rPr>
        <w:t xml:space="preserve">tal-pjanti tal-għalf </w:t>
      </w:r>
      <w:r w:rsidR="009A357B" w:rsidRPr="006369E7">
        <w:rPr>
          <w:rFonts w:eastAsia="Calibri"/>
          <w:b/>
          <w:noProof/>
          <w:color w:val="000000"/>
          <w:szCs w:val="22"/>
        </w:rPr>
        <w:t>li jipproduċu ż-</w:t>
      </w:r>
      <w:r w:rsidR="009A357B">
        <w:rPr>
          <w:rFonts w:eastAsia="Calibri"/>
          <w:b/>
          <w:noProof/>
          <w:color w:val="000000"/>
          <w:szCs w:val="22"/>
        </w:rPr>
        <w:t xml:space="preserve">żerriegħa u dwar </w:t>
      </w:r>
      <w:r w:rsidR="009A357B" w:rsidRPr="006369E7">
        <w:rPr>
          <w:rFonts w:eastAsia="Calibri"/>
          <w:b/>
          <w:noProof/>
          <w:color w:val="000000"/>
          <w:szCs w:val="22"/>
        </w:rPr>
        <w:t>l-ekwivalenza taż-</w:t>
      </w:r>
      <w:r w:rsidR="009A357B">
        <w:rPr>
          <w:rFonts w:eastAsia="Calibri"/>
          <w:b/>
          <w:noProof/>
          <w:color w:val="000000"/>
          <w:szCs w:val="22"/>
        </w:rPr>
        <w:t>żerriegħa</w:t>
      </w:r>
      <w:r w:rsidR="009A357B" w:rsidRPr="006369E7">
        <w:rPr>
          <w:rFonts w:eastAsia="Calibri"/>
          <w:b/>
          <w:noProof/>
          <w:color w:val="000000"/>
          <w:szCs w:val="22"/>
        </w:rPr>
        <w:t xml:space="preserve"> tal-pjanti tal-għalf prodott</w:t>
      </w:r>
      <w:r w:rsidR="009A357B">
        <w:rPr>
          <w:rFonts w:eastAsia="Calibri"/>
          <w:b/>
          <w:noProof/>
          <w:color w:val="000000"/>
          <w:szCs w:val="22"/>
        </w:rPr>
        <w:t>a</w:t>
      </w:r>
      <w:r w:rsidR="009A357B" w:rsidRPr="006369E7">
        <w:rPr>
          <w:rFonts w:eastAsia="Calibri"/>
          <w:b/>
          <w:noProof/>
          <w:color w:val="000000"/>
          <w:szCs w:val="22"/>
        </w:rPr>
        <w:t xml:space="preserve"> fir-Repubblika tal-Moldova, </w:t>
      </w:r>
      <w:r w:rsidR="009A357B">
        <w:rPr>
          <w:rFonts w:eastAsia="Calibri"/>
          <w:b/>
          <w:noProof/>
          <w:color w:val="000000"/>
          <w:szCs w:val="22"/>
        </w:rPr>
        <w:t xml:space="preserve">u fir-rigward </w:t>
      </w:r>
      <w:r w:rsidR="009A357B" w:rsidRPr="006369E7">
        <w:rPr>
          <w:rFonts w:eastAsia="Calibri"/>
          <w:b/>
          <w:noProof/>
          <w:color w:val="000000"/>
          <w:szCs w:val="22"/>
        </w:rPr>
        <w:t>tal-ekwivalenza tal-ispezzjonijiet fuq il-post imwettqa fl-Ukrajna fuq l-għelejjel</w:t>
      </w:r>
      <w:r w:rsidR="009A357B">
        <w:rPr>
          <w:rFonts w:eastAsia="Calibri"/>
          <w:b/>
          <w:noProof/>
          <w:color w:val="000000"/>
          <w:szCs w:val="22"/>
        </w:rPr>
        <w:t xml:space="preserve"> </w:t>
      </w:r>
      <w:r w:rsidR="009A357B" w:rsidRPr="006369E7">
        <w:rPr>
          <w:rFonts w:eastAsia="Calibri"/>
          <w:b/>
          <w:noProof/>
          <w:color w:val="000000"/>
          <w:szCs w:val="22"/>
        </w:rPr>
        <w:t>tal-pitravi li jipproduċu ż-</w:t>
      </w:r>
      <w:r w:rsidR="009A357B">
        <w:rPr>
          <w:rFonts w:eastAsia="Calibri"/>
          <w:b/>
          <w:noProof/>
          <w:color w:val="000000"/>
          <w:szCs w:val="22"/>
        </w:rPr>
        <w:t>żerriegħa</w:t>
      </w:r>
      <w:r w:rsidR="009A357B" w:rsidRPr="006369E7">
        <w:rPr>
          <w:rFonts w:eastAsia="Calibri"/>
          <w:b/>
          <w:noProof/>
          <w:color w:val="000000"/>
          <w:szCs w:val="22"/>
        </w:rPr>
        <w:t xml:space="preserve"> u </w:t>
      </w:r>
      <w:r w:rsidR="009A357B">
        <w:rPr>
          <w:rFonts w:eastAsia="Calibri"/>
          <w:b/>
          <w:noProof/>
          <w:color w:val="000000"/>
          <w:szCs w:val="22"/>
        </w:rPr>
        <w:t xml:space="preserve">fuq </w:t>
      </w:r>
      <w:r w:rsidR="009A357B" w:rsidRPr="006369E7">
        <w:rPr>
          <w:rFonts w:eastAsia="Calibri"/>
          <w:b/>
          <w:noProof/>
          <w:color w:val="000000"/>
          <w:szCs w:val="22"/>
        </w:rPr>
        <w:t>l-għelejjel tal-pjanti taż-żejt</w:t>
      </w:r>
      <w:r w:rsidR="009A357B">
        <w:rPr>
          <w:rFonts w:eastAsia="Calibri"/>
          <w:b/>
          <w:noProof/>
          <w:color w:val="000000"/>
          <w:szCs w:val="22"/>
        </w:rPr>
        <w:t xml:space="preserve"> </w:t>
      </w:r>
      <w:r w:rsidR="009A357B" w:rsidRPr="006369E7">
        <w:rPr>
          <w:rFonts w:eastAsia="Calibri"/>
          <w:b/>
          <w:noProof/>
          <w:color w:val="000000"/>
          <w:szCs w:val="22"/>
        </w:rPr>
        <w:t>li jipproduċu ż-</w:t>
      </w:r>
      <w:r w:rsidR="009A357B">
        <w:rPr>
          <w:rFonts w:eastAsia="Calibri"/>
          <w:b/>
          <w:noProof/>
          <w:color w:val="000000"/>
          <w:szCs w:val="22"/>
        </w:rPr>
        <w:t>żerriegħa</w:t>
      </w:r>
      <w:r w:rsidR="009A357B" w:rsidRPr="006369E7">
        <w:rPr>
          <w:rFonts w:eastAsia="Calibri"/>
          <w:b/>
          <w:noProof/>
          <w:color w:val="000000"/>
          <w:szCs w:val="22"/>
        </w:rPr>
        <w:t xml:space="preserve"> u </w:t>
      </w:r>
      <w:r w:rsidR="009A357B">
        <w:rPr>
          <w:rFonts w:eastAsia="Calibri"/>
          <w:b/>
          <w:noProof/>
          <w:color w:val="000000"/>
          <w:szCs w:val="22"/>
        </w:rPr>
        <w:t xml:space="preserve">dwar </w:t>
      </w:r>
      <w:r w:rsidR="009A357B" w:rsidRPr="006369E7">
        <w:rPr>
          <w:rFonts w:eastAsia="Calibri"/>
          <w:b/>
          <w:noProof/>
          <w:color w:val="000000"/>
          <w:szCs w:val="22"/>
        </w:rPr>
        <w:t>l-ekwivalenza taż-ż</w:t>
      </w:r>
      <w:r w:rsidR="009A357B">
        <w:rPr>
          <w:rFonts w:eastAsia="Calibri"/>
          <w:b/>
          <w:noProof/>
          <w:color w:val="000000"/>
          <w:szCs w:val="22"/>
        </w:rPr>
        <w:t>erriegħa</w:t>
      </w:r>
      <w:r w:rsidR="009A357B" w:rsidRPr="006369E7">
        <w:rPr>
          <w:rFonts w:eastAsia="Calibri"/>
          <w:b/>
          <w:noProof/>
          <w:color w:val="000000"/>
          <w:szCs w:val="22"/>
        </w:rPr>
        <w:t xml:space="preserve"> tal-pitravi u taż-ż</w:t>
      </w:r>
      <w:r w:rsidR="009A357B">
        <w:rPr>
          <w:rFonts w:eastAsia="Calibri"/>
          <w:b/>
          <w:noProof/>
          <w:color w:val="000000"/>
          <w:szCs w:val="22"/>
        </w:rPr>
        <w:t>erriegħa</w:t>
      </w:r>
      <w:r w:rsidR="009A357B" w:rsidRPr="006369E7">
        <w:rPr>
          <w:rFonts w:eastAsia="Calibri"/>
          <w:b/>
          <w:noProof/>
          <w:color w:val="000000"/>
          <w:szCs w:val="22"/>
        </w:rPr>
        <w:t xml:space="preserve"> tal-pjanti taż-żejt prodott</w:t>
      </w:r>
      <w:r w:rsidR="009A357B">
        <w:rPr>
          <w:rFonts w:eastAsia="Calibri"/>
          <w:b/>
          <w:noProof/>
          <w:color w:val="000000"/>
          <w:szCs w:val="22"/>
        </w:rPr>
        <w:t>a</w:t>
      </w:r>
      <w:r w:rsidR="009A357B" w:rsidRPr="006369E7">
        <w:rPr>
          <w:rFonts w:eastAsia="Calibri"/>
          <w:b/>
          <w:noProof/>
          <w:color w:val="000000"/>
          <w:szCs w:val="22"/>
        </w:rPr>
        <w:t xml:space="preserve"> fl-Ukrajna</w:t>
      </w:r>
      <w:bookmarkStart w:id="7" w:name="_GoBack"/>
      <w:bookmarkEnd w:id="7"/>
    </w:p>
    <w:p w:rsidR="00AE0143" w:rsidRPr="00AE0143" w:rsidRDefault="00AE0143" w:rsidP="00AE0143">
      <w:pPr>
        <w:rPr>
          <w:i/>
        </w:rPr>
      </w:pPr>
      <w:r w:rsidRPr="00AE0143">
        <w:rPr>
          <w:i/>
        </w:rPr>
        <w:t>(Peress li ntlaħaq ftehim bejn il-Parlament u l-Kunsill, il-pożizzjoni tal-Parlament taqbel mal-att leġiżlattiv finali, id-</w:t>
      </w:r>
      <w:r w:rsidRPr="00AE0143">
        <w:rPr>
          <w:i/>
        </w:rPr>
        <w:t>Deċiżjoni</w:t>
      </w:r>
      <w:r w:rsidRPr="00AE0143">
        <w:rPr>
          <w:i/>
        </w:rPr>
        <w:t xml:space="preserve"> (UE) </w:t>
      </w:r>
      <w:r w:rsidRPr="00AE0143">
        <w:rPr>
          <w:i/>
        </w:rPr>
        <w:t>2025</w:t>
      </w:r>
      <w:r w:rsidRPr="00AE0143">
        <w:rPr>
          <w:i/>
        </w:rPr>
        <w:t>/</w:t>
      </w:r>
      <w:r w:rsidRPr="00AE0143">
        <w:rPr>
          <w:i/>
        </w:rPr>
        <w:t>1228</w:t>
      </w:r>
      <w:r w:rsidRPr="00AE0143">
        <w:rPr>
          <w:i/>
        </w:rPr>
        <w:t>.)</w:t>
      </w:r>
    </w:p>
    <w:sectPr w:rsidR="00AE0143" w:rsidRPr="00AE0143" w:rsidSect="00A450CE">
      <w:footnotePr>
        <w:numRestart w:val="eachSect"/>
      </w:footnotePr>
      <w:endnotePr>
        <w:numFmt w:val="decimal"/>
      </w:endnotePr>
      <w:type w:val="continuous"/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0E6" w:rsidRPr="007C7908" w:rsidRDefault="008020E6">
      <w:r w:rsidRPr="007C7908">
        <w:separator/>
      </w:r>
    </w:p>
  </w:endnote>
  <w:endnote w:type="continuationSeparator" w:id="0">
    <w:p w:rsidR="008020E6" w:rsidRPr="007C7908" w:rsidRDefault="008020E6">
      <w:r w:rsidRPr="007C79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90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90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9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0E6" w:rsidRPr="007C7908" w:rsidRDefault="008020E6">
      <w:r w:rsidRPr="007C7908">
        <w:separator/>
      </w:r>
    </w:p>
  </w:footnote>
  <w:footnote w:type="continuationSeparator" w:id="0">
    <w:p w:rsidR="008020E6" w:rsidRPr="007C7908" w:rsidRDefault="008020E6">
      <w:r w:rsidRPr="007C7908">
        <w:continuationSeparator/>
      </w:r>
    </w:p>
  </w:footnote>
  <w:footnote w:id="1">
    <w:p w:rsidR="00134D38" w:rsidRPr="007C7908" w:rsidRDefault="00134D38" w:rsidP="007C7908">
      <w:pPr>
        <w:pStyle w:val="FootnoteText"/>
        <w:ind w:left="567" w:hanging="567"/>
        <w:rPr>
          <w:sz w:val="24"/>
          <w:szCs w:val="24"/>
          <w:lang w:val="mt-MT"/>
        </w:rPr>
      </w:pPr>
      <w:r w:rsidRPr="007C7908">
        <w:rPr>
          <w:rStyle w:val="FootnoteReference"/>
          <w:sz w:val="24"/>
          <w:szCs w:val="24"/>
          <w:lang w:val="mt-MT"/>
        </w:rPr>
        <w:footnoteRef/>
      </w:r>
      <w:r w:rsidR="007C7908" w:rsidRPr="007C7908">
        <w:rPr>
          <w:color w:val="333333"/>
          <w:sz w:val="24"/>
          <w:shd w:val="clear" w:color="auto" w:fill="FFFFFF"/>
          <w:lang w:val="mt-MT"/>
        </w:rPr>
        <w:t xml:space="preserve"> </w:t>
      </w:r>
      <w:r w:rsidR="007C7908" w:rsidRPr="007C7908">
        <w:rPr>
          <w:color w:val="333333"/>
          <w:sz w:val="24"/>
          <w:shd w:val="clear" w:color="auto" w:fill="FFFFFF"/>
          <w:lang w:val="mt-MT"/>
        </w:rPr>
        <w:tab/>
      </w:r>
      <w:r w:rsidRPr="007C7908">
        <w:rPr>
          <w:color w:val="333333"/>
          <w:sz w:val="24"/>
          <w:shd w:val="clear" w:color="auto" w:fill="FFFFFF"/>
          <w:lang w:val="mt-MT"/>
        </w:rPr>
        <w:t>ĠU C, C/2024/3386, 31.5.2024, ELI: </w:t>
      </w:r>
      <w:hyperlink r:id="rId1" w:tgtFrame="_blank" w:tooltip="Jagħti aċċess għal dan id-dokument permezz tal-ELI URI tiegħu." w:history="1">
        <w:r w:rsidRPr="007C7908">
          <w:rPr>
            <w:rStyle w:val="Hyperlink"/>
            <w:color w:val="337AB7"/>
            <w:sz w:val="24"/>
            <w:lang w:val="mt-MT"/>
          </w:rPr>
          <w:t>http://data.europa.eu/eli/C/2024/3386/oj</w:t>
        </w:r>
      </w:hyperlink>
      <w:r w:rsidRPr="007C7908">
        <w:rPr>
          <w:color w:val="333333"/>
          <w:sz w:val="24"/>
          <w:shd w:val="clear" w:color="auto" w:fill="FFFFFF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90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90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9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3/2025"/>
    <w:docVar w:name="dvlangue" w:val="MT"/>
    <w:docVar w:name="dvnumam" w:val="0"/>
    <w:docVar w:name="dvpe" w:val="766.952"/>
    <w:docVar w:name="dvrapporteur" w:val="Rapporteur: "/>
    <w:docVar w:name="dvstar" w:val="***I"/>
    <w:docVar w:name="dvtitre" w:val="Riżoluzzjoni leġiżlattiva tal-Parlament Ewropew tat-22 ta' Mejju 2025 dwar il-proposta għal deċiżjoni tal-Parlament Ewropew u tal-Kunsill li temenda d-Deċiżjoni tal-Kunsill 2003/17/KE fir-rigward tal-ekwivalenza tal-ispezzjonijiet fuq il-post imwettqa fir-Repubblika tal-Moldova fuq l-għelejjel li jipproduċu ż-żrieragħ tal-pjanti tal-għalf, tal-ekwivalenza taż-żrieragħ tal-pjanti tal-għalf prodotti fir-Repubblika tal-Moldova, tal-ekwivalenza tal-ispezzjonijiet fuq il-post imwettqa fl-Ukrajna fuq l-għelejjel li jipproduċu ż-żrieragħ tal-pitravi u l-għelejjel li jipproduċu ż-żrieragħ tal-pjanti taż-żejt, u tal-ekwivalenza taż-żrieragħ tal-pitravi u taż-żrieragħ tal-pjanti taż-żejt prodotti fl-Ukrajna(COM(2024)0052 – C9-0026/2024 – 2024/0027(COD))"/>
  </w:docVars>
  <w:rsids>
    <w:rsidRoot w:val="008020E6"/>
    <w:rsid w:val="00002272"/>
    <w:rsid w:val="00064002"/>
    <w:rsid w:val="000677B9"/>
    <w:rsid w:val="000831BA"/>
    <w:rsid w:val="000A42CC"/>
    <w:rsid w:val="000E7DD9"/>
    <w:rsid w:val="0010095E"/>
    <w:rsid w:val="00125B37"/>
    <w:rsid w:val="00134D38"/>
    <w:rsid w:val="00187494"/>
    <w:rsid w:val="001E61F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0FE0"/>
    <w:rsid w:val="007C7908"/>
    <w:rsid w:val="007D1690"/>
    <w:rsid w:val="007E22AD"/>
    <w:rsid w:val="008020E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357B"/>
    <w:rsid w:val="00A1687D"/>
    <w:rsid w:val="00A43E52"/>
    <w:rsid w:val="00A450CE"/>
    <w:rsid w:val="00A4678D"/>
    <w:rsid w:val="00A778C7"/>
    <w:rsid w:val="00AB441E"/>
    <w:rsid w:val="00AB6293"/>
    <w:rsid w:val="00AE0143"/>
    <w:rsid w:val="00AE0928"/>
    <w:rsid w:val="00AF3B82"/>
    <w:rsid w:val="00B12E95"/>
    <w:rsid w:val="00B16AC0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9A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F1305"/>
  <w15:chartTrackingRefBased/>
  <w15:docId w15:val="{2CA5AF7C-600E-42AB-92D2-73E6916B1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34D38"/>
    <w:rPr>
      <w:b/>
    </w:rPr>
  </w:style>
  <w:style w:type="paragraph" w:customStyle="1" w:styleId="NormalHanging12a">
    <w:name w:val="NormalHanging12a"/>
    <w:basedOn w:val="Normal"/>
    <w:rsid w:val="00134D38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134D38"/>
    <w:pPr>
      <w:spacing w:before="240"/>
    </w:pPr>
    <w:rPr>
      <w:b/>
    </w:rPr>
  </w:style>
  <w:style w:type="paragraph" w:customStyle="1" w:styleId="EPComma">
    <w:name w:val="EPComma"/>
    <w:basedOn w:val="Normal"/>
    <w:rsid w:val="00134D38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134D38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134D38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134D38"/>
    <w:pPr>
      <w:spacing w:after="120"/>
    </w:pPr>
  </w:style>
  <w:style w:type="paragraph" w:customStyle="1" w:styleId="ColumnHeading">
    <w:name w:val="ColumnHeading"/>
    <w:basedOn w:val="Normal"/>
    <w:rsid w:val="00134D3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34D3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134D3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A35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357B"/>
    <w:rPr>
      <w:rFonts w:ascii="Segoe UI" w:hAnsi="Segoe UI" w:cs="Segoe UI"/>
      <w:sz w:val="18"/>
      <w:szCs w:val="18"/>
      <w:lang w:val="mt-MT"/>
    </w:rPr>
  </w:style>
  <w:style w:type="paragraph" w:customStyle="1" w:styleId="Point0number">
    <w:name w:val="Point 0 (number)"/>
    <w:basedOn w:val="Normal"/>
    <w:rsid w:val="009A357B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9A357B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9A357B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9A357B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9A357B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9A357B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9A357B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9A357B"/>
    <w:pPr>
      <w:widowControl/>
      <w:numPr>
        <w:ilvl w:val="7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9A357B"/>
    <w:pPr>
      <w:widowControl/>
      <w:numPr>
        <w:ilvl w:val="8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9A357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92523-A45A-484F-91A8-946375104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343</Words>
  <Characters>3014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2025-07-04T07:56:00Z</dcterms:created>
  <dcterms:modified xsi:type="dcterms:W3CDTF">2025-07-04T07:56:00Z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P10_TA(2025)0110_</vt:lpwstr>
  </property>
  <property fmtid="{D5CDD505-2E9C-101B-9397-08002B2CF9AE}" pid="4" name="&lt;Type&gt;">
    <vt:lpwstr>RR</vt:lpwstr>
  </property>
</Properties>
</file>