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A193B" w14:paraId="3DA6529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B822C" w14:textId="77777777" w:rsidR="00757DD5" w:rsidRPr="009A193B" w:rsidRDefault="00CF1417" w:rsidP="00425111">
            <w:pPr>
              <w:pStyle w:val="EPName"/>
              <w:rPr>
                <w:lang w:val="cs-CZ"/>
              </w:rPr>
            </w:pPr>
            <w:r w:rsidRPr="009A193B">
              <w:rPr>
                <w:lang w:val="cs-CZ"/>
              </w:rPr>
              <w:t>Evropský parlament</w:t>
            </w:r>
          </w:p>
          <w:p w14:paraId="48DDC479" w14:textId="77777777" w:rsidR="00757DD5" w:rsidRPr="009A193B" w:rsidRDefault="00CF1417" w:rsidP="00425111">
            <w:pPr>
              <w:pStyle w:val="EPTerm"/>
              <w:rPr>
                <w:rStyle w:val="HideTWBExt"/>
                <w:vanish w:val="0"/>
                <w:lang w:val="cs-CZ"/>
              </w:rPr>
            </w:pPr>
            <w:r w:rsidRPr="009A193B">
              <w:rPr>
                <w:lang w:val="cs-CZ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EC744C6" w14:textId="77777777" w:rsidR="00757DD5" w:rsidRPr="009A193B" w:rsidRDefault="00172070" w:rsidP="00425111">
            <w:pPr>
              <w:pStyle w:val="EPLogo"/>
              <w:rPr>
                <w:lang w:val="cs-CZ"/>
              </w:rPr>
            </w:pPr>
            <w:r w:rsidRPr="009A193B">
              <w:rPr>
                <w:noProof/>
                <w:lang w:val="cs-CZ"/>
              </w:rPr>
              <w:drawing>
                <wp:inline distT="0" distB="0" distL="0" distR="0" wp14:anchorId="09DD70EF" wp14:editId="0F4245F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BA8195" w14:textId="77777777" w:rsidR="008E7632" w:rsidRPr="009A193B" w:rsidRDefault="008E7632" w:rsidP="008E7632">
      <w:pPr>
        <w:pStyle w:val="LineTop"/>
        <w:rPr>
          <w:lang w:val="cs-CZ"/>
        </w:rPr>
      </w:pPr>
    </w:p>
    <w:p w14:paraId="7E0A0319" w14:textId="77777777" w:rsidR="008E7632" w:rsidRPr="009A193B" w:rsidRDefault="00CF1417" w:rsidP="008E7632">
      <w:pPr>
        <w:pStyle w:val="ZSessionDoc"/>
        <w:rPr>
          <w:b/>
          <w:i w:val="0"/>
          <w:lang w:val="cs-CZ"/>
        </w:rPr>
      </w:pPr>
      <w:r w:rsidRPr="009A193B">
        <w:rPr>
          <w:b/>
          <w:i w:val="0"/>
          <w:lang w:val="cs-CZ"/>
        </w:rPr>
        <w:t>PŘIJATÉ TEXTY</w:t>
      </w:r>
    </w:p>
    <w:p w14:paraId="6125CB58" w14:textId="77777777" w:rsidR="008E7632" w:rsidRPr="009A193B" w:rsidRDefault="00CF1417" w:rsidP="008E7632">
      <w:pPr>
        <w:pStyle w:val="LineBottom"/>
        <w:rPr>
          <w:lang w:val="cs-CZ"/>
        </w:rPr>
      </w:pPr>
      <w:r w:rsidRPr="009A193B">
        <w:rPr>
          <w:rFonts w:cs="Arial"/>
          <w:i/>
          <w:sz w:val="20"/>
          <w:szCs w:val="22"/>
          <w:lang w:val="cs-CZ"/>
        </w:rPr>
        <w:t xml:space="preserve"> </w:t>
      </w:r>
    </w:p>
    <w:p w14:paraId="01F6D327" w14:textId="7369B51B" w:rsidR="009C4014" w:rsidRPr="009A193B" w:rsidRDefault="00CF1417" w:rsidP="008E7632">
      <w:pPr>
        <w:pStyle w:val="ATHeading1"/>
        <w:spacing w:before="480"/>
        <w:rPr>
          <w:lang w:val="cs-CZ"/>
        </w:rPr>
      </w:pPr>
      <w:bookmarkStart w:id="0" w:name="TA_Heading"/>
      <w:r w:rsidRPr="009A193B">
        <w:rPr>
          <w:lang w:val="cs-CZ"/>
        </w:rPr>
        <w:t>P10_TA(2025)</w:t>
      </w:r>
      <w:bookmarkEnd w:id="0"/>
      <w:r w:rsidR="008E16B7" w:rsidRPr="009A193B">
        <w:rPr>
          <w:lang w:val="cs-CZ"/>
        </w:rPr>
        <w:t>0111</w:t>
      </w:r>
    </w:p>
    <w:p w14:paraId="750F2D05" w14:textId="77777777" w:rsidR="009C4014" w:rsidRPr="009A193B" w:rsidRDefault="00A74BB4" w:rsidP="00A74BB4">
      <w:pPr>
        <w:pStyle w:val="ATHeading2"/>
        <w:rPr>
          <w:lang w:val="cs-CZ"/>
        </w:rPr>
      </w:pPr>
      <w:r w:rsidRPr="009A193B">
        <w:rPr>
          <w:lang w:val="cs-CZ"/>
        </w:rPr>
        <w:t>Změny nařízení o kapitálových požadavcích, pokud jde o transakce s financováním cenných papírů v rámci ukazatele čistého stabilního financování</w:t>
      </w:r>
      <w:r w:rsidR="009C4014" w:rsidRPr="009A193B">
        <w:rPr>
          <w:lang w:val="cs-CZ"/>
        </w:rPr>
        <w:t xml:space="preserve"> </w:t>
      </w:r>
      <w:bookmarkStart w:id="1" w:name="Etoiles"/>
      <w:bookmarkEnd w:id="1"/>
    </w:p>
    <w:p w14:paraId="623F1F50" w14:textId="2625EDC0" w:rsidR="009C4014" w:rsidRPr="009A193B" w:rsidRDefault="009C4014" w:rsidP="009C4014">
      <w:pPr>
        <w:rPr>
          <w:i/>
          <w:vanish/>
          <w:lang w:val="cs-CZ"/>
        </w:rPr>
      </w:pPr>
      <w:r w:rsidRPr="009A193B">
        <w:rPr>
          <w:i/>
          <w:lang w:val="cs-CZ"/>
        </w:rPr>
        <w:fldChar w:fldCharType="begin"/>
      </w:r>
      <w:r w:rsidRPr="009A193B">
        <w:rPr>
          <w:i/>
          <w:lang w:val="cs-CZ"/>
        </w:rPr>
        <w:instrText xml:space="preserve"> TC"</w:instrText>
      </w:r>
      <w:bookmarkStart w:id="2" w:name="DocNumber"/>
      <w:r w:rsidR="00CF1417" w:rsidRPr="009A193B">
        <w:rPr>
          <w:i/>
          <w:lang w:val="cs-CZ"/>
        </w:rPr>
        <w:instrText>(C10-0059/2025</w:instrText>
      </w:r>
      <w:r w:rsidR="002C1C73" w:rsidRPr="009A193B">
        <w:rPr>
          <w:i/>
          <w:lang w:val="cs-CZ"/>
        </w:rPr>
        <w:instrText xml:space="preserve"> - Jonás Fernández</w:instrText>
      </w:r>
      <w:r w:rsidR="00CF1417" w:rsidRPr="009A193B">
        <w:rPr>
          <w:i/>
          <w:lang w:val="cs-CZ"/>
        </w:rPr>
        <w:instrText>)</w:instrText>
      </w:r>
      <w:bookmarkEnd w:id="2"/>
      <w:r w:rsidRPr="009A193B">
        <w:rPr>
          <w:i/>
          <w:lang w:val="cs-CZ"/>
        </w:rPr>
        <w:instrText xml:space="preserve">"\l3 \n&gt; \* MERGEFORMAT </w:instrText>
      </w:r>
      <w:r w:rsidRPr="009A193B">
        <w:rPr>
          <w:i/>
          <w:lang w:val="cs-CZ"/>
        </w:rPr>
        <w:fldChar w:fldCharType="end"/>
      </w:r>
    </w:p>
    <w:p w14:paraId="2AA132A1" w14:textId="77777777" w:rsidR="00CF1417" w:rsidRPr="009A193B" w:rsidRDefault="00A74BB4" w:rsidP="009C4014">
      <w:pPr>
        <w:rPr>
          <w:vanish/>
          <w:lang w:val="cs-CZ"/>
        </w:rPr>
      </w:pPr>
      <w:bookmarkStart w:id="3" w:name="Commission"/>
      <w:r w:rsidRPr="009A193B">
        <w:rPr>
          <w:vanish/>
          <w:lang w:val="cs-CZ"/>
        </w:rPr>
        <w:t>Hospodářský a měnový výbor</w:t>
      </w:r>
    </w:p>
    <w:p w14:paraId="052019EB" w14:textId="77777777" w:rsidR="009C4014" w:rsidRPr="009A193B" w:rsidRDefault="00CF1417" w:rsidP="009C4014">
      <w:pPr>
        <w:rPr>
          <w:vanish/>
          <w:lang w:val="cs-CZ"/>
        </w:rPr>
      </w:pPr>
      <w:bookmarkStart w:id="4" w:name="PE"/>
      <w:bookmarkEnd w:id="3"/>
      <w:r w:rsidRPr="009A193B">
        <w:rPr>
          <w:vanish/>
          <w:lang w:val="cs-CZ"/>
        </w:rPr>
        <w:t>PE773.631</w:t>
      </w:r>
      <w:bookmarkEnd w:id="4"/>
    </w:p>
    <w:p w14:paraId="3B8EEE2A" w14:textId="036A0D03" w:rsidR="00A74BB4" w:rsidRPr="009A193B" w:rsidRDefault="00A74BB4" w:rsidP="00CF1417">
      <w:pPr>
        <w:pStyle w:val="ATHeading3"/>
        <w:rPr>
          <w:lang w:val="cs-CZ"/>
        </w:rPr>
      </w:pPr>
      <w:r w:rsidRPr="009A193B">
        <w:rPr>
          <w:lang w:val="cs-CZ"/>
        </w:rPr>
        <w:t>Legislativní usnesení Evropského parlamentu ze dne 22. května 2025 o návrhu naříze</w:t>
      </w:r>
      <w:r w:rsidR="009A193B">
        <w:rPr>
          <w:lang w:val="cs-CZ"/>
        </w:rPr>
        <w:t>ní Evropského parlamentu a Rady</w:t>
      </w:r>
      <w:r w:rsidRPr="009A193B">
        <w:rPr>
          <w:lang w:val="cs-CZ"/>
        </w:rPr>
        <w:t xml:space="preserve">, </w:t>
      </w:r>
      <w:r w:rsidRPr="009A193B">
        <w:rPr>
          <w:rFonts w:eastAsia="Calibri"/>
          <w:szCs w:val="22"/>
          <w:lang w:val="cs-CZ"/>
        </w:rPr>
        <w:t>kterým se mění nařízení (EU) č. 575/2013 o obezřetnostních požadavcích na úvěrové instituce</w:t>
      </w:r>
      <w:r w:rsidR="00B14574" w:rsidRPr="009A193B">
        <w:rPr>
          <w:rFonts w:eastAsia="Calibri"/>
          <w:szCs w:val="22"/>
          <w:lang w:val="cs-CZ"/>
        </w:rPr>
        <w:t xml:space="preserve">, pokud jde o požadavky na </w:t>
      </w:r>
      <w:r w:rsidRPr="009A193B">
        <w:rPr>
          <w:rFonts w:eastAsia="Calibri"/>
          <w:szCs w:val="22"/>
          <w:lang w:val="cs-CZ"/>
        </w:rPr>
        <w:t xml:space="preserve">transakce s financováním cenných papírů v rámci ukazatele čistého stabilního financování </w:t>
      </w:r>
      <w:r w:rsidRPr="009A193B">
        <w:rPr>
          <w:lang w:val="cs-CZ"/>
        </w:rPr>
        <w:t>(COM(2025)0146 – C10-0059/2025 – 2025/0077(COD))</w:t>
      </w:r>
    </w:p>
    <w:p w14:paraId="75539806" w14:textId="77777777" w:rsidR="009C4014" w:rsidRPr="009A193B" w:rsidRDefault="00CF1417" w:rsidP="00CF1417">
      <w:pPr>
        <w:pStyle w:val="ATHeading3"/>
        <w:rPr>
          <w:lang w:val="cs-CZ"/>
        </w:rPr>
      </w:pPr>
      <w:bookmarkStart w:id="5" w:name="References"/>
      <w:r w:rsidRPr="009A193B">
        <w:rPr>
          <w:lang w:val="cs-CZ"/>
        </w:rPr>
        <w:t>(</w:t>
      </w:r>
      <w:r w:rsidR="00A74BB4" w:rsidRPr="009A193B">
        <w:rPr>
          <w:lang w:val="cs-CZ"/>
        </w:rPr>
        <w:t>Řádný legislativní postup: první čtení</w:t>
      </w:r>
      <w:r w:rsidRPr="009A193B">
        <w:rPr>
          <w:lang w:val="cs-CZ"/>
        </w:rPr>
        <w:t>)</w:t>
      </w:r>
      <w:bookmarkEnd w:id="5"/>
    </w:p>
    <w:p w14:paraId="22FC050F" w14:textId="77777777" w:rsidR="008C0719" w:rsidRPr="009A193B" w:rsidRDefault="008C0719" w:rsidP="008C0719">
      <w:pPr>
        <w:pStyle w:val="Normal12"/>
        <w:spacing w:before="480"/>
        <w:rPr>
          <w:i/>
          <w:szCs w:val="24"/>
          <w:lang w:val="cs-CZ"/>
        </w:rPr>
      </w:pPr>
      <w:bookmarkStart w:id="6" w:name="TextBodyBegin"/>
      <w:bookmarkEnd w:id="6"/>
      <w:r w:rsidRPr="009A193B">
        <w:rPr>
          <w:i/>
          <w:szCs w:val="24"/>
          <w:lang w:val="cs-CZ"/>
        </w:rPr>
        <w:t>Evropský parlament,</w:t>
      </w:r>
    </w:p>
    <w:p w14:paraId="395AD310" w14:textId="77777777" w:rsidR="008C0719" w:rsidRPr="009A193B" w:rsidRDefault="008C0719" w:rsidP="008C0719">
      <w:pPr>
        <w:pStyle w:val="Normal12"/>
        <w:ind w:left="567" w:hanging="567"/>
        <w:rPr>
          <w:szCs w:val="24"/>
          <w:lang w:val="cs-CZ"/>
        </w:rPr>
      </w:pPr>
      <w:r w:rsidRPr="009A193B">
        <w:rPr>
          <w:szCs w:val="24"/>
          <w:lang w:val="cs-CZ"/>
        </w:rPr>
        <w:t>–</w:t>
      </w:r>
      <w:r w:rsidRPr="009A193B">
        <w:rPr>
          <w:szCs w:val="24"/>
          <w:lang w:val="cs-CZ"/>
        </w:rPr>
        <w:tab/>
        <w:t xml:space="preserve">s ohledem na návrh Komise předložený Evropskému </w:t>
      </w:r>
      <w:r w:rsidR="00A74BB4" w:rsidRPr="009A193B">
        <w:rPr>
          <w:szCs w:val="24"/>
          <w:lang w:val="cs-CZ"/>
        </w:rPr>
        <w:t>parlamentu a Radě (</w:t>
      </w:r>
      <w:proofErr w:type="gramStart"/>
      <w:r w:rsidR="00A74BB4" w:rsidRPr="009A193B">
        <w:rPr>
          <w:szCs w:val="24"/>
          <w:lang w:val="cs-CZ"/>
        </w:rPr>
        <w:t>COM(</w:t>
      </w:r>
      <w:proofErr w:type="gramEnd"/>
      <w:r w:rsidR="00A74BB4" w:rsidRPr="009A193B">
        <w:rPr>
          <w:szCs w:val="24"/>
          <w:lang w:val="cs-CZ"/>
        </w:rPr>
        <w:t>2025)0146</w:t>
      </w:r>
      <w:r w:rsidRPr="009A193B">
        <w:rPr>
          <w:szCs w:val="24"/>
          <w:lang w:val="cs-CZ"/>
        </w:rPr>
        <w:t>),</w:t>
      </w:r>
    </w:p>
    <w:p w14:paraId="6C5FD2A5" w14:textId="77777777" w:rsidR="008C0719" w:rsidRPr="009A193B" w:rsidRDefault="008C0719" w:rsidP="008C0719">
      <w:pPr>
        <w:pStyle w:val="Normal12"/>
        <w:ind w:left="567" w:hanging="567"/>
        <w:rPr>
          <w:szCs w:val="24"/>
          <w:lang w:val="cs-CZ"/>
        </w:rPr>
      </w:pPr>
      <w:r w:rsidRPr="009A193B">
        <w:rPr>
          <w:szCs w:val="24"/>
          <w:lang w:val="cs-CZ"/>
        </w:rPr>
        <w:t>–</w:t>
      </w:r>
      <w:r w:rsidRPr="009A193B">
        <w:rPr>
          <w:szCs w:val="24"/>
          <w:lang w:val="cs-CZ"/>
        </w:rPr>
        <w:tab/>
        <w:t>s ohledem na čl. 294 odst. 2 a článe</w:t>
      </w:r>
      <w:r w:rsidR="00A74BB4" w:rsidRPr="009A193B">
        <w:rPr>
          <w:szCs w:val="24"/>
          <w:lang w:val="cs-CZ"/>
        </w:rPr>
        <w:t>k 114</w:t>
      </w:r>
      <w:r w:rsidRPr="009A193B">
        <w:rPr>
          <w:szCs w:val="24"/>
          <w:lang w:val="cs-CZ"/>
        </w:rPr>
        <w:t xml:space="preserve"> Smlouvy o fungování Evropské unie, v </w:t>
      </w:r>
      <w:proofErr w:type="gramStart"/>
      <w:r w:rsidRPr="009A193B">
        <w:rPr>
          <w:szCs w:val="24"/>
          <w:lang w:val="cs-CZ"/>
        </w:rPr>
        <w:t>souladu</w:t>
      </w:r>
      <w:proofErr w:type="gramEnd"/>
      <w:r w:rsidRPr="009A193B">
        <w:rPr>
          <w:szCs w:val="24"/>
          <w:lang w:val="cs-CZ"/>
        </w:rPr>
        <w:t xml:space="preserve"> se kterými Komise předložila</w:t>
      </w:r>
      <w:r w:rsidR="00A74BB4" w:rsidRPr="009A193B">
        <w:rPr>
          <w:szCs w:val="24"/>
          <w:lang w:val="cs-CZ"/>
        </w:rPr>
        <w:t xml:space="preserve"> svůj návrh Parlamentu (C10-0059</w:t>
      </w:r>
      <w:r w:rsidRPr="009A193B">
        <w:rPr>
          <w:szCs w:val="24"/>
          <w:lang w:val="cs-CZ"/>
        </w:rPr>
        <w:t>/2025),</w:t>
      </w:r>
    </w:p>
    <w:p w14:paraId="3320E8DF" w14:textId="77777777" w:rsidR="008C0719" w:rsidRPr="009A193B" w:rsidRDefault="008C0719" w:rsidP="008C0719">
      <w:pPr>
        <w:pStyle w:val="Normal12"/>
        <w:ind w:left="567" w:hanging="567"/>
        <w:rPr>
          <w:szCs w:val="24"/>
          <w:lang w:val="cs-CZ"/>
        </w:rPr>
      </w:pPr>
      <w:r w:rsidRPr="009A193B">
        <w:rPr>
          <w:szCs w:val="24"/>
          <w:lang w:val="cs-CZ"/>
        </w:rPr>
        <w:t>–</w:t>
      </w:r>
      <w:r w:rsidRPr="009A193B">
        <w:rPr>
          <w:szCs w:val="24"/>
          <w:lang w:val="cs-CZ"/>
        </w:rPr>
        <w:tab/>
        <w:t>s ohledem na čl. 294 odst. 3 Smlouvy o fungování Evropské unie,</w:t>
      </w:r>
    </w:p>
    <w:p w14:paraId="10928044" w14:textId="77777777" w:rsidR="00A74BB4" w:rsidRPr="009A193B" w:rsidRDefault="00A74BB4" w:rsidP="008C0719">
      <w:pPr>
        <w:pStyle w:val="Normal12"/>
        <w:ind w:left="567" w:hanging="567"/>
        <w:rPr>
          <w:szCs w:val="24"/>
          <w:lang w:val="cs-CZ"/>
        </w:rPr>
      </w:pPr>
      <w:r w:rsidRPr="009A193B">
        <w:rPr>
          <w:szCs w:val="24"/>
          <w:lang w:val="cs-CZ"/>
        </w:rPr>
        <w:t>–</w:t>
      </w:r>
      <w:r w:rsidRPr="009A193B">
        <w:rPr>
          <w:szCs w:val="24"/>
          <w:lang w:val="cs-CZ"/>
        </w:rPr>
        <w:tab/>
        <w:t>s ohledem na stanovisko Evropské centrální banky ze dne 2. května 2025</w:t>
      </w:r>
      <w:r w:rsidRPr="009A193B">
        <w:rPr>
          <w:rStyle w:val="FootnoteReference"/>
          <w:szCs w:val="24"/>
          <w:lang w:val="cs-CZ"/>
        </w:rPr>
        <w:footnoteReference w:id="1"/>
      </w:r>
      <w:r w:rsidRPr="009A193B">
        <w:rPr>
          <w:szCs w:val="24"/>
          <w:lang w:val="cs-CZ"/>
        </w:rPr>
        <w:t>,</w:t>
      </w:r>
    </w:p>
    <w:p w14:paraId="5F4F6E98" w14:textId="77777777" w:rsidR="00A74BB4" w:rsidRPr="009A193B" w:rsidRDefault="00A74BB4" w:rsidP="008C0719">
      <w:pPr>
        <w:pStyle w:val="Normal12"/>
        <w:ind w:left="567" w:hanging="567"/>
        <w:rPr>
          <w:szCs w:val="24"/>
          <w:lang w:val="cs-CZ"/>
        </w:rPr>
      </w:pPr>
      <w:r w:rsidRPr="009A193B">
        <w:rPr>
          <w:szCs w:val="24"/>
          <w:lang w:val="cs-CZ"/>
        </w:rPr>
        <w:t>–</w:t>
      </w:r>
      <w:r w:rsidRPr="009A193B">
        <w:rPr>
          <w:szCs w:val="24"/>
          <w:lang w:val="cs-CZ"/>
        </w:rPr>
        <w:tab/>
        <w:t>s ohledem na stanovisko Evropského hospodářského a sociálního výboru ze dne 29. dubna 2025</w:t>
      </w:r>
      <w:r w:rsidRPr="009A193B">
        <w:rPr>
          <w:rStyle w:val="FootnoteReference"/>
          <w:szCs w:val="24"/>
          <w:lang w:val="cs-CZ"/>
        </w:rPr>
        <w:footnoteReference w:id="2"/>
      </w:r>
      <w:r w:rsidRPr="009A193B">
        <w:rPr>
          <w:szCs w:val="24"/>
          <w:lang w:val="cs-CZ"/>
        </w:rPr>
        <w:t>,</w:t>
      </w:r>
    </w:p>
    <w:p w14:paraId="05529869" w14:textId="77777777" w:rsidR="008C0719" w:rsidRPr="009A193B" w:rsidRDefault="008C0719" w:rsidP="008C0719">
      <w:pPr>
        <w:pStyle w:val="Normal12"/>
        <w:ind w:left="567" w:hanging="567"/>
        <w:rPr>
          <w:szCs w:val="24"/>
          <w:lang w:val="cs-CZ"/>
        </w:rPr>
      </w:pPr>
      <w:r w:rsidRPr="009A193B">
        <w:rPr>
          <w:szCs w:val="24"/>
          <w:lang w:val="cs-CZ"/>
        </w:rPr>
        <w:t>–</w:t>
      </w:r>
      <w:r w:rsidRPr="009A193B">
        <w:rPr>
          <w:szCs w:val="24"/>
          <w:lang w:val="cs-CZ"/>
        </w:rPr>
        <w:tab/>
        <w:t>s ohledem na články 60 a 170 jednacího řádu,</w:t>
      </w:r>
    </w:p>
    <w:p w14:paraId="4CADA9CB" w14:textId="77777777" w:rsidR="008C0719" w:rsidRPr="009A193B" w:rsidRDefault="008C0719" w:rsidP="00B14574">
      <w:pPr>
        <w:pStyle w:val="Normal12"/>
        <w:spacing w:before="120" w:after="120"/>
        <w:ind w:left="567" w:hanging="567"/>
        <w:rPr>
          <w:szCs w:val="24"/>
          <w:lang w:val="cs-CZ"/>
        </w:rPr>
      </w:pPr>
      <w:r w:rsidRPr="009A193B">
        <w:rPr>
          <w:szCs w:val="24"/>
          <w:lang w:val="cs-CZ"/>
        </w:rPr>
        <w:t>1.</w:t>
      </w:r>
      <w:r w:rsidRPr="009A193B">
        <w:rPr>
          <w:szCs w:val="24"/>
          <w:lang w:val="cs-CZ"/>
        </w:rPr>
        <w:tab/>
        <w:t>přijímá níže uvedený postoj v prvním čtení;</w:t>
      </w:r>
    </w:p>
    <w:p w14:paraId="3D57ACAF" w14:textId="77777777" w:rsidR="008C0719" w:rsidRPr="009A193B" w:rsidRDefault="008C0719" w:rsidP="00B14574">
      <w:pPr>
        <w:pStyle w:val="Normal12"/>
        <w:spacing w:before="120" w:after="120"/>
        <w:ind w:left="567" w:hanging="567"/>
        <w:rPr>
          <w:szCs w:val="24"/>
          <w:lang w:val="cs-CZ"/>
        </w:rPr>
      </w:pPr>
      <w:r w:rsidRPr="009A193B">
        <w:rPr>
          <w:szCs w:val="24"/>
          <w:lang w:val="cs-CZ"/>
        </w:rPr>
        <w:t>2.</w:t>
      </w:r>
      <w:r w:rsidRPr="009A193B">
        <w:rPr>
          <w:szCs w:val="24"/>
          <w:lang w:val="cs-CZ"/>
        </w:rPr>
        <w:tab/>
        <w:t>vyzývá Komisi, aby věc znovu postoupila Parlamentu, jestliže svůj návrh nahradí jiným textem, podstatně jej změní nebo má v úmyslu jej podstatně změnit;</w:t>
      </w:r>
    </w:p>
    <w:p w14:paraId="67888A8A" w14:textId="38F9087B" w:rsidR="005052E0" w:rsidRDefault="008C0719" w:rsidP="00B14574">
      <w:pPr>
        <w:pStyle w:val="Normal12"/>
        <w:spacing w:before="120" w:after="120"/>
        <w:ind w:left="567" w:hanging="567"/>
        <w:rPr>
          <w:szCs w:val="24"/>
          <w:lang w:val="cs-CZ"/>
        </w:rPr>
      </w:pPr>
      <w:r w:rsidRPr="009A193B">
        <w:rPr>
          <w:szCs w:val="24"/>
          <w:lang w:val="cs-CZ"/>
        </w:rPr>
        <w:t>3.</w:t>
      </w:r>
      <w:r w:rsidRPr="009A193B">
        <w:rPr>
          <w:szCs w:val="24"/>
          <w:lang w:val="cs-CZ"/>
        </w:rPr>
        <w:tab/>
        <w:t xml:space="preserve">pověřuje svou předsedkyni, aby předala postoj Parlamentu Radě a Komisi, jakož i </w:t>
      </w:r>
      <w:r w:rsidRPr="009A193B">
        <w:rPr>
          <w:szCs w:val="24"/>
          <w:lang w:val="cs-CZ"/>
        </w:rPr>
        <w:lastRenderedPageBreak/>
        <w:t>vnitrostátním parlamentům.</w:t>
      </w:r>
    </w:p>
    <w:p w14:paraId="44C7267B" w14:textId="77777777" w:rsidR="005052E0" w:rsidRDefault="005052E0">
      <w:pPr>
        <w:rPr>
          <w:snapToGrid w:val="0"/>
          <w:szCs w:val="24"/>
          <w:lang w:val="cs-CZ"/>
        </w:rPr>
      </w:pPr>
      <w:r>
        <w:rPr>
          <w:szCs w:val="24"/>
          <w:lang w:val="cs-CZ"/>
        </w:rPr>
        <w:br w:type="page"/>
      </w:r>
    </w:p>
    <w:p w14:paraId="61E07B7D" w14:textId="77777777" w:rsidR="00A74BB4" w:rsidRPr="009A193B" w:rsidRDefault="00A74BB4" w:rsidP="00A74BB4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cs-CZ"/>
        </w:rPr>
      </w:pPr>
      <w:r w:rsidRPr="009A193B">
        <w:rPr>
          <w:b/>
          <w:bCs/>
          <w:color w:val="000000"/>
          <w:lang w:val="cs-CZ"/>
        </w:rPr>
        <w:lastRenderedPageBreak/>
        <w:t>P10_TC1-</w:t>
      </w:r>
      <w:proofErr w:type="gramStart"/>
      <w:r w:rsidRPr="009A193B">
        <w:rPr>
          <w:b/>
          <w:bCs/>
          <w:color w:val="000000"/>
          <w:lang w:val="cs-CZ"/>
        </w:rPr>
        <w:t>COD(</w:t>
      </w:r>
      <w:proofErr w:type="gramEnd"/>
      <w:r w:rsidRPr="009A193B">
        <w:rPr>
          <w:b/>
          <w:bCs/>
          <w:color w:val="000000"/>
          <w:lang w:val="cs-CZ"/>
        </w:rPr>
        <w:t>2025)0077</w:t>
      </w:r>
    </w:p>
    <w:p w14:paraId="7BEE5B40" w14:textId="77777777" w:rsidR="00A74BB4" w:rsidRDefault="00B14574" w:rsidP="00B14574">
      <w:pPr>
        <w:pStyle w:val="Rfrenceinterinstitutionnelle"/>
        <w:spacing w:before="240" w:after="120"/>
        <w:ind w:left="0"/>
        <w:rPr>
          <w:rFonts w:eastAsia="Calibri"/>
          <w:b/>
          <w:noProof/>
          <w:lang w:val="cs-CZ"/>
        </w:rPr>
      </w:pPr>
      <w:r w:rsidRPr="009A193B">
        <w:rPr>
          <w:b/>
          <w:noProof/>
          <w:lang w:val="cs-CZ"/>
        </w:rPr>
        <w:t xml:space="preserve">Postoj Evropského parlamentu přijatý v prvním čtení dne 22. května 2025 k přijetí nařízení Evropského parlamentu a Rady (EU) 2025/..., </w:t>
      </w:r>
      <w:r w:rsidRPr="009A193B">
        <w:rPr>
          <w:rFonts w:eastAsia="Calibri"/>
          <w:b/>
          <w:noProof/>
          <w:lang w:val="cs-CZ"/>
        </w:rPr>
        <w:t>k</w:t>
      </w:r>
      <w:r w:rsidR="00A74BB4" w:rsidRPr="009A193B">
        <w:rPr>
          <w:rFonts w:eastAsia="Calibri"/>
          <w:b/>
          <w:noProof/>
          <w:lang w:val="cs-CZ"/>
        </w:rPr>
        <w:t>terým se mění nařízení (EU) č. 575/2013, pokud jde o požadavky na transakce s financováním cenných papírů v rámci ukazatele čistého stabilního financování</w:t>
      </w:r>
    </w:p>
    <w:p w14:paraId="6D694B9B" w14:textId="418E323D" w:rsidR="00BC3584" w:rsidRPr="00BC3584" w:rsidRDefault="00BC3584" w:rsidP="00BC3584">
      <w:pPr>
        <w:spacing w:before="360"/>
        <w:rPr>
          <w:i/>
          <w:lang w:val="cs-CZ"/>
        </w:rPr>
      </w:pPr>
      <w:r w:rsidRPr="00BC3584">
        <w:rPr>
          <w:i/>
          <w:lang w:val="cs-CZ"/>
        </w:rPr>
        <w:t>(Vzhledem k tomu, že bylo dosaženo dohody mezi Parlamentem a Radou, postoj Parlamentu odpovídá konečnému znění legislativního aktu, nařízení (EU) 202</w:t>
      </w:r>
      <w:r>
        <w:rPr>
          <w:i/>
          <w:lang w:val="cs-CZ"/>
        </w:rPr>
        <w:t>5</w:t>
      </w:r>
      <w:r w:rsidRPr="00BC3584">
        <w:rPr>
          <w:i/>
          <w:lang w:val="cs-CZ"/>
        </w:rPr>
        <w:t>/</w:t>
      </w:r>
      <w:r>
        <w:rPr>
          <w:i/>
          <w:lang w:val="cs-CZ"/>
        </w:rPr>
        <w:t>1215</w:t>
      </w:r>
      <w:r w:rsidRPr="00BC3584">
        <w:rPr>
          <w:i/>
          <w:lang w:val="cs-CZ"/>
        </w:rPr>
        <w:t>.)</w:t>
      </w:r>
    </w:p>
    <w:p w14:paraId="528903F2" w14:textId="77777777" w:rsidR="00BC3584" w:rsidRPr="00BC3584" w:rsidRDefault="00BC3584" w:rsidP="00BC3584">
      <w:pPr>
        <w:rPr>
          <w:lang w:val="cs-CZ" w:eastAsia="en-US"/>
        </w:rPr>
      </w:pPr>
    </w:p>
    <w:sectPr w:rsidR="00BC3584" w:rsidRPr="00BC3584" w:rsidSect="00A74B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2752C" w14:textId="77777777" w:rsidR="00CF1417" w:rsidRDefault="00CF1417" w:rsidP="009C4014">
      <w:r>
        <w:separator/>
      </w:r>
    </w:p>
  </w:endnote>
  <w:endnote w:type="continuationSeparator" w:id="0">
    <w:p w14:paraId="6B8B0DA6" w14:textId="77777777" w:rsidR="00CF1417" w:rsidRDefault="00CF141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D3F8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D347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7369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BFB8A" w14:textId="77777777" w:rsidR="00CF1417" w:rsidRDefault="00CF1417" w:rsidP="009C4014">
      <w:r>
        <w:separator/>
      </w:r>
    </w:p>
  </w:footnote>
  <w:footnote w:type="continuationSeparator" w:id="0">
    <w:p w14:paraId="5713A9C5" w14:textId="77777777" w:rsidR="00CF1417" w:rsidRDefault="00CF1417" w:rsidP="009C4014">
      <w:r>
        <w:continuationSeparator/>
      </w:r>
    </w:p>
  </w:footnote>
  <w:footnote w:id="1">
    <w:p w14:paraId="7C156C68" w14:textId="77777777" w:rsidR="00A74BB4" w:rsidRPr="00B14574" w:rsidRDefault="00A74BB4" w:rsidP="00B14574">
      <w:pPr>
        <w:pStyle w:val="FootnoteText"/>
        <w:ind w:left="567" w:hanging="567"/>
        <w:rPr>
          <w:sz w:val="24"/>
          <w:szCs w:val="24"/>
          <w:lang w:val="cs-CZ"/>
        </w:rPr>
      </w:pPr>
      <w:r w:rsidRPr="00B14574">
        <w:rPr>
          <w:rStyle w:val="FootnoteReference"/>
          <w:sz w:val="24"/>
          <w:szCs w:val="24"/>
        </w:rPr>
        <w:footnoteRef/>
      </w:r>
      <w:r w:rsidRPr="00B14574">
        <w:rPr>
          <w:sz w:val="24"/>
          <w:szCs w:val="24"/>
        </w:rPr>
        <w:t xml:space="preserve"> </w:t>
      </w:r>
      <w:r w:rsidRPr="00B14574">
        <w:rPr>
          <w:sz w:val="24"/>
          <w:szCs w:val="24"/>
          <w:lang w:val="cs-CZ"/>
        </w:rPr>
        <w:tab/>
      </w:r>
      <w:r w:rsidR="00B14574" w:rsidRPr="00B14574">
        <w:rPr>
          <w:sz w:val="24"/>
          <w:szCs w:val="24"/>
          <w:lang w:val="cs-CZ"/>
        </w:rPr>
        <w:t>Dosud nezveřejněné v Úředním věstníku.</w:t>
      </w:r>
    </w:p>
  </w:footnote>
  <w:footnote w:id="2">
    <w:p w14:paraId="5CECCC70" w14:textId="77777777" w:rsidR="00A74BB4" w:rsidRPr="00B14574" w:rsidRDefault="00A74BB4" w:rsidP="00B14574">
      <w:pPr>
        <w:pStyle w:val="FootnoteText"/>
        <w:ind w:left="567" w:hanging="567"/>
        <w:rPr>
          <w:sz w:val="24"/>
          <w:szCs w:val="24"/>
          <w:lang w:val="cs-CZ"/>
        </w:rPr>
      </w:pPr>
      <w:r w:rsidRPr="00B14574">
        <w:rPr>
          <w:rStyle w:val="FootnoteReference"/>
          <w:sz w:val="24"/>
          <w:szCs w:val="24"/>
        </w:rPr>
        <w:footnoteRef/>
      </w:r>
      <w:r w:rsidRPr="00B14574">
        <w:rPr>
          <w:sz w:val="24"/>
          <w:szCs w:val="24"/>
          <w:lang w:val="cs-CZ"/>
        </w:rPr>
        <w:t xml:space="preserve"> </w:t>
      </w:r>
      <w:r w:rsidRPr="00B14574">
        <w:rPr>
          <w:sz w:val="24"/>
          <w:szCs w:val="24"/>
          <w:lang w:val="cs-CZ"/>
        </w:rPr>
        <w:tab/>
      </w:r>
      <w:r w:rsidR="00B14574" w:rsidRPr="00B14574">
        <w:rPr>
          <w:sz w:val="24"/>
          <w:szCs w:val="24"/>
          <w:lang w:val="cs-CZ"/>
        </w:rPr>
        <w:t>Dosud nezveřejněné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F85A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6BD1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3EBB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76447056">
    <w:abstractNumId w:val="3"/>
  </w:num>
  <w:num w:numId="2" w16cid:durableId="1441878867">
    <w:abstractNumId w:val="2"/>
  </w:num>
  <w:num w:numId="3" w16cid:durableId="581646548">
    <w:abstractNumId w:val="1"/>
  </w:num>
  <w:num w:numId="4" w16cid:durableId="1920021814">
    <w:abstractNumId w:val="0"/>
  </w:num>
  <w:num w:numId="5" w16cid:durableId="1714502290">
    <w:abstractNumId w:val="6"/>
  </w:num>
  <w:num w:numId="6" w16cid:durableId="1693914347">
    <w:abstractNumId w:val="5"/>
  </w:num>
  <w:num w:numId="7" w16cid:durableId="1467894021">
    <w:abstractNumId w:val="4"/>
  </w:num>
  <w:num w:numId="8" w16cid:durableId="1155075475">
    <w:abstractNumId w:val="7"/>
  </w:num>
  <w:num w:numId="9" w16cid:durableId="3233204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cs-CZ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cs-CZ" w:vendorID="7" w:dllVersion="514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417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93D31"/>
    <w:rsid w:val="002A1D4E"/>
    <w:rsid w:val="002B4BCF"/>
    <w:rsid w:val="002C1C73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052E0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C52AF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C0719"/>
    <w:rsid w:val="008D7C16"/>
    <w:rsid w:val="008E16B7"/>
    <w:rsid w:val="008E7632"/>
    <w:rsid w:val="008F0108"/>
    <w:rsid w:val="008F7F1C"/>
    <w:rsid w:val="00907FE0"/>
    <w:rsid w:val="009865B7"/>
    <w:rsid w:val="009A193B"/>
    <w:rsid w:val="009B7E10"/>
    <w:rsid w:val="009C4014"/>
    <w:rsid w:val="009F28EF"/>
    <w:rsid w:val="00A1739E"/>
    <w:rsid w:val="00A74BB4"/>
    <w:rsid w:val="00B14574"/>
    <w:rsid w:val="00B54C72"/>
    <w:rsid w:val="00B85C1E"/>
    <w:rsid w:val="00BC3584"/>
    <w:rsid w:val="00C15516"/>
    <w:rsid w:val="00C16C81"/>
    <w:rsid w:val="00C57739"/>
    <w:rsid w:val="00C65BE8"/>
    <w:rsid w:val="00CB451F"/>
    <w:rsid w:val="00CC4897"/>
    <w:rsid w:val="00CF1417"/>
    <w:rsid w:val="00D202A4"/>
    <w:rsid w:val="00D91669"/>
    <w:rsid w:val="00DF097A"/>
    <w:rsid w:val="00DF53A8"/>
    <w:rsid w:val="00E039BF"/>
    <w:rsid w:val="00E11822"/>
    <w:rsid w:val="00E73B02"/>
    <w:rsid w:val="00E74BF3"/>
    <w:rsid w:val="00EA5050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AA177"/>
  <w15:chartTrackingRefBased/>
  <w15:docId w15:val="{C86164C7-AD42-4D13-A831-482C091E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0719"/>
    <w:rPr>
      <w:sz w:val="22"/>
      <w:lang w:val="fr-FR"/>
    </w:rPr>
  </w:style>
  <w:style w:type="character" w:styleId="Hyperlink">
    <w:name w:val="Hyperlink"/>
    <w:uiPriority w:val="99"/>
    <w:rsid w:val="00A74BB4"/>
    <w:rPr>
      <w:color w:val="0000FF"/>
      <w:u w:val="single"/>
    </w:rPr>
  </w:style>
  <w:style w:type="paragraph" w:customStyle="1" w:styleId="Rfrenceinterinstitutionnelle">
    <w:name w:val="Référence interinstitutionnelle"/>
    <w:basedOn w:val="Normal"/>
    <w:next w:val="Normal"/>
    <w:rsid w:val="00A74BB4"/>
    <w:pPr>
      <w:ind w:left="5103"/>
    </w:pPr>
    <w:rPr>
      <w:rFonts w:eastAsiaTheme="minorHAnsi"/>
      <w:szCs w:val="22"/>
      <w:lang w:val="en-GB" w:eastAsia="en-US"/>
    </w:rPr>
  </w:style>
  <w:style w:type="character" w:styleId="CommentReference">
    <w:name w:val="annotation reference"/>
    <w:basedOn w:val="DefaultParagraphFont"/>
    <w:rsid w:val="00B145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45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4574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B14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4574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B145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4574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6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76D04-9923-495F-BF72-CF79CB707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277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HILL Romana</dc:creator>
  <cp:keywords/>
  <cp:lastModifiedBy>HILL Romana</cp:lastModifiedBy>
  <cp:revision>2</cp:revision>
  <cp:lastPrinted>2014-08-07T13:15:00Z</cp:lastPrinted>
  <dcterms:created xsi:type="dcterms:W3CDTF">2025-07-22T10:47:00Z</dcterms:created>
  <dcterms:modified xsi:type="dcterms:W3CDTF">2025-07-22T10:47:00Z</dcterms:modified>
</cp:coreProperties>
</file>