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E00A9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4E00A9" w:rsidRDefault="000A7FE6" w:rsidP="00425111">
            <w:pPr>
              <w:pStyle w:val="EPName"/>
              <w:rPr>
                <w:lang w:val="da-DK"/>
              </w:rPr>
            </w:pPr>
            <w:r w:rsidRPr="004E00A9">
              <w:rPr>
                <w:lang w:val="da-DK"/>
              </w:rPr>
              <w:t>Europa-Parlamentet</w:t>
            </w:r>
          </w:p>
          <w:p w:rsidR="00757DD5" w:rsidRPr="004E00A9" w:rsidRDefault="000A7FE6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4E00A9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4E00A9" w:rsidRDefault="00172070" w:rsidP="00425111">
            <w:pPr>
              <w:pStyle w:val="EPLogo"/>
              <w:rPr>
                <w:lang w:val="da-DK"/>
              </w:rPr>
            </w:pPr>
            <w:r w:rsidRPr="004E00A9">
              <w:rPr>
                <w:noProof/>
                <w:lang w:val="da-DK" w:eastAsia="da-DK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4E00A9" w:rsidRDefault="008E7632" w:rsidP="008E7632">
      <w:pPr>
        <w:pStyle w:val="LineTop"/>
        <w:rPr>
          <w:lang w:val="da-DK"/>
        </w:rPr>
      </w:pPr>
    </w:p>
    <w:p w:rsidR="008E7632" w:rsidRPr="004E00A9" w:rsidRDefault="000A7FE6" w:rsidP="008E7632">
      <w:pPr>
        <w:pStyle w:val="ZSessionDoc"/>
        <w:rPr>
          <w:b/>
          <w:i w:val="0"/>
          <w:lang w:val="da-DK"/>
        </w:rPr>
      </w:pPr>
      <w:r w:rsidRPr="004E00A9">
        <w:rPr>
          <w:b/>
          <w:i w:val="0"/>
          <w:lang w:val="da-DK"/>
        </w:rPr>
        <w:t>VEDTAGNE TEKSTER</w:t>
      </w:r>
    </w:p>
    <w:p w:rsidR="008E7632" w:rsidRPr="004E00A9" w:rsidRDefault="000A7FE6" w:rsidP="008E7632">
      <w:pPr>
        <w:pStyle w:val="LineBottom"/>
        <w:rPr>
          <w:lang w:val="da-DK"/>
        </w:rPr>
      </w:pPr>
      <w:r w:rsidRPr="004E00A9">
        <w:rPr>
          <w:rFonts w:cs="Arial"/>
          <w:i/>
          <w:sz w:val="20"/>
          <w:szCs w:val="22"/>
          <w:lang w:val="da-DK"/>
        </w:rPr>
        <w:t xml:space="preserve"> </w:t>
      </w:r>
    </w:p>
    <w:p w:rsidR="009C4014" w:rsidRPr="004E00A9" w:rsidRDefault="000A7FE6" w:rsidP="008E7632">
      <w:pPr>
        <w:pStyle w:val="ATHeading1"/>
        <w:spacing w:before="480"/>
        <w:rPr>
          <w:lang w:val="da-DK"/>
        </w:rPr>
      </w:pPr>
      <w:bookmarkStart w:id="0" w:name="TA_Heading"/>
      <w:r w:rsidRPr="004E00A9">
        <w:rPr>
          <w:lang w:val="da-DK"/>
        </w:rPr>
        <w:t>P10_TA(2025)</w:t>
      </w:r>
      <w:bookmarkStart w:id="1" w:name="TANumber"/>
      <w:bookmarkEnd w:id="0"/>
      <w:r w:rsidRPr="004E00A9">
        <w:rPr>
          <w:lang w:val="da-DK"/>
        </w:rPr>
        <w:t>0</w:t>
      </w:r>
      <w:r w:rsidR="00D36680">
        <w:rPr>
          <w:lang w:val="da-DK"/>
        </w:rPr>
        <w:t>111</w:t>
      </w:r>
      <w:bookmarkEnd w:id="1"/>
    </w:p>
    <w:p w:rsidR="009C4014" w:rsidRPr="004E00A9" w:rsidRDefault="000A7FE6" w:rsidP="000A7FE6">
      <w:pPr>
        <w:pStyle w:val="ATHeading2"/>
        <w:rPr>
          <w:lang w:val="da-DK"/>
        </w:rPr>
      </w:pPr>
      <w:bookmarkStart w:id="2" w:name="title"/>
      <w:r w:rsidRPr="004E00A9">
        <w:rPr>
          <w:lang w:val="da-DK"/>
        </w:rPr>
        <w:t>Ændringer af kapitalkravsforordningen for så vidt angår krav til værdipapirfinansieringstransaktioner i henhold til net stable funding ratio</w:t>
      </w:r>
      <w:bookmarkEnd w:id="2"/>
      <w:r w:rsidR="009C4014" w:rsidRPr="004E00A9">
        <w:rPr>
          <w:lang w:val="da-DK"/>
        </w:rPr>
        <w:t xml:space="preserve"> </w:t>
      </w:r>
      <w:bookmarkStart w:id="3" w:name="Etoiles"/>
      <w:bookmarkEnd w:id="3"/>
    </w:p>
    <w:p w:rsidR="009C4014" w:rsidRPr="004E00A9" w:rsidRDefault="009C4014" w:rsidP="009C4014">
      <w:pPr>
        <w:rPr>
          <w:i/>
          <w:vanish/>
          <w:lang w:val="da-DK"/>
        </w:rPr>
      </w:pPr>
      <w:r w:rsidRPr="004E00A9">
        <w:rPr>
          <w:i/>
          <w:lang w:val="da-DK"/>
        </w:rPr>
        <w:fldChar w:fldCharType="begin"/>
      </w:r>
      <w:r w:rsidRPr="004E00A9">
        <w:rPr>
          <w:i/>
          <w:lang w:val="da-DK"/>
        </w:rPr>
        <w:instrText xml:space="preserve"> TC"</w:instrText>
      </w:r>
      <w:bookmarkStart w:id="4" w:name="DocNumber"/>
      <w:r w:rsidR="000A7FE6" w:rsidRPr="004E00A9">
        <w:rPr>
          <w:i/>
          <w:lang w:val="da-DK"/>
        </w:rPr>
        <w:instrText>(</w:instrText>
      </w:r>
      <w:r w:rsidR="00C17F63">
        <w:rPr>
          <w:i/>
          <w:lang w:val="da-DK"/>
        </w:rPr>
        <w:instrText>C</w:instrText>
      </w:r>
      <w:r w:rsidR="000A7FE6" w:rsidRPr="004E00A9">
        <w:rPr>
          <w:i/>
          <w:lang w:val="da-DK"/>
        </w:rPr>
        <w:instrText>10-0059/2025</w:instrText>
      </w:r>
      <w:r w:rsidR="003B5111">
        <w:rPr>
          <w:i/>
          <w:lang w:val="da-DK"/>
        </w:rPr>
        <w:instrText xml:space="preserve"> </w:instrText>
      </w:r>
      <w:r w:rsidR="003B5111" w:rsidRPr="004B2BC5">
        <w:rPr>
          <w:i/>
          <w:lang w:val="da-DK"/>
        </w:rPr>
        <w:instrText>- Jonás Fernández</w:instrText>
      </w:r>
      <w:r w:rsidR="000A7FE6" w:rsidRPr="004E00A9">
        <w:rPr>
          <w:i/>
          <w:lang w:val="da-DK"/>
        </w:rPr>
        <w:instrText>)</w:instrText>
      </w:r>
      <w:bookmarkEnd w:id="4"/>
      <w:r w:rsidRPr="004E00A9">
        <w:rPr>
          <w:i/>
          <w:lang w:val="da-DK"/>
        </w:rPr>
        <w:instrText xml:space="preserve">"\l3 \n&gt; \* MERGEFORMAT </w:instrText>
      </w:r>
      <w:r w:rsidRPr="004E00A9">
        <w:rPr>
          <w:i/>
          <w:lang w:val="da-DK"/>
        </w:rPr>
        <w:fldChar w:fldCharType="end"/>
      </w:r>
    </w:p>
    <w:p w:rsidR="000A7FE6" w:rsidRPr="004E00A9" w:rsidRDefault="00EF255D" w:rsidP="009C4014">
      <w:pPr>
        <w:rPr>
          <w:vanish/>
          <w:lang w:val="da-DK"/>
        </w:rPr>
      </w:pPr>
      <w:bookmarkStart w:id="5" w:name="Commission"/>
      <w:r w:rsidRPr="004E00A9">
        <w:rPr>
          <w:vanish/>
          <w:lang w:val="da-DK"/>
        </w:rPr>
        <w:t>Ø</w:t>
      </w:r>
      <w:r w:rsidR="000A7FE6" w:rsidRPr="004E00A9">
        <w:rPr>
          <w:vanish/>
          <w:lang w:val="da-DK"/>
        </w:rPr>
        <w:t>konomi- og Valutaudvalget</w:t>
      </w:r>
    </w:p>
    <w:p w:rsidR="009C4014" w:rsidRPr="004E00A9" w:rsidRDefault="000A7FE6" w:rsidP="009C4014">
      <w:pPr>
        <w:rPr>
          <w:vanish/>
          <w:lang w:val="da-DK"/>
        </w:rPr>
      </w:pPr>
      <w:bookmarkStart w:id="6" w:name="PE"/>
      <w:bookmarkEnd w:id="5"/>
      <w:r w:rsidRPr="004E00A9">
        <w:rPr>
          <w:vanish/>
          <w:lang w:val="da-DK"/>
        </w:rPr>
        <w:t>PE773.631</w:t>
      </w:r>
      <w:bookmarkEnd w:id="6"/>
    </w:p>
    <w:p w:rsidR="009C4014" w:rsidRPr="004E00A9" w:rsidRDefault="000A7FE6" w:rsidP="000A7FE6">
      <w:pPr>
        <w:pStyle w:val="ATHeading3"/>
        <w:rPr>
          <w:lang w:val="da-DK"/>
        </w:rPr>
      </w:pPr>
      <w:bookmarkStart w:id="7" w:name="Sujet"/>
      <w:r w:rsidRPr="004E00A9">
        <w:rPr>
          <w:lang w:val="da-DK"/>
        </w:rPr>
        <w:t>Europa-Parlamentets lov</w:t>
      </w:r>
      <w:r w:rsidR="00FD776B">
        <w:rPr>
          <w:lang w:val="da-DK"/>
        </w:rPr>
        <w:t>g</w:t>
      </w:r>
      <w:r w:rsidRPr="004E00A9">
        <w:rPr>
          <w:lang w:val="da-DK"/>
        </w:rPr>
        <w:t>i</w:t>
      </w:r>
      <w:r w:rsidR="00FD776B">
        <w:rPr>
          <w:lang w:val="da-DK"/>
        </w:rPr>
        <w:t>v</w:t>
      </w:r>
      <w:r w:rsidRPr="004E00A9">
        <w:rPr>
          <w:lang w:val="da-DK"/>
        </w:rPr>
        <w:t>ningsmæssige beslutning af 22. maj 2025 om forslag til Europa-Parlamentets og Rådets forodning om ændring af forordning (EU) nr. 575/2013 om tilsynsmæssige krav til kreditinstitutter for så vidt angår krav til værdipapirfinansieringstransaktioner i henhold til net stable funding ratio</w:t>
      </w:r>
      <w:bookmarkEnd w:id="7"/>
      <w:r w:rsidR="00E73B02" w:rsidRPr="004E00A9">
        <w:rPr>
          <w:lang w:val="da-DK"/>
        </w:rPr>
        <w:t xml:space="preserve"> </w:t>
      </w:r>
      <w:bookmarkStart w:id="8" w:name="References"/>
      <w:r w:rsidRPr="004E00A9">
        <w:rPr>
          <w:lang w:val="da-DK"/>
        </w:rPr>
        <w:t>(COM(2025)0146 – C10-0059/2025 – 2025/0077(COD))</w:t>
      </w:r>
      <w:bookmarkEnd w:id="8"/>
    </w:p>
    <w:p w:rsidR="000A7FE6" w:rsidRPr="004E00A9" w:rsidRDefault="000A7FE6" w:rsidP="000A7FE6">
      <w:pPr>
        <w:pStyle w:val="ATHeading3"/>
        <w:rPr>
          <w:lang w:val="da-DK"/>
        </w:rPr>
      </w:pPr>
      <w:r w:rsidRPr="004E00A9">
        <w:rPr>
          <w:lang w:val="da-DK"/>
        </w:rPr>
        <w:t>(Almindelig lovgivningsprocedure: førstebehandling)</w:t>
      </w:r>
    </w:p>
    <w:p w:rsidR="006E5420" w:rsidRPr="004E00A9" w:rsidRDefault="000A7FE6" w:rsidP="008B1C2E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4E00A9">
        <w:rPr>
          <w:i/>
          <w:szCs w:val="24"/>
          <w:lang w:val="da-DK"/>
        </w:rPr>
        <w:t>Europa-Parlamentet,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Kommissionens forslag til Europa-Parlamentet og Rådet (COM(2025)0146),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artikel 294, stk. 2, og artikel 114 i traktaten om Den Europæiske Unions funktionsmåde, på grundlag af hvilke Kommissionen har forelagt forslaget for Parlamentet (C10-0059/2025),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artikel 294, stk. 3, i traktaten om Den Europæiske Unions funktionsmåde,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udtalelse af 2. maj 2025 fra Den Europæiske Centralbank</w:t>
      </w:r>
      <w:r w:rsidRPr="004E00A9">
        <w:rPr>
          <w:rStyle w:val="FootnoteReference"/>
          <w:szCs w:val="24"/>
          <w:lang w:val="da-DK"/>
        </w:rPr>
        <w:footnoteReference w:id="1"/>
      </w:r>
      <w:r w:rsidRPr="004E00A9">
        <w:rPr>
          <w:szCs w:val="24"/>
          <w:lang w:val="da-DK"/>
        </w:rPr>
        <w:t>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udtalelse af 29. april 2025 fra Det Europæiske Økonomiske og Sociale Udvalg</w:t>
      </w:r>
      <w:r w:rsidRPr="004E00A9">
        <w:rPr>
          <w:rStyle w:val="FootnoteReference"/>
          <w:szCs w:val="24"/>
          <w:lang w:val="da-DK"/>
        </w:rPr>
        <w:footnoteReference w:id="2"/>
      </w:r>
      <w:r w:rsidRPr="004E00A9">
        <w:rPr>
          <w:szCs w:val="24"/>
          <w:lang w:val="da-DK"/>
        </w:rPr>
        <w:t>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–</w:t>
      </w:r>
      <w:r w:rsidRPr="004E00A9">
        <w:rPr>
          <w:szCs w:val="24"/>
          <w:lang w:val="da-DK"/>
        </w:rPr>
        <w:tab/>
        <w:t>der henviser til forretningsordenens artikel 60 og 170,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1.</w:t>
      </w:r>
      <w:r w:rsidRPr="004E00A9">
        <w:rPr>
          <w:szCs w:val="24"/>
          <w:lang w:val="da-DK"/>
        </w:rPr>
        <w:tab/>
        <w:t>vedtager nedenstående holdning ved førstebehandling;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</w:pPr>
      <w:r w:rsidRPr="004E00A9">
        <w:rPr>
          <w:szCs w:val="24"/>
          <w:lang w:val="da-DK"/>
        </w:rPr>
        <w:t>2.</w:t>
      </w:r>
      <w:r w:rsidRPr="004E00A9">
        <w:rPr>
          <w:szCs w:val="24"/>
          <w:lang w:val="da-DK"/>
        </w:rPr>
        <w:tab/>
        <w:t xml:space="preserve">anmoder om fornyet forelæggelse, hvis Kommissionen erstatter, i væsentlig grad ændrer </w:t>
      </w:r>
      <w:r w:rsidRPr="004E00A9">
        <w:rPr>
          <w:szCs w:val="24"/>
          <w:lang w:val="da-DK"/>
        </w:rPr>
        <w:lastRenderedPageBreak/>
        <w:t>eller agter i væsentlig grad at ændre sit forslag;</w:t>
      </w:r>
    </w:p>
    <w:p w:rsidR="000A7FE6" w:rsidRPr="004E00A9" w:rsidRDefault="000A7FE6" w:rsidP="000A7FE6">
      <w:pPr>
        <w:pStyle w:val="Normal12"/>
        <w:ind w:left="567" w:hanging="567"/>
        <w:rPr>
          <w:szCs w:val="24"/>
          <w:lang w:val="da-DK"/>
        </w:rPr>
        <w:sectPr w:rsidR="000A7FE6" w:rsidRPr="004E00A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4E00A9">
        <w:rPr>
          <w:szCs w:val="24"/>
          <w:lang w:val="da-DK"/>
        </w:rPr>
        <w:t>3.</w:t>
      </w:r>
      <w:r w:rsidRPr="004E00A9">
        <w:rPr>
          <w:szCs w:val="24"/>
          <w:lang w:val="da-DK"/>
        </w:rPr>
        <w:tab/>
        <w:t>pålægger sin formand at sende Parlamentets holdning til Rådet og Kommissionen samt til de nationale parlamenter.</w:t>
      </w:r>
    </w:p>
    <w:p w:rsidR="000A7FE6" w:rsidRPr="004B2BC5" w:rsidRDefault="000A7FE6" w:rsidP="000A7FE6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da-DK"/>
        </w:rPr>
      </w:pPr>
      <w:r w:rsidRPr="004B2BC5">
        <w:rPr>
          <w:b/>
          <w:bCs/>
          <w:color w:val="000000"/>
          <w:lang w:val="da-DK"/>
        </w:rPr>
        <w:lastRenderedPageBreak/>
        <w:t>P10_TC1-COD(2025)0077</w:t>
      </w:r>
    </w:p>
    <w:p w:rsidR="009F28EF" w:rsidRDefault="000A7FE6" w:rsidP="000A7FE6">
      <w:pPr>
        <w:pStyle w:val="Normal12"/>
        <w:rPr>
          <w:rFonts w:eastAsia="Calibri"/>
          <w:b/>
          <w:noProof/>
          <w:color w:val="000000"/>
          <w:szCs w:val="22"/>
          <w:lang w:val="da-DK"/>
        </w:rPr>
      </w:pPr>
      <w:r w:rsidRPr="004E00A9">
        <w:rPr>
          <w:b/>
          <w:lang w:val="da-DK"/>
        </w:rPr>
        <w:t xml:space="preserve">Europa-Parlamentets holdning fastlagt ved førstebehandlingen den 22. maj 2025 med henblik på vedtagelse af Europa-Parlamentets og Rådets </w:t>
      </w:r>
      <w:r w:rsidRPr="004E00A9">
        <w:rPr>
          <w:rFonts w:eastAsia="Calibri"/>
          <w:b/>
          <w:lang w:val="da-DK"/>
        </w:rPr>
        <w:t xml:space="preserve">forordning </w:t>
      </w:r>
      <w:r w:rsidRPr="004E00A9">
        <w:rPr>
          <w:b/>
          <w:lang w:val="da-DK"/>
        </w:rPr>
        <w:t xml:space="preserve">(EU) </w:t>
      </w:r>
      <w:r w:rsidRPr="004E00A9">
        <w:rPr>
          <w:rFonts w:eastAsia="Calibri"/>
          <w:b/>
          <w:lang w:val="da-DK"/>
        </w:rPr>
        <w:t xml:space="preserve">2025/… </w:t>
      </w:r>
      <w:r w:rsidRPr="004E00A9">
        <w:rPr>
          <w:rFonts w:eastAsia="Calibri"/>
          <w:b/>
          <w:noProof/>
          <w:color w:val="000000"/>
          <w:szCs w:val="22"/>
          <w:lang w:val="da-DK"/>
        </w:rPr>
        <w:t>om ændring af forordning (EU) nr. 575/2013 for så vidt angår krav til værdipapirfinansieringstransaktioner i henhold til net stable funding ratio</w:t>
      </w:r>
    </w:p>
    <w:p w:rsidR="004B2BC5" w:rsidRDefault="004B2BC5" w:rsidP="00752DDC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  <w:rPr>
          <w:lang w:val="da-DK"/>
        </w:rPr>
      </w:pPr>
    </w:p>
    <w:p w:rsidR="004B2BC5" w:rsidRPr="00A851C6" w:rsidRDefault="004B2BC5" w:rsidP="00752DDC">
      <w:pPr>
        <w:rPr>
          <w:i/>
          <w:lang w:val="da-DK"/>
        </w:rPr>
      </w:pPr>
      <w:r w:rsidRPr="00A851C6">
        <w:rPr>
          <w:i/>
          <w:lang w:val="da-DK"/>
        </w:rPr>
        <w:t xml:space="preserve">(Eftersom der var indgået en aftale mellem Parlamentet og Rådet, svarer Parlamentets holdning til den endelige retsakt, </w:t>
      </w:r>
      <w:r>
        <w:rPr>
          <w:i/>
          <w:lang w:val="da-DK"/>
        </w:rPr>
        <w:t>forordning (EU) 2025/1215</w:t>
      </w:r>
      <w:bookmarkStart w:id="10" w:name="_GoBack"/>
      <w:bookmarkEnd w:id="10"/>
      <w:r>
        <w:rPr>
          <w:i/>
          <w:lang w:val="da-DK"/>
        </w:rPr>
        <w:t>.)</w:t>
      </w:r>
    </w:p>
    <w:p w:rsidR="004B2BC5" w:rsidRPr="004E00A9" w:rsidRDefault="004B2BC5" w:rsidP="000A7FE6">
      <w:pPr>
        <w:pStyle w:val="Normal12"/>
        <w:rPr>
          <w:rFonts w:eastAsia="Calibri"/>
          <w:b/>
          <w:lang w:val="da-DK"/>
        </w:rPr>
      </w:pPr>
    </w:p>
    <w:sectPr w:rsidR="004B2BC5" w:rsidRPr="004E00A9" w:rsidSect="000A7FE6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FE6" w:rsidRDefault="000A7FE6" w:rsidP="009C4014">
      <w:r>
        <w:separator/>
      </w:r>
    </w:p>
  </w:endnote>
  <w:endnote w:type="continuationSeparator" w:id="0">
    <w:p w:rsidR="000A7FE6" w:rsidRDefault="000A7FE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FE6" w:rsidRDefault="000A7FE6" w:rsidP="009C4014">
      <w:r>
        <w:separator/>
      </w:r>
    </w:p>
  </w:footnote>
  <w:footnote w:type="continuationSeparator" w:id="0">
    <w:p w:rsidR="000A7FE6" w:rsidRDefault="000A7FE6" w:rsidP="009C4014">
      <w:r>
        <w:continuationSeparator/>
      </w:r>
    </w:p>
  </w:footnote>
  <w:footnote w:id="1">
    <w:p w:rsidR="000A7FE6" w:rsidRPr="004B2BC5" w:rsidRDefault="000A7FE6" w:rsidP="000A7FE6">
      <w:pPr>
        <w:pStyle w:val="FootnoteText"/>
        <w:ind w:left="567" w:hanging="567"/>
        <w:rPr>
          <w:sz w:val="24"/>
          <w:lang w:val="da-DK"/>
        </w:rPr>
      </w:pPr>
      <w:r w:rsidRPr="000A7FE6">
        <w:rPr>
          <w:rStyle w:val="FootnoteReference"/>
          <w:sz w:val="24"/>
        </w:rPr>
        <w:footnoteRef/>
      </w:r>
      <w:r w:rsidRPr="004B2BC5">
        <w:rPr>
          <w:sz w:val="24"/>
          <w:lang w:val="da-DK"/>
        </w:rPr>
        <w:t xml:space="preserve"> </w:t>
      </w:r>
      <w:r w:rsidRPr="004B2BC5">
        <w:rPr>
          <w:sz w:val="24"/>
          <w:lang w:val="da-DK"/>
        </w:rPr>
        <w:tab/>
        <w:t>Endnu ikke offentliggjort i EUT.</w:t>
      </w:r>
    </w:p>
  </w:footnote>
  <w:footnote w:id="2">
    <w:p w:rsidR="000A7FE6" w:rsidRPr="004B2BC5" w:rsidRDefault="000A7FE6" w:rsidP="000A7FE6">
      <w:pPr>
        <w:pStyle w:val="FootnoteText"/>
        <w:ind w:left="567" w:hanging="567"/>
        <w:rPr>
          <w:sz w:val="24"/>
          <w:lang w:val="da-DK"/>
        </w:rPr>
      </w:pPr>
      <w:r w:rsidRPr="000A7FE6">
        <w:rPr>
          <w:rStyle w:val="FootnoteReference"/>
          <w:sz w:val="24"/>
        </w:rPr>
        <w:footnoteRef/>
      </w:r>
      <w:r w:rsidRPr="004B2BC5">
        <w:rPr>
          <w:sz w:val="24"/>
          <w:lang w:val="da-DK"/>
        </w:rPr>
        <w:t xml:space="preserve"> </w:t>
      </w:r>
      <w:r w:rsidRPr="004B2BC5">
        <w:rPr>
          <w:sz w:val="24"/>
          <w:lang w:val="da-DK"/>
        </w:rPr>
        <w:tab/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FE6"/>
    <w:rsid w:val="00013B2A"/>
    <w:rsid w:val="000A7FE6"/>
    <w:rsid w:val="000C2BFE"/>
    <w:rsid w:val="000F27A9"/>
    <w:rsid w:val="000F6208"/>
    <w:rsid w:val="00112F7C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B5111"/>
    <w:rsid w:val="003E1189"/>
    <w:rsid w:val="003F4DFE"/>
    <w:rsid w:val="00425111"/>
    <w:rsid w:val="00451C48"/>
    <w:rsid w:val="0047030E"/>
    <w:rsid w:val="004B2BC5"/>
    <w:rsid w:val="004E00A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17F63"/>
    <w:rsid w:val="00C57739"/>
    <w:rsid w:val="00C65BE8"/>
    <w:rsid w:val="00CB451F"/>
    <w:rsid w:val="00CC4897"/>
    <w:rsid w:val="00D202A4"/>
    <w:rsid w:val="00D36680"/>
    <w:rsid w:val="00D91669"/>
    <w:rsid w:val="00DF097A"/>
    <w:rsid w:val="00DF53A8"/>
    <w:rsid w:val="00E039BF"/>
    <w:rsid w:val="00E11822"/>
    <w:rsid w:val="00E73B02"/>
    <w:rsid w:val="00E74BF3"/>
    <w:rsid w:val="00EF255D"/>
    <w:rsid w:val="00EF3610"/>
    <w:rsid w:val="00F177A4"/>
    <w:rsid w:val="00F918E7"/>
    <w:rsid w:val="00F97E29"/>
    <w:rsid w:val="00FB1507"/>
    <w:rsid w:val="00FB3609"/>
    <w:rsid w:val="00FD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A9C86"/>
  <w15:chartTrackingRefBased/>
  <w15:docId w15:val="{01EA3153-C972-4C2B-BEA8-F5651A93C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0A7FE6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7FE6"/>
    <w:rPr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10E70-B461-4E3A-84EF-B6E536C92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264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NIELSEN Anja</dc:creator>
  <cp:keywords/>
  <cp:lastModifiedBy>BENDIXEN Majbritt</cp:lastModifiedBy>
  <cp:revision>2</cp:revision>
  <cp:lastPrinted>2014-08-07T13:15:00Z</cp:lastPrinted>
  <dcterms:created xsi:type="dcterms:W3CDTF">2025-07-04T07:51:00Z</dcterms:created>
  <dcterms:modified xsi:type="dcterms:W3CDTF">2025-07-04T07:51:00Z</dcterms:modified>
</cp:coreProperties>
</file>