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915D79" w:rsidTr="00425111">
        <w:trPr>
          <w:trHeight w:hRule="exact" w:val="1418"/>
        </w:trPr>
        <w:tc>
          <w:tcPr>
            <w:tcW w:w="6804" w:type="dxa"/>
            <w:shd w:val="clear" w:color="auto" w:fill="auto"/>
            <w:vAlign w:val="center"/>
          </w:tcPr>
          <w:p w:rsidR="00757DD5" w:rsidRPr="00915D79" w:rsidRDefault="00915D79" w:rsidP="00425111">
            <w:pPr>
              <w:pStyle w:val="EPName"/>
              <w:rPr>
                <w:lang w:val="lt-LT"/>
              </w:rPr>
            </w:pPr>
            <w:r w:rsidRPr="00915D79">
              <w:rPr>
                <w:lang w:val="lt-LT"/>
              </w:rPr>
              <w:t>Europos Parlamentas</w:t>
            </w:r>
          </w:p>
          <w:p w:rsidR="00757DD5" w:rsidRPr="00915D79" w:rsidRDefault="00915D79" w:rsidP="00425111">
            <w:pPr>
              <w:pStyle w:val="EPTerm"/>
              <w:rPr>
                <w:rStyle w:val="HideTWBExt"/>
                <w:noProof w:val="0"/>
                <w:vanish w:val="0"/>
                <w:lang w:val="lt-LT"/>
              </w:rPr>
            </w:pPr>
            <w:r w:rsidRPr="00915D79">
              <w:rPr>
                <w:lang w:val="lt-LT"/>
              </w:rPr>
              <w:t>2024-2029</w:t>
            </w:r>
          </w:p>
        </w:tc>
        <w:tc>
          <w:tcPr>
            <w:tcW w:w="2268" w:type="dxa"/>
            <w:shd w:val="clear" w:color="auto" w:fill="auto"/>
          </w:tcPr>
          <w:p w:rsidR="00757DD5" w:rsidRPr="00915D79" w:rsidRDefault="00172070" w:rsidP="00425111">
            <w:pPr>
              <w:pStyle w:val="EPLogo"/>
              <w:rPr>
                <w:lang w:val="lt-LT"/>
              </w:rPr>
            </w:pPr>
            <w:r w:rsidRPr="00915D79">
              <w:rPr>
                <w:noProof/>
                <w:lang w:val="pl-PL" w:eastAsia="pl-PL"/>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915D79" w:rsidRDefault="008E7632" w:rsidP="008E7632">
      <w:pPr>
        <w:pStyle w:val="LineTop"/>
        <w:rPr>
          <w:lang w:val="lt-LT"/>
        </w:rPr>
      </w:pPr>
    </w:p>
    <w:p w:rsidR="008E7632" w:rsidRPr="00915D79" w:rsidRDefault="00915D79" w:rsidP="008E7632">
      <w:pPr>
        <w:pStyle w:val="ZSessionDoc"/>
        <w:rPr>
          <w:b/>
          <w:i w:val="0"/>
          <w:lang w:val="lt-LT"/>
        </w:rPr>
      </w:pPr>
      <w:r w:rsidRPr="00915D79">
        <w:rPr>
          <w:b/>
          <w:i w:val="0"/>
          <w:lang w:val="lt-LT"/>
        </w:rPr>
        <w:t>PRIIMTI TEKSTAI</w:t>
      </w:r>
    </w:p>
    <w:p w:rsidR="008E7632" w:rsidRPr="00915D79" w:rsidRDefault="00915D79" w:rsidP="008E7632">
      <w:pPr>
        <w:pStyle w:val="LineBottom"/>
        <w:rPr>
          <w:lang w:val="lt-LT"/>
        </w:rPr>
      </w:pPr>
      <w:r w:rsidRPr="00915D79">
        <w:rPr>
          <w:rFonts w:cs="Arial"/>
          <w:i/>
          <w:sz w:val="20"/>
          <w:szCs w:val="22"/>
          <w:lang w:val="lt-LT"/>
        </w:rPr>
        <w:t xml:space="preserve"> </w:t>
      </w:r>
    </w:p>
    <w:p w:rsidR="009C4014" w:rsidRPr="00915D79" w:rsidRDefault="00915D79" w:rsidP="008E7632">
      <w:pPr>
        <w:pStyle w:val="ATHeading1"/>
        <w:spacing w:before="480"/>
        <w:rPr>
          <w:noProof w:val="0"/>
          <w:lang w:val="lt-LT"/>
        </w:rPr>
      </w:pPr>
      <w:bookmarkStart w:id="0" w:name="TA_Heading"/>
      <w:r w:rsidRPr="00915D79">
        <w:rPr>
          <w:noProof w:val="0"/>
          <w:lang w:val="lt-LT"/>
        </w:rPr>
        <w:t>P10_TA(2025)</w:t>
      </w:r>
      <w:bookmarkStart w:id="1" w:name="TANumber"/>
      <w:bookmarkEnd w:id="0"/>
      <w:r w:rsidRPr="00915D79">
        <w:rPr>
          <w:noProof w:val="0"/>
          <w:lang w:val="lt-LT"/>
        </w:rPr>
        <w:t>0</w:t>
      </w:r>
      <w:r w:rsidR="00981013">
        <w:rPr>
          <w:noProof w:val="0"/>
          <w:lang w:val="lt-LT"/>
        </w:rPr>
        <w:t>111</w:t>
      </w:r>
      <w:bookmarkEnd w:id="1"/>
    </w:p>
    <w:p w:rsidR="009C4014" w:rsidRPr="00915D79" w:rsidRDefault="00915D79" w:rsidP="00915D79">
      <w:pPr>
        <w:pStyle w:val="ATHeading2"/>
        <w:rPr>
          <w:noProof w:val="0"/>
          <w:lang w:val="lt-LT"/>
        </w:rPr>
      </w:pPr>
      <w:bookmarkStart w:id="2" w:name="title"/>
      <w:r w:rsidRPr="00915D79">
        <w:rPr>
          <w:noProof w:val="0"/>
          <w:lang w:val="lt-LT"/>
        </w:rPr>
        <w:t xml:space="preserve">Kapitalo reikalavimų reglamento </w:t>
      </w:r>
      <w:r w:rsidR="0086692B">
        <w:rPr>
          <w:noProof w:val="0"/>
          <w:lang w:val="lt-LT"/>
        </w:rPr>
        <w:t xml:space="preserve">daliniai </w:t>
      </w:r>
      <w:r w:rsidRPr="00915D79">
        <w:rPr>
          <w:noProof w:val="0"/>
          <w:lang w:val="lt-LT"/>
        </w:rPr>
        <w:t>pakeitimai, susiję su vertybinių popierių įsigijimo finansavimo sandoriais pagal grynojo pastovaus finansavimo rodiklį</w:t>
      </w:r>
      <w:bookmarkEnd w:id="2"/>
      <w:r w:rsidR="009C4014" w:rsidRPr="00915D79">
        <w:rPr>
          <w:noProof w:val="0"/>
          <w:lang w:val="lt-LT"/>
        </w:rPr>
        <w:t xml:space="preserve"> </w:t>
      </w:r>
      <w:bookmarkStart w:id="3" w:name="Etoiles"/>
      <w:bookmarkEnd w:id="3"/>
    </w:p>
    <w:p w:rsidR="009C4014" w:rsidRPr="00915D79" w:rsidRDefault="009C4014" w:rsidP="009C4014">
      <w:pPr>
        <w:rPr>
          <w:i/>
          <w:vanish/>
          <w:lang w:val="lt-LT"/>
        </w:rPr>
      </w:pPr>
      <w:r w:rsidRPr="00915D79">
        <w:rPr>
          <w:i/>
          <w:lang w:val="lt-LT"/>
        </w:rPr>
        <w:fldChar w:fldCharType="begin"/>
      </w:r>
      <w:r w:rsidRPr="00915D79">
        <w:rPr>
          <w:i/>
          <w:lang w:val="lt-LT"/>
        </w:rPr>
        <w:instrText xml:space="preserve"> TC"</w:instrText>
      </w:r>
      <w:bookmarkStart w:id="4" w:name="DocNumber"/>
      <w:r w:rsidR="00915D79" w:rsidRPr="00915D79">
        <w:rPr>
          <w:i/>
          <w:lang w:val="lt-LT"/>
        </w:rPr>
        <w:instrText>(C10-0059/2025</w:instrText>
      </w:r>
      <w:r w:rsidR="00A45FEC">
        <w:rPr>
          <w:i/>
          <w:lang w:val="en-GB"/>
        </w:rPr>
        <w:instrText xml:space="preserve"> - Jonás Fernández</w:instrText>
      </w:r>
      <w:r w:rsidR="00915D79" w:rsidRPr="00915D79">
        <w:rPr>
          <w:i/>
          <w:lang w:val="lt-LT"/>
        </w:rPr>
        <w:instrText>)</w:instrText>
      </w:r>
      <w:bookmarkEnd w:id="4"/>
      <w:r w:rsidRPr="00915D79">
        <w:rPr>
          <w:i/>
          <w:lang w:val="lt-LT"/>
        </w:rPr>
        <w:instrText xml:space="preserve">"\l3 \n&gt; \* MERGEFORMAT </w:instrText>
      </w:r>
      <w:r w:rsidRPr="00915D79">
        <w:rPr>
          <w:i/>
          <w:lang w:val="lt-LT"/>
        </w:rPr>
        <w:fldChar w:fldCharType="end"/>
      </w:r>
    </w:p>
    <w:p w:rsidR="00915D79" w:rsidRPr="00915D79" w:rsidRDefault="00915D79" w:rsidP="009C4014">
      <w:pPr>
        <w:rPr>
          <w:vanish/>
          <w:lang w:val="lt-LT"/>
        </w:rPr>
      </w:pPr>
      <w:bookmarkStart w:id="5" w:name="Commission"/>
      <w:r w:rsidRPr="00915D79">
        <w:rPr>
          <w:vanish/>
          <w:lang w:val="lt-LT"/>
        </w:rPr>
        <w:t>Ekonomikos ir pinigų politikos komitetas</w:t>
      </w:r>
    </w:p>
    <w:p w:rsidR="009C4014" w:rsidRPr="00915D79" w:rsidRDefault="00915D79" w:rsidP="009C4014">
      <w:pPr>
        <w:rPr>
          <w:vanish/>
          <w:lang w:val="lt-LT"/>
        </w:rPr>
      </w:pPr>
      <w:bookmarkStart w:id="6" w:name="PE"/>
      <w:bookmarkEnd w:id="5"/>
      <w:r w:rsidRPr="00915D79">
        <w:rPr>
          <w:vanish/>
          <w:lang w:val="lt-LT"/>
        </w:rPr>
        <w:t>PE773.631</w:t>
      </w:r>
      <w:bookmarkEnd w:id="6"/>
    </w:p>
    <w:p w:rsidR="009C4014" w:rsidRDefault="00915D79" w:rsidP="00915D79">
      <w:pPr>
        <w:pStyle w:val="ATHeading3"/>
        <w:rPr>
          <w:noProof w:val="0"/>
          <w:lang w:val="lt-LT"/>
        </w:rPr>
      </w:pPr>
      <w:bookmarkStart w:id="7" w:name="Sujet"/>
      <w:r w:rsidRPr="00915D79">
        <w:rPr>
          <w:noProof w:val="0"/>
          <w:lang w:val="lt-LT"/>
        </w:rPr>
        <w:t>2025 m. gegužės 22 d. Europos Parlamento teisėkūros rezoliucija dėl pasiūlymo dėl Europos Parlamento ir Tarybos reglamento, kuriuo dėl kredito įstaigoms taikomų prudencinių reikalavimų, susijusių su vertybinių popierių įsigijimo finansavimo sandoriams pagal grynojo pastovaus finansavimo rodiklį taikomais reikalavimais, iš dalies keičiamas Reglamentas (ES) Nr. 575/2013</w:t>
      </w:r>
      <w:bookmarkEnd w:id="7"/>
      <w:r w:rsidR="00E73B02" w:rsidRPr="00915D79">
        <w:rPr>
          <w:noProof w:val="0"/>
          <w:lang w:val="lt-LT"/>
        </w:rPr>
        <w:t xml:space="preserve"> </w:t>
      </w:r>
      <w:bookmarkStart w:id="8" w:name="References"/>
      <w:r w:rsidRPr="00915D79">
        <w:rPr>
          <w:noProof w:val="0"/>
          <w:lang w:val="lt-LT"/>
        </w:rPr>
        <w:t>(COM(2025)0146 – C10-0059/2025 – 2025/0077(COD))</w:t>
      </w:r>
      <w:bookmarkEnd w:id="8"/>
    </w:p>
    <w:p w:rsidR="00915D79" w:rsidRPr="00F670D5" w:rsidRDefault="00915D79" w:rsidP="00915D79">
      <w:pPr>
        <w:spacing w:before="240"/>
        <w:rPr>
          <w:b/>
          <w:lang w:val="lt-LT"/>
        </w:rPr>
      </w:pPr>
      <w:r w:rsidRPr="00F670D5">
        <w:rPr>
          <w:b/>
          <w:lang w:val="lt-LT"/>
        </w:rPr>
        <w:t>(Įprasta teisėkūros procedūra: pirmasis svarstymas)</w:t>
      </w:r>
    </w:p>
    <w:p w:rsidR="006E5420" w:rsidRPr="00915D79" w:rsidRDefault="00915D79" w:rsidP="008B1C2E">
      <w:pPr>
        <w:pStyle w:val="Normal12"/>
        <w:spacing w:before="360"/>
        <w:rPr>
          <w:i/>
          <w:szCs w:val="24"/>
          <w:lang w:val="lt-LT"/>
        </w:rPr>
      </w:pPr>
      <w:bookmarkStart w:id="9" w:name="TextBodyBegin"/>
      <w:bookmarkEnd w:id="9"/>
      <w:r w:rsidRPr="00915D79">
        <w:rPr>
          <w:i/>
          <w:szCs w:val="24"/>
          <w:lang w:val="lt-LT"/>
        </w:rPr>
        <w:t>Europos Parlamentas,</w:t>
      </w:r>
    </w:p>
    <w:p w:rsidR="00915D79" w:rsidRPr="00915D79" w:rsidRDefault="00915D79" w:rsidP="00915D79">
      <w:pPr>
        <w:widowControl w:val="0"/>
        <w:spacing w:after="240"/>
        <w:ind w:left="567" w:hanging="567"/>
        <w:rPr>
          <w:lang w:val="lt-LT"/>
        </w:rPr>
      </w:pPr>
      <w:r w:rsidRPr="00915D79">
        <w:rPr>
          <w:lang w:val="lt-LT"/>
        </w:rPr>
        <w:t>–</w:t>
      </w:r>
      <w:r w:rsidRPr="00915D79">
        <w:rPr>
          <w:lang w:val="lt-LT"/>
        </w:rPr>
        <w:tab/>
        <w:t>atsižvelgdamas į Komisijos pasiūlymą Europos Parlamentui ir Tarybai (COM(2025)01</w:t>
      </w:r>
      <w:r>
        <w:rPr>
          <w:lang w:val="lt-LT"/>
        </w:rPr>
        <w:t>4</w:t>
      </w:r>
      <w:r w:rsidRPr="00915D79">
        <w:rPr>
          <w:lang w:val="lt-LT"/>
        </w:rPr>
        <w:t>6),</w:t>
      </w:r>
    </w:p>
    <w:p w:rsidR="00915D79" w:rsidRPr="00915D79" w:rsidRDefault="00915D79" w:rsidP="00915D79">
      <w:pPr>
        <w:widowControl w:val="0"/>
        <w:spacing w:after="240"/>
        <w:ind w:left="567" w:hanging="567"/>
        <w:rPr>
          <w:lang w:val="lt-LT"/>
        </w:rPr>
      </w:pPr>
      <w:r w:rsidRPr="00915D79">
        <w:rPr>
          <w:lang w:val="lt-LT"/>
        </w:rPr>
        <w:t>–</w:t>
      </w:r>
      <w:r w:rsidRPr="00915D79">
        <w:rPr>
          <w:lang w:val="lt-LT"/>
        </w:rPr>
        <w:tab/>
        <w:t xml:space="preserve">atsižvelgdamas į Sutarties dėl Europos Sąjungos veikimo 294 straipsnio 2 dalį ir </w:t>
      </w:r>
      <w:r w:rsidR="00B91D6B">
        <w:rPr>
          <w:lang w:val="lt-LT"/>
        </w:rPr>
        <w:t>į 114</w:t>
      </w:r>
      <w:r w:rsidRPr="00915D79">
        <w:rPr>
          <w:lang w:val="lt-LT"/>
        </w:rPr>
        <w:t> straipsnį, pagal kuriuos Komisija pateikė pasiūlymą Parlamentui (C</w:t>
      </w:r>
      <w:r w:rsidR="00B91D6B">
        <w:rPr>
          <w:lang w:val="lt-LT"/>
        </w:rPr>
        <w:t>10</w:t>
      </w:r>
      <w:r w:rsidRPr="00915D79">
        <w:rPr>
          <w:lang w:val="lt-LT"/>
        </w:rPr>
        <w:noBreakHyphen/>
        <w:t>0</w:t>
      </w:r>
      <w:r w:rsidR="00B91D6B">
        <w:rPr>
          <w:lang w:val="lt-LT"/>
        </w:rPr>
        <w:t>059</w:t>
      </w:r>
      <w:r w:rsidRPr="00915D79">
        <w:rPr>
          <w:lang w:val="lt-LT"/>
        </w:rPr>
        <w:t>/202</w:t>
      </w:r>
      <w:r w:rsidR="00B91D6B">
        <w:rPr>
          <w:lang w:val="lt-LT"/>
        </w:rPr>
        <w:t>5</w:t>
      </w:r>
      <w:r w:rsidRPr="00915D79">
        <w:rPr>
          <w:lang w:val="lt-LT"/>
        </w:rPr>
        <w:t>),</w:t>
      </w:r>
    </w:p>
    <w:p w:rsidR="00915D79" w:rsidRDefault="00915D79" w:rsidP="00915D79">
      <w:pPr>
        <w:widowControl w:val="0"/>
        <w:spacing w:after="240"/>
        <w:ind w:left="567" w:hanging="567"/>
        <w:rPr>
          <w:lang w:val="lt-LT"/>
        </w:rPr>
      </w:pPr>
      <w:r w:rsidRPr="00915D79">
        <w:rPr>
          <w:lang w:val="lt-LT"/>
        </w:rPr>
        <w:t>–</w:t>
      </w:r>
      <w:r w:rsidRPr="00915D79">
        <w:rPr>
          <w:lang w:val="lt-LT"/>
        </w:rPr>
        <w:tab/>
        <w:t>atsižvelgdamas į Sutarties dėl Europos Sąjungos veikimo 294 straipsnio 3 dalį,</w:t>
      </w:r>
    </w:p>
    <w:p w:rsidR="00B91D6B" w:rsidRPr="00915D79" w:rsidRDefault="00B91D6B" w:rsidP="00B91D6B">
      <w:pPr>
        <w:widowControl w:val="0"/>
        <w:spacing w:after="240"/>
        <w:ind w:left="567" w:hanging="567"/>
        <w:rPr>
          <w:lang w:val="lt-LT"/>
        </w:rPr>
      </w:pPr>
      <w:r w:rsidRPr="00915D79">
        <w:rPr>
          <w:lang w:val="lt-LT"/>
        </w:rPr>
        <w:t>–</w:t>
      </w:r>
      <w:r w:rsidRPr="00915D79">
        <w:rPr>
          <w:lang w:val="lt-LT"/>
        </w:rPr>
        <w:tab/>
        <w:t>atsižvelgdamas į 202</w:t>
      </w:r>
      <w:r>
        <w:rPr>
          <w:lang w:val="lt-LT"/>
        </w:rPr>
        <w:t>5</w:t>
      </w:r>
      <w:r w:rsidRPr="00915D79">
        <w:rPr>
          <w:lang w:val="lt-LT"/>
        </w:rPr>
        <w:t xml:space="preserve"> m. </w:t>
      </w:r>
      <w:r>
        <w:rPr>
          <w:lang w:val="lt-LT"/>
        </w:rPr>
        <w:t xml:space="preserve">gegužės </w:t>
      </w:r>
      <w:r w:rsidRPr="00915D79">
        <w:rPr>
          <w:lang w:val="lt-LT"/>
        </w:rPr>
        <w:t xml:space="preserve">2 d. </w:t>
      </w:r>
      <w:r>
        <w:rPr>
          <w:lang w:val="lt-LT"/>
        </w:rPr>
        <w:t xml:space="preserve">Europos Centrinio Banko </w:t>
      </w:r>
      <w:r w:rsidRPr="00915D79">
        <w:rPr>
          <w:lang w:val="lt-LT"/>
        </w:rPr>
        <w:t>nuomonę</w:t>
      </w:r>
      <w:r w:rsidRPr="00915D79">
        <w:rPr>
          <w:vertAlign w:val="superscript"/>
          <w:lang w:val="lt-LT"/>
        </w:rPr>
        <w:footnoteReference w:id="1"/>
      </w:r>
      <w:r w:rsidRPr="00915D79">
        <w:rPr>
          <w:lang w:val="lt-LT"/>
        </w:rPr>
        <w:t>,</w:t>
      </w:r>
    </w:p>
    <w:p w:rsidR="00915D79" w:rsidRPr="00915D79" w:rsidRDefault="00915D79" w:rsidP="00915D79">
      <w:pPr>
        <w:widowControl w:val="0"/>
        <w:spacing w:after="240"/>
        <w:ind w:left="567" w:hanging="567"/>
        <w:rPr>
          <w:lang w:val="lt-LT"/>
        </w:rPr>
      </w:pPr>
      <w:r w:rsidRPr="00915D79">
        <w:rPr>
          <w:lang w:val="lt-LT"/>
        </w:rPr>
        <w:t>–</w:t>
      </w:r>
      <w:r w:rsidRPr="00915D79">
        <w:rPr>
          <w:lang w:val="lt-LT"/>
        </w:rPr>
        <w:tab/>
        <w:t>atsižvelgdamas į 202</w:t>
      </w:r>
      <w:r w:rsidR="00B91D6B">
        <w:rPr>
          <w:lang w:val="lt-LT"/>
        </w:rPr>
        <w:t>5</w:t>
      </w:r>
      <w:r w:rsidRPr="00915D79">
        <w:rPr>
          <w:lang w:val="lt-LT"/>
        </w:rPr>
        <w:t xml:space="preserve"> m. </w:t>
      </w:r>
      <w:r w:rsidR="00B91D6B">
        <w:rPr>
          <w:lang w:val="lt-LT"/>
        </w:rPr>
        <w:t>balandžio</w:t>
      </w:r>
      <w:r w:rsidRPr="00915D79">
        <w:rPr>
          <w:lang w:val="lt-LT"/>
        </w:rPr>
        <w:t xml:space="preserve"> 2</w:t>
      </w:r>
      <w:r w:rsidR="00B91D6B">
        <w:rPr>
          <w:lang w:val="lt-LT"/>
        </w:rPr>
        <w:t>9</w:t>
      </w:r>
      <w:r w:rsidRPr="00915D79">
        <w:rPr>
          <w:lang w:val="lt-LT"/>
        </w:rPr>
        <w:t xml:space="preserve"> d. </w:t>
      </w:r>
      <w:r w:rsidR="00B91D6B">
        <w:rPr>
          <w:lang w:val="lt-LT"/>
        </w:rPr>
        <w:t>Europos ekonomikos ir socialinių reikalų komiteto</w:t>
      </w:r>
      <w:r w:rsidRPr="00915D79">
        <w:rPr>
          <w:lang w:val="lt-LT"/>
        </w:rPr>
        <w:t xml:space="preserve"> nuomonę</w:t>
      </w:r>
      <w:r w:rsidRPr="00915D79">
        <w:rPr>
          <w:vertAlign w:val="superscript"/>
          <w:lang w:val="lt-LT"/>
        </w:rPr>
        <w:footnoteReference w:id="2"/>
      </w:r>
      <w:r w:rsidRPr="00915D79">
        <w:rPr>
          <w:lang w:val="lt-LT"/>
        </w:rPr>
        <w:t>,</w:t>
      </w:r>
    </w:p>
    <w:p w:rsidR="00915D79" w:rsidRPr="00915D79" w:rsidRDefault="00915D79" w:rsidP="00915D79">
      <w:pPr>
        <w:widowControl w:val="0"/>
        <w:spacing w:after="240"/>
        <w:ind w:left="567" w:hanging="567"/>
        <w:rPr>
          <w:lang w:val="lt-LT"/>
        </w:rPr>
      </w:pPr>
      <w:r w:rsidRPr="00915D79">
        <w:rPr>
          <w:lang w:val="lt-LT"/>
        </w:rPr>
        <w:t>–</w:t>
      </w:r>
      <w:r w:rsidRPr="00915D79">
        <w:rPr>
          <w:lang w:val="lt-LT"/>
        </w:rPr>
        <w:tab/>
        <w:t xml:space="preserve">atsižvelgdamas į Darbo tvarkos taisyklių </w:t>
      </w:r>
      <w:r w:rsidR="00B91D6B">
        <w:rPr>
          <w:lang w:val="lt-LT"/>
        </w:rPr>
        <w:t>60</w:t>
      </w:r>
      <w:r w:rsidRPr="00915D79">
        <w:rPr>
          <w:lang w:val="lt-LT"/>
        </w:rPr>
        <w:t xml:space="preserve"> ir 1</w:t>
      </w:r>
      <w:r w:rsidR="00B91D6B">
        <w:rPr>
          <w:lang w:val="lt-LT"/>
        </w:rPr>
        <w:t>70</w:t>
      </w:r>
      <w:r w:rsidRPr="00915D79">
        <w:rPr>
          <w:lang w:val="lt-LT"/>
        </w:rPr>
        <w:t xml:space="preserve"> straipsnius,</w:t>
      </w:r>
    </w:p>
    <w:p w:rsidR="00915D79" w:rsidRPr="00915D79" w:rsidRDefault="00915D79" w:rsidP="00915D79">
      <w:pPr>
        <w:widowControl w:val="0"/>
        <w:spacing w:after="240"/>
        <w:ind w:left="567" w:hanging="567"/>
        <w:rPr>
          <w:lang w:val="lt-LT"/>
        </w:rPr>
      </w:pPr>
      <w:r w:rsidRPr="00915D79">
        <w:rPr>
          <w:lang w:val="lt-LT"/>
        </w:rPr>
        <w:t>1.</w:t>
      </w:r>
      <w:r w:rsidRPr="00915D79">
        <w:rPr>
          <w:lang w:val="lt-LT"/>
        </w:rPr>
        <w:tab/>
        <w:t>priima per pirmąjį svarstymą toliau pateiktą poziciją;</w:t>
      </w:r>
    </w:p>
    <w:p w:rsidR="00915D79" w:rsidRPr="00915D79" w:rsidRDefault="00915D79" w:rsidP="00915D79">
      <w:pPr>
        <w:widowControl w:val="0"/>
        <w:spacing w:after="240"/>
        <w:ind w:left="567" w:hanging="567"/>
        <w:rPr>
          <w:lang w:val="lt-LT"/>
        </w:rPr>
      </w:pPr>
      <w:r w:rsidRPr="00915D79">
        <w:rPr>
          <w:lang w:val="lt-LT"/>
        </w:rPr>
        <w:t>2.</w:t>
      </w:r>
      <w:r w:rsidRPr="00915D79">
        <w:rPr>
          <w:lang w:val="lt-LT"/>
        </w:rPr>
        <w:tab/>
        <w:t xml:space="preserve">ragina Komisiją dar kartą perduoti klausimą svarstyti Parlamentui, jei ji savo pasiūlymą </w:t>
      </w:r>
      <w:r w:rsidRPr="00915D79">
        <w:rPr>
          <w:lang w:val="lt-LT"/>
        </w:rPr>
        <w:lastRenderedPageBreak/>
        <w:t>pakeičia nauju tekstu, jį keičia iš esmės arba ketina jį keisti iš esmės;</w:t>
      </w:r>
    </w:p>
    <w:p w:rsidR="00915D79" w:rsidRPr="00915D79" w:rsidRDefault="00915D79" w:rsidP="00915D79">
      <w:pPr>
        <w:widowControl w:val="0"/>
        <w:spacing w:after="240"/>
        <w:ind w:left="567" w:hanging="567"/>
        <w:rPr>
          <w:lang w:val="lt-LT"/>
        </w:rPr>
      </w:pPr>
      <w:r w:rsidRPr="00915D79">
        <w:rPr>
          <w:lang w:val="lt-LT"/>
        </w:rPr>
        <w:t>3.</w:t>
      </w:r>
      <w:r w:rsidRPr="00915D79">
        <w:rPr>
          <w:lang w:val="lt-LT"/>
        </w:rPr>
        <w:tab/>
        <w:t>paveda Pirmininkei perduoti Parlamento poziciją Tarybai, Komisijai ir nacionaliniams parlamentams.</w:t>
      </w:r>
    </w:p>
    <w:p w:rsidR="00027227" w:rsidRDefault="00027227" w:rsidP="00915D79">
      <w:pPr>
        <w:rPr>
          <w:lang w:val="lt-LT"/>
        </w:rPr>
        <w:sectPr w:rsidR="00027227"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rsidR="00915D79" w:rsidRPr="00915D79" w:rsidRDefault="00915D79" w:rsidP="008063EC">
      <w:pPr>
        <w:widowControl w:val="0"/>
        <w:autoSpaceDE w:val="0"/>
        <w:autoSpaceDN w:val="0"/>
        <w:adjustRightInd w:val="0"/>
        <w:spacing w:after="240"/>
        <w:rPr>
          <w:rFonts w:eastAsia="Calibri"/>
          <w:b/>
          <w:bCs/>
          <w:color w:val="000000"/>
          <w:lang w:val="lt-LT"/>
        </w:rPr>
      </w:pPr>
      <w:bookmarkStart w:id="10" w:name="_GoBack"/>
      <w:r w:rsidRPr="00915D79">
        <w:rPr>
          <w:rFonts w:eastAsia="Calibri"/>
          <w:b/>
          <w:bCs/>
          <w:color w:val="000000"/>
          <w:lang w:val="lt-LT"/>
        </w:rPr>
        <w:lastRenderedPageBreak/>
        <w:t>P</w:t>
      </w:r>
      <w:r w:rsidR="00CC1946">
        <w:rPr>
          <w:rFonts w:eastAsia="Calibri"/>
          <w:b/>
          <w:bCs/>
          <w:color w:val="000000"/>
          <w:lang w:val="lt-LT"/>
        </w:rPr>
        <w:t>10</w:t>
      </w:r>
      <w:r w:rsidRPr="00915D79">
        <w:rPr>
          <w:rFonts w:eastAsia="Calibri"/>
          <w:b/>
          <w:bCs/>
          <w:color w:val="000000"/>
          <w:lang w:val="lt-LT"/>
        </w:rPr>
        <w:t>_TC1-COD(202</w:t>
      </w:r>
      <w:r w:rsidR="00B91D6B">
        <w:rPr>
          <w:rFonts w:eastAsia="Calibri"/>
          <w:b/>
          <w:bCs/>
          <w:color w:val="000000"/>
          <w:lang w:val="lt-LT"/>
        </w:rPr>
        <w:t>5</w:t>
      </w:r>
      <w:r w:rsidRPr="00915D79">
        <w:rPr>
          <w:rFonts w:eastAsia="Calibri"/>
          <w:b/>
          <w:bCs/>
          <w:color w:val="000000"/>
          <w:lang w:val="lt-LT"/>
        </w:rPr>
        <w:t>)00</w:t>
      </w:r>
      <w:r w:rsidR="00B91D6B">
        <w:rPr>
          <w:rFonts w:eastAsia="Calibri"/>
          <w:b/>
          <w:bCs/>
          <w:color w:val="000000"/>
          <w:lang w:val="lt-LT"/>
        </w:rPr>
        <w:t>77</w:t>
      </w:r>
    </w:p>
    <w:p w:rsidR="00B91D6B" w:rsidRPr="0094340C" w:rsidRDefault="00915D79" w:rsidP="008063EC">
      <w:pPr>
        <w:pStyle w:val="Normal12"/>
        <w:rPr>
          <w:rFonts w:eastAsia="Calibri"/>
          <w:b/>
          <w:szCs w:val="22"/>
          <w:lang w:val="lt-LT"/>
        </w:rPr>
      </w:pPr>
      <w:r w:rsidRPr="00915D79">
        <w:rPr>
          <w:rFonts w:eastAsia="Calibri"/>
          <w:b/>
          <w:bCs/>
          <w:color w:val="000000"/>
          <w:lang w:val="lt-LT"/>
        </w:rPr>
        <w:t>Europos Parlamento pozicija, priimta 202</w:t>
      </w:r>
      <w:r w:rsidR="00B91D6B">
        <w:rPr>
          <w:rFonts w:eastAsia="Calibri"/>
          <w:b/>
          <w:bCs/>
          <w:color w:val="000000"/>
          <w:lang w:val="lt-LT"/>
        </w:rPr>
        <w:t>5</w:t>
      </w:r>
      <w:r w:rsidRPr="00915D79">
        <w:rPr>
          <w:rFonts w:eastAsia="Calibri"/>
          <w:b/>
          <w:bCs/>
          <w:color w:val="000000"/>
          <w:lang w:val="lt-LT"/>
        </w:rPr>
        <w:t xml:space="preserve"> m. </w:t>
      </w:r>
      <w:r w:rsidR="00B91D6B">
        <w:rPr>
          <w:rFonts w:eastAsia="Calibri"/>
          <w:b/>
          <w:bCs/>
          <w:color w:val="000000"/>
          <w:lang w:val="lt-LT"/>
        </w:rPr>
        <w:t>gegužės 22</w:t>
      </w:r>
      <w:r w:rsidRPr="00915D79">
        <w:rPr>
          <w:rFonts w:eastAsia="Calibri"/>
          <w:b/>
          <w:bCs/>
          <w:color w:val="000000"/>
          <w:lang w:val="lt-LT"/>
        </w:rPr>
        <w:t xml:space="preserve"> d. per pirmąjį svarstymą, siekiant priimti Europos Parlamento ir Tarybos </w:t>
      </w:r>
      <w:r w:rsidR="00B91D6B">
        <w:rPr>
          <w:rFonts w:eastAsia="Calibri"/>
          <w:b/>
          <w:bCs/>
          <w:color w:val="000000"/>
          <w:lang w:val="lt-LT"/>
        </w:rPr>
        <w:t>reglamentą</w:t>
      </w:r>
      <w:r w:rsidRPr="00915D79">
        <w:rPr>
          <w:rFonts w:eastAsia="Calibri"/>
          <w:b/>
          <w:bCs/>
          <w:color w:val="000000"/>
          <w:lang w:val="lt-LT"/>
        </w:rPr>
        <w:t xml:space="preserve"> (ES) 202</w:t>
      </w:r>
      <w:r w:rsidR="00B91D6B">
        <w:rPr>
          <w:rFonts w:eastAsia="Calibri"/>
          <w:b/>
          <w:bCs/>
          <w:color w:val="000000"/>
          <w:lang w:val="lt-LT"/>
        </w:rPr>
        <w:t>5</w:t>
      </w:r>
      <w:r w:rsidRPr="00915D79">
        <w:rPr>
          <w:rFonts w:eastAsia="Calibri"/>
          <w:b/>
          <w:bCs/>
          <w:color w:val="000000"/>
          <w:lang w:val="lt-LT"/>
        </w:rPr>
        <w:t>/...</w:t>
      </w:r>
      <w:r w:rsidR="00B91D6B">
        <w:rPr>
          <w:rFonts w:eastAsia="Calibri"/>
          <w:b/>
          <w:bCs/>
          <w:color w:val="000000"/>
          <w:lang w:val="lt-LT"/>
        </w:rPr>
        <w:t>,</w:t>
      </w:r>
      <w:r w:rsidRPr="00915D79">
        <w:rPr>
          <w:rFonts w:eastAsia="Calibri"/>
          <w:b/>
          <w:bCs/>
          <w:color w:val="000000"/>
          <w:lang w:val="lt-LT"/>
        </w:rPr>
        <w:t xml:space="preserve"> </w:t>
      </w:r>
      <w:r w:rsidR="00B91D6B" w:rsidRPr="0094340C">
        <w:rPr>
          <w:rFonts w:eastAsia="Calibri"/>
          <w:b/>
          <w:szCs w:val="22"/>
          <w:lang w:val="lt-LT"/>
        </w:rPr>
        <w:t xml:space="preserve">kuriuo iš dalies keičiamas Reglamentas (ES) Nr. 575/2013, kiek tai susiję su vertybinių popierių įsigijimo finansavimo sandoriams pagal grynojo pastovaus finansavimo rodiklį taikomais reikalavimais </w:t>
      </w:r>
    </w:p>
    <w:p w:rsidR="00B91D6B" w:rsidRPr="00915D79" w:rsidRDefault="008063EC" w:rsidP="008063EC">
      <w:pPr>
        <w:spacing w:after="240"/>
        <w:rPr>
          <w:szCs w:val="24"/>
          <w:lang w:val="lt-LT"/>
        </w:rPr>
      </w:pPr>
      <w:r w:rsidRPr="00AC73F6">
        <w:rPr>
          <w:i/>
        </w:rPr>
        <w:t xml:space="preserve">(Kadangi Parlamentas ir Taryba pasiekė susitarimą, Parlamento pozicija atitinka galutinį teisės aktą, </w:t>
      </w:r>
      <w:r w:rsidRPr="005E3781">
        <w:rPr>
          <w:i/>
        </w:rPr>
        <w:t>Reglamentą (ES) 2025/12</w:t>
      </w:r>
      <w:r>
        <w:rPr>
          <w:i/>
        </w:rPr>
        <w:t>15</w:t>
      </w:r>
      <w:r w:rsidRPr="00B163C4">
        <w:rPr>
          <w:i/>
        </w:rPr>
        <w:t>.)</w:t>
      </w:r>
      <w:bookmarkEnd w:id="10"/>
    </w:p>
    <w:sectPr w:rsidR="00B91D6B" w:rsidRPr="00915D79" w:rsidSect="00027227">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D79" w:rsidRDefault="00915D79" w:rsidP="009C4014">
      <w:r>
        <w:separator/>
      </w:r>
    </w:p>
  </w:endnote>
  <w:endnote w:type="continuationSeparator" w:id="0">
    <w:p w:rsidR="00915D79" w:rsidRDefault="00915D79"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D79" w:rsidRDefault="00915D79" w:rsidP="009C4014">
      <w:r>
        <w:separator/>
      </w:r>
    </w:p>
  </w:footnote>
  <w:footnote w:type="continuationSeparator" w:id="0">
    <w:p w:rsidR="00915D79" w:rsidRDefault="00915D79" w:rsidP="009C4014">
      <w:r>
        <w:continuationSeparator/>
      </w:r>
    </w:p>
  </w:footnote>
  <w:footnote w:id="1">
    <w:p w:rsidR="00B91D6B" w:rsidRPr="00087D85" w:rsidRDefault="00B91D6B" w:rsidP="00B91D6B">
      <w:pPr>
        <w:pStyle w:val="FootnoteText"/>
        <w:ind w:left="567" w:hanging="567"/>
        <w:rPr>
          <w:sz w:val="24"/>
          <w:szCs w:val="24"/>
          <w:lang w:val="lt-LT"/>
        </w:rPr>
      </w:pPr>
      <w:r w:rsidRPr="00087D85">
        <w:rPr>
          <w:rStyle w:val="FootnoteReference"/>
          <w:rFonts w:eastAsiaTheme="majorEastAsia"/>
          <w:sz w:val="24"/>
          <w:szCs w:val="24"/>
          <w:lang w:val="lt-LT"/>
        </w:rPr>
        <w:footnoteRef/>
      </w:r>
      <w:r w:rsidRPr="00087D85">
        <w:rPr>
          <w:sz w:val="24"/>
          <w:szCs w:val="24"/>
          <w:lang w:val="lt-LT"/>
        </w:rPr>
        <w:tab/>
        <w:t>Dar nepaskelbta Oficialiajame leidinyje.</w:t>
      </w:r>
    </w:p>
  </w:footnote>
  <w:footnote w:id="2">
    <w:p w:rsidR="00915D79" w:rsidRPr="00087D85" w:rsidRDefault="00915D79" w:rsidP="00915D79">
      <w:pPr>
        <w:pStyle w:val="FootnoteText"/>
        <w:ind w:left="567" w:hanging="567"/>
        <w:rPr>
          <w:sz w:val="24"/>
          <w:szCs w:val="24"/>
          <w:lang w:val="lt-LT"/>
        </w:rPr>
      </w:pPr>
      <w:r w:rsidRPr="00087D85">
        <w:rPr>
          <w:rStyle w:val="FootnoteReference"/>
          <w:rFonts w:eastAsiaTheme="majorEastAsia"/>
          <w:sz w:val="24"/>
          <w:szCs w:val="24"/>
          <w:lang w:val="lt-LT"/>
        </w:rPr>
        <w:footnoteRef/>
      </w:r>
      <w:r w:rsidRPr="00087D85">
        <w:rPr>
          <w:sz w:val="24"/>
          <w:szCs w:val="24"/>
          <w:lang w:val="lt-LT"/>
        </w:rPr>
        <w:tab/>
        <w:t>Dar nepaskelbta Oficialiajame leidinyje.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D79"/>
    <w:rsid w:val="00013B2A"/>
    <w:rsid w:val="00027227"/>
    <w:rsid w:val="000C2BFE"/>
    <w:rsid w:val="000F27A9"/>
    <w:rsid w:val="000F6208"/>
    <w:rsid w:val="00125CBC"/>
    <w:rsid w:val="00172070"/>
    <w:rsid w:val="00185E15"/>
    <w:rsid w:val="001D4BBF"/>
    <w:rsid w:val="001D63A8"/>
    <w:rsid w:val="002924A9"/>
    <w:rsid w:val="002A1D4E"/>
    <w:rsid w:val="002B4BCF"/>
    <w:rsid w:val="002F1925"/>
    <w:rsid w:val="00300C61"/>
    <w:rsid w:val="00312A38"/>
    <w:rsid w:val="003202DD"/>
    <w:rsid w:val="003775B9"/>
    <w:rsid w:val="00397B2A"/>
    <w:rsid w:val="003E1189"/>
    <w:rsid w:val="003F4DFE"/>
    <w:rsid w:val="00425111"/>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063EC"/>
    <w:rsid w:val="008512F3"/>
    <w:rsid w:val="00857458"/>
    <w:rsid w:val="0086692B"/>
    <w:rsid w:val="00873A0F"/>
    <w:rsid w:val="00895FA0"/>
    <w:rsid w:val="008B1C2E"/>
    <w:rsid w:val="008D7C16"/>
    <w:rsid w:val="008E7632"/>
    <w:rsid w:val="008F0108"/>
    <w:rsid w:val="008F7F1C"/>
    <w:rsid w:val="00907FE0"/>
    <w:rsid w:val="00915D79"/>
    <w:rsid w:val="00981013"/>
    <w:rsid w:val="009865B7"/>
    <w:rsid w:val="009B7E10"/>
    <w:rsid w:val="009C4014"/>
    <w:rsid w:val="009F28EF"/>
    <w:rsid w:val="00A1739E"/>
    <w:rsid w:val="00A45FEC"/>
    <w:rsid w:val="00B54C72"/>
    <w:rsid w:val="00B85C1E"/>
    <w:rsid w:val="00B91D6B"/>
    <w:rsid w:val="00C15516"/>
    <w:rsid w:val="00C16C81"/>
    <w:rsid w:val="00C57739"/>
    <w:rsid w:val="00C65BE8"/>
    <w:rsid w:val="00CB451F"/>
    <w:rsid w:val="00CC1946"/>
    <w:rsid w:val="00CC4897"/>
    <w:rsid w:val="00D202A4"/>
    <w:rsid w:val="00D91669"/>
    <w:rsid w:val="00DF097A"/>
    <w:rsid w:val="00DF53A8"/>
    <w:rsid w:val="00E039BF"/>
    <w:rsid w:val="00E11822"/>
    <w:rsid w:val="00E73B02"/>
    <w:rsid w:val="00E74BF3"/>
    <w:rsid w:val="00E928EF"/>
    <w:rsid w:val="00EF3610"/>
    <w:rsid w:val="00F177A4"/>
    <w:rsid w:val="00F271EB"/>
    <w:rsid w:val="00F670D5"/>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798DD0"/>
  <w15:chartTrackingRefBased/>
  <w15:docId w15:val="{F119CD2F-728A-447F-8FB7-7BD9E1566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uiPriority w:val="99"/>
    <w:rsid w:val="00915D79"/>
    <w:rPr>
      <w:sz w:val="22"/>
      <w:lang w:val="fr-FR"/>
    </w:rPr>
  </w:style>
  <w:style w:type="character" w:styleId="Hyperlink">
    <w:name w:val="Hyperlink"/>
    <w:uiPriority w:val="99"/>
    <w:rsid w:val="00B91D6B"/>
    <w:rPr>
      <w:color w:val="0000FF"/>
      <w:u w:val="single"/>
    </w:rPr>
  </w:style>
  <w:style w:type="paragraph" w:styleId="BalloonText">
    <w:name w:val="Balloon Text"/>
    <w:basedOn w:val="Normal"/>
    <w:link w:val="BalloonTextChar"/>
    <w:rsid w:val="00E928EF"/>
    <w:rPr>
      <w:rFonts w:ascii="Segoe UI" w:hAnsi="Segoe UI" w:cs="Segoe UI"/>
      <w:sz w:val="18"/>
      <w:szCs w:val="18"/>
    </w:rPr>
  </w:style>
  <w:style w:type="character" w:customStyle="1" w:styleId="BalloonTextChar">
    <w:name w:val="Balloon Text Char"/>
    <w:basedOn w:val="DefaultParagraphFont"/>
    <w:link w:val="BalloonText"/>
    <w:rsid w:val="00E928EF"/>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9E03D-97B9-4025-B858-64392EB16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3</Pages>
  <Words>262</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BINKEVICIUTE Aurelija</dc:creator>
  <cp:keywords/>
  <cp:lastModifiedBy>BINKEVICIUTE Aurelija</cp:lastModifiedBy>
  <cp:revision>2</cp:revision>
  <cp:lastPrinted>2014-08-07T13:15:00Z</cp:lastPrinted>
  <dcterms:created xsi:type="dcterms:W3CDTF">2025-07-02T12:29:00Z</dcterms:created>
  <dcterms:modified xsi:type="dcterms:W3CDTF">2025-07-02T12:29:00Z</dcterms:modified>
</cp:coreProperties>
</file>