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CD685B" w:rsidTr="00425111">
        <w:trPr>
          <w:trHeight w:hRule="exact" w:val="1418"/>
        </w:trPr>
        <w:tc>
          <w:tcPr>
            <w:tcW w:w="6804" w:type="dxa"/>
            <w:shd w:val="clear" w:color="auto" w:fill="auto"/>
            <w:vAlign w:val="center"/>
          </w:tcPr>
          <w:p w:rsidR="00757DD5" w:rsidRPr="00CD685B" w:rsidRDefault="009A50F1" w:rsidP="00425111">
            <w:pPr>
              <w:pStyle w:val="EPName"/>
              <w:rPr>
                <w:lang w:val="en-GB"/>
              </w:rPr>
            </w:pPr>
            <w:r w:rsidRPr="00CD685B">
              <w:rPr>
                <w:lang w:val="en-GB"/>
              </w:rPr>
              <w:t>Eiropas Parlaments</w:t>
            </w:r>
          </w:p>
          <w:p w:rsidR="00757DD5" w:rsidRPr="00CD685B" w:rsidRDefault="009A50F1" w:rsidP="00425111">
            <w:pPr>
              <w:pStyle w:val="EPTerm"/>
              <w:rPr>
                <w:rStyle w:val="HideTWBExt"/>
                <w:vanish w:val="0"/>
                <w:lang w:val="en-GB"/>
              </w:rPr>
            </w:pPr>
            <w:r w:rsidRPr="00CD685B">
              <w:rPr>
                <w:lang w:val="en-GB"/>
              </w:rPr>
              <w:t>2024-2029</w:t>
            </w:r>
          </w:p>
        </w:tc>
        <w:tc>
          <w:tcPr>
            <w:tcW w:w="2268" w:type="dxa"/>
            <w:shd w:val="clear" w:color="auto" w:fill="auto"/>
          </w:tcPr>
          <w:p w:rsidR="00757DD5" w:rsidRPr="00CD685B" w:rsidRDefault="00172070" w:rsidP="00425111">
            <w:pPr>
              <w:pStyle w:val="EPLogo"/>
            </w:pPr>
            <w:r w:rsidRPr="00CD685B">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CD685B" w:rsidRDefault="008E7632" w:rsidP="008E7632">
      <w:pPr>
        <w:pStyle w:val="LineTop"/>
        <w:rPr>
          <w:lang w:val="en-GB"/>
        </w:rPr>
      </w:pPr>
    </w:p>
    <w:p w:rsidR="008E7632" w:rsidRPr="00CD685B" w:rsidRDefault="009A50F1" w:rsidP="008E7632">
      <w:pPr>
        <w:pStyle w:val="ZSessionDoc"/>
        <w:rPr>
          <w:b/>
          <w:i w:val="0"/>
        </w:rPr>
      </w:pPr>
      <w:r w:rsidRPr="00CD685B">
        <w:rPr>
          <w:b/>
          <w:i w:val="0"/>
        </w:rPr>
        <w:t>PIEŅEMTIE TEKSTI</w:t>
      </w:r>
    </w:p>
    <w:p w:rsidR="008E7632" w:rsidRPr="00CD685B" w:rsidRDefault="009A50F1" w:rsidP="008E7632">
      <w:pPr>
        <w:pStyle w:val="LineBottom"/>
      </w:pPr>
      <w:r w:rsidRPr="00CD685B">
        <w:rPr>
          <w:rFonts w:cs="Arial"/>
          <w:i/>
          <w:sz w:val="20"/>
          <w:szCs w:val="22"/>
        </w:rPr>
        <w:t xml:space="preserve"> </w:t>
      </w:r>
    </w:p>
    <w:p w:rsidR="009C4014" w:rsidRPr="00CD685B" w:rsidRDefault="009A50F1" w:rsidP="00A01DF9">
      <w:pPr>
        <w:pStyle w:val="ATHeading1"/>
        <w:rPr>
          <w:lang w:val="en-GB"/>
        </w:rPr>
      </w:pPr>
      <w:bookmarkStart w:id="0" w:name="TA_Heading"/>
      <w:r w:rsidRPr="00CD685B">
        <w:rPr>
          <w:lang w:val="en-GB"/>
        </w:rPr>
        <w:t>P10_TA(2025)</w:t>
      </w:r>
      <w:bookmarkStart w:id="1" w:name="TANumber"/>
      <w:bookmarkEnd w:id="0"/>
      <w:r w:rsidRPr="00CD685B">
        <w:rPr>
          <w:lang w:val="en-GB"/>
        </w:rPr>
        <w:t>0</w:t>
      </w:r>
      <w:r w:rsidR="00E94598" w:rsidRPr="00CD685B">
        <w:rPr>
          <w:lang w:val="en-GB"/>
        </w:rPr>
        <w:t>111</w:t>
      </w:r>
      <w:bookmarkEnd w:id="1"/>
    </w:p>
    <w:p w:rsidR="009C4014" w:rsidRPr="00CD685B" w:rsidRDefault="009A50F1" w:rsidP="009A50F1">
      <w:pPr>
        <w:pStyle w:val="ATHeading2"/>
        <w:rPr>
          <w:lang w:val="en-GB"/>
        </w:rPr>
      </w:pPr>
      <w:r w:rsidRPr="00CD685B">
        <w:rPr>
          <w:lang w:val="en-GB"/>
        </w:rPr>
        <w:t>Grozījumi Kapitāla prasību regulā attiecībā uz prasībām vērtspapīru finansēšanas darījumiem saskaņā ar neto stabila finansējuma rādītāju</w:t>
      </w:r>
      <w:r w:rsidR="009C4014" w:rsidRPr="00CD685B">
        <w:rPr>
          <w:lang w:val="en-GB"/>
        </w:rPr>
        <w:t xml:space="preserve"> </w:t>
      </w:r>
      <w:bookmarkStart w:id="2" w:name="Etoiles"/>
      <w:bookmarkEnd w:id="2"/>
    </w:p>
    <w:p w:rsidR="009C4014" w:rsidRPr="00CD685B" w:rsidRDefault="009C4014" w:rsidP="009C4014">
      <w:pPr>
        <w:rPr>
          <w:i/>
          <w:vanish/>
          <w:lang w:val="en-GB"/>
        </w:rPr>
      </w:pPr>
      <w:r w:rsidRPr="00CD685B">
        <w:rPr>
          <w:i/>
        </w:rPr>
        <w:fldChar w:fldCharType="begin"/>
      </w:r>
      <w:r w:rsidRPr="00CD685B">
        <w:rPr>
          <w:i/>
          <w:lang w:val="en-GB"/>
        </w:rPr>
        <w:instrText xml:space="preserve"> TC"</w:instrText>
      </w:r>
      <w:bookmarkStart w:id="3" w:name="DocNumber"/>
      <w:r w:rsidR="009A50F1" w:rsidRPr="00CD685B">
        <w:rPr>
          <w:i/>
          <w:lang w:val="en-GB"/>
        </w:rPr>
        <w:instrText>(C10-0059</w:instrText>
      </w:r>
      <w:r w:rsidR="00754DD5" w:rsidRPr="00150AB5">
        <w:rPr>
          <w:i/>
          <w:lang w:val="en-GB"/>
        </w:rPr>
        <w:instrText>/2025</w:instrText>
      </w:r>
      <w:r w:rsidR="006D7258">
        <w:rPr>
          <w:i/>
          <w:lang w:val="en-GB"/>
        </w:rPr>
        <w:instrText xml:space="preserve"> - Jonás Fernández</w:instrText>
      </w:r>
      <w:r w:rsidR="009A50F1" w:rsidRPr="00CD685B">
        <w:rPr>
          <w:i/>
          <w:lang w:val="en-GB"/>
        </w:rPr>
        <w:instrText>)</w:instrText>
      </w:r>
      <w:bookmarkEnd w:id="3"/>
      <w:r w:rsidRPr="00CD685B">
        <w:rPr>
          <w:i/>
          <w:lang w:val="en-GB"/>
        </w:rPr>
        <w:instrText xml:space="preserve">"\l3 \n&gt; \* MERGEFORMAT </w:instrText>
      </w:r>
      <w:r w:rsidRPr="00CD685B">
        <w:rPr>
          <w:i/>
        </w:rPr>
        <w:fldChar w:fldCharType="end"/>
      </w:r>
    </w:p>
    <w:p w:rsidR="009A50F1" w:rsidRPr="00150AB5" w:rsidRDefault="009A50F1" w:rsidP="009C4014">
      <w:pPr>
        <w:rPr>
          <w:vanish/>
          <w:lang w:val="en-GB"/>
        </w:rPr>
      </w:pPr>
      <w:bookmarkStart w:id="4" w:name="Commission"/>
      <w:r w:rsidRPr="00150AB5">
        <w:rPr>
          <w:vanish/>
          <w:lang w:val="en-GB"/>
        </w:rPr>
        <w:t>Ekonomikas un monetārā komiteja</w:t>
      </w:r>
    </w:p>
    <w:p w:rsidR="009C4014" w:rsidRPr="00150AB5" w:rsidRDefault="009A50F1" w:rsidP="009C4014">
      <w:pPr>
        <w:rPr>
          <w:vanish/>
          <w:lang w:val="en-GB"/>
        </w:rPr>
      </w:pPr>
      <w:bookmarkStart w:id="5" w:name="PE"/>
      <w:bookmarkEnd w:id="4"/>
      <w:r w:rsidRPr="00150AB5">
        <w:rPr>
          <w:vanish/>
          <w:lang w:val="en-GB"/>
        </w:rPr>
        <w:t>PE773.631</w:t>
      </w:r>
      <w:bookmarkEnd w:id="5"/>
    </w:p>
    <w:p w:rsidR="009A50F1" w:rsidRPr="00150AB5" w:rsidRDefault="009A50F1" w:rsidP="009A50F1">
      <w:pPr>
        <w:pStyle w:val="ATHeading3"/>
        <w:rPr>
          <w:lang w:val="en-GB"/>
        </w:rPr>
      </w:pPr>
      <w:r w:rsidRPr="00150AB5">
        <w:rPr>
          <w:lang w:val="en-GB"/>
        </w:rPr>
        <w:t xml:space="preserve">Eiropas Parlamenta 2025. gada </w:t>
      </w:r>
      <w:r w:rsidR="00A01DF9" w:rsidRPr="00150AB5">
        <w:rPr>
          <w:lang w:val="en-GB"/>
        </w:rPr>
        <w:t>22</w:t>
      </w:r>
      <w:r w:rsidRPr="00150AB5">
        <w:rPr>
          <w:lang w:val="en-GB"/>
        </w:rPr>
        <w:t>. maija normatīvā rezolūcija par priekšlikumu Eiropas Parlamenta un Padomes regulai</w:t>
      </w:r>
      <w:r w:rsidRPr="00CD685B">
        <w:rPr>
          <w:lang w:val="lv-LV"/>
        </w:rPr>
        <w:t xml:space="preserve">, </w:t>
      </w:r>
      <w:r w:rsidR="00150AB5" w:rsidRPr="00150AB5">
        <w:rPr>
          <w:lang w:val="en-GB"/>
        </w:rPr>
        <w:t>ar ko Regulu (ES) Nr. 575/2013 par prudenciālajām prasībām attiecībā uz kredītiestādēm groza attiecībā uz prasībām vērtspapīru finansēšanas darījumiem saskaņā ar neto stabila finansējuma rādītāju</w:t>
      </w:r>
      <w:r w:rsidR="00A01DF9" w:rsidRPr="00CD685B">
        <w:rPr>
          <w:rFonts w:eastAsia="Calibri"/>
          <w:szCs w:val="22"/>
          <w:lang w:val="lv-LV" w:eastAsia="en-US"/>
        </w:rPr>
        <w:t xml:space="preserve"> </w:t>
      </w:r>
      <w:r w:rsidR="00A01DF9" w:rsidRPr="00150AB5">
        <w:rPr>
          <w:lang w:val="en-GB"/>
        </w:rPr>
        <w:t>(COM(2025)0146 – C10-0059/2025 – 2025/0077(COD))</w:t>
      </w:r>
    </w:p>
    <w:p w:rsidR="009C4014" w:rsidRPr="00CD685B" w:rsidRDefault="009A50F1" w:rsidP="00A01DF9">
      <w:pPr>
        <w:spacing w:before="120" w:after="120" w:line="360" w:lineRule="auto"/>
        <w:jc w:val="both"/>
        <w:rPr>
          <w:b/>
          <w:lang w:val="lv-LV"/>
        </w:rPr>
      </w:pPr>
      <w:bookmarkStart w:id="6" w:name="References"/>
      <w:r w:rsidRPr="00CD685B">
        <w:rPr>
          <w:b/>
          <w:lang w:val="lv-LV"/>
        </w:rPr>
        <w:t>(Parastā likumdošanas procedūra: pirmais lasījums)</w:t>
      </w:r>
      <w:bookmarkEnd w:id="6"/>
    </w:p>
    <w:p w:rsidR="009A50F1" w:rsidRPr="00CD685B" w:rsidRDefault="009A50F1" w:rsidP="009A50F1">
      <w:pPr>
        <w:pStyle w:val="Normal12"/>
        <w:spacing w:before="360"/>
        <w:rPr>
          <w:i/>
          <w:szCs w:val="24"/>
          <w:lang w:val="lv-LV"/>
        </w:rPr>
      </w:pPr>
      <w:bookmarkStart w:id="7" w:name="TextBodyBegin"/>
      <w:bookmarkEnd w:id="7"/>
      <w:r w:rsidRPr="00CD685B">
        <w:rPr>
          <w:i/>
          <w:szCs w:val="24"/>
          <w:lang w:val="lv-LV"/>
        </w:rPr>
        <w:t>Eiropas Parlaments,</w:t>
      </w:r>
    </w:p>
    <w:p w:rsidR="009A50F1" w:rsidRPr="00CD685B" w:rsidRDefault="009A50F1" w:rsidP="009A50F1">
      <w:pPr>
        <w:pStyle w:val="NormalHanging12a"/>
      </w:pPr>
      <w:r w:rsidRPr="00CD685B">
        <w:t>–</w:t>
      </w:r>
      <w:r w:rsidRPr="00CD685B">
        <w:tab/>
        <w:t>ņemot vērā Komisijas priekšlikumu Eiropas Parlamentam un Padomei (COM(2025)01</w:t>
      </w:r>
      <w:r w:rsidR="00A01DF9" w:rsidRPr="00CD685B">
        <w:t>4</w:t>
      </w:r>
      <w:r w:rsidRPr="00CD685B">
        <w:t>6),</w:t>
      </w:r>
    </w:p>
    <w:p w:rsidR="009A50F1" w:rsidRPr="00CD685B" w:rsidRDefault="009A50F1" w:rsidP="009A50F1">
      <w:pPr>
        <w:pStyle w:val="NormalHanging12a"/>
      </w:pPr>
      <w:r w:rsidRPr="00CD685B">
        <w:t>–</w:t>
      </w:r>
      <w:r w:rsidRPr="00CD685B">
        <w:tab/>
        <w:t>ņemot vērā Līguma par Eiropas Savienības darbību 294. panta 2. punktu un 114. </w:t>
      </w:r>
      <w:r w:rsidR="00A01DF9" w:rsidRPr="00CD685B">
        <w:t>pantu</w:t>
      </w:r>
      <w:r w:rsidRPr="00CD685B">
        <w:t>, saskaņā ar kuriem Komisija tam ir iesniegusi priekšlikumu (C10</w:t>
      </w:r>
      <w:r w:rsidRPr="00CD685B">
        <w:noBreakHyphen/>
        <w:t>00</w:t>
      </w:r>
      <w:r w:rsidR="00A01DF9" w:rsidRPr="00CD685B">
        <w:t>59</w:t>
      </w:r>
      <w:r w:rsidRPr="00CD685B">
        <w:t>/2025),</w:t>
      </w:r>
    </w:p>
    <w:p w:rsidR="009A50F1" w:rsidRPr="00CD685B" w:rsidRDefault="009A50F1" w:rsidP="009A50F1">
      <w:pPr>
        <w:pStyle w:val="NormalHanging12a"/>
      </w:pPr>
      <w:r w:rsidRPr="00CD685B">
        <w:t>–</w:t>
      </w:r>
      <w:r w:rsidRPr="00CD685B">
        <w:tab/>
        <w:t>ņemot vērā Līguma par Eiropas Savienības darbību 294. panta 3. punktu,</w:t>
      </w:r>
    </w:p>
    <w:p w:rsidR="004858B5" w:rsidRPr="00CD685B" w:rsidRDefault="004858B5" w:rsidP="004858B5">
      <w:pPr>
        <w:pStyle w:val="Normal12Hanging"/>
        <w:widowControl/>
        <w:ind w:left="567" w:hanging="567"/>
        <w:rPr>
          <w:lang w:val="lv-LV"/>
        </w:rPr>
      </w:pPr>
      <w:r w:rsidRPr="00CD685B">
        <w:rPr>
          <w:lang w:val="lv-LV"/>
        </w:rPr>
        <w:t>–</w:t>
      </w:r>
      <w:r w:rsidRPr="00CD685B">
        <w:rPr>
          <w:lang w:val="lv-LV"/>
        </w:rPr>
        <w:tab/>
        <w:t>ņemot vērā Eiropas Centrālās bankas 2025. gada 2. maija atzinumu</w:t>
      </w:r>
      <w:r w:rsidRPr="00CD685B">
        <w:rPr>
          <w:rStyle w:val="FootnoteReference"/>
          <w:rFonts w:eastAsia="Calibri"/>
          <w:noProof/>
          <w:szCs w:val="22"/>
        </w:rPr>
        <w:footnoteReference w:id="1"/>
      </w:r>
      <w:r w:rsidRPr="00CD685B">
        <w:rPr>
          <w:rFonts w:eastAsia="Calibri"/>
          <w:noProof/>
          <w:szCs w:val="22"/>
          <w:lang w:val="lv-LV"/>
        </w:rPr>
        <w:t>,</w:t>
      </w:r>
    </w:p>
    <w:p w:rsidR="009A50F1" w:rsidRPr="00CD685B" w:rsidRDefault="009A50F1" w:rsidP="009A50F1">
      <w:pPr>
        <w:pStyle w:val="NormalHanging12a"/>
        <w:rPr>
          <w:rFonts w:cs="Mangal"/>
          <w:lang w:bidi="sa-IN"/>
        </w:rPr>
      </w:pPr>
      <w:r w:rsidRPr="00CD685B">
        <w:rPr>
          <w:rFonts w:cs="Mangal"/>
          <w:lang w:bidi="sa-IN"/>
        </w:rPr>
        <w:t>–</w:t>
      </w:r>
      <w:r w:rsidRPr="00CD685B">
        <w:rPr>
          <w:rFonts w:cs="Mangal"/>
          <w:lang w:bidi="sa-IN"/>
        </w:rPr>
        <w:tab/>
        <w:t>ņemot vērā Eiropas Ekonomikas un sociālo lietu komitejas 2025. gada 29. aprīļa atzinumu</w:t>
      </w:r>
      <w:r w:rsidRPr="00CD685B">
        <w:rPr>
          <w:rStyle w:val="FootnoteReference"/>
          <w:rFonts w:cs="Mangal"/>
          <w:lang w:bidi="sa-IN"/>
        </w:rPr>
        <w:footnoteReference w:id="2"/>
      </w:r>
      <w:r w:rsidRPr="00CD685B">
        <w:rPr>
          <w:rFonts w:cs="Mangal"/>
          <w:lang w:bidi="sa-IN"/>
        </w:rPr>
        <w:t>,</w:t>
      </w:r>
    </w:p>
    <w:p w:rsidR="009A50F1" w:rsidRPr="00CD685B" w:rsidRDefault="009A50F1" w:rsidP="009A50F1">
      <w:pPr>
        <w:pStyle w:val="NormalHanging12a"/>
      </w:pPr>
      <w:r w:rsidRPr="00CD685B">
        <w:t>–</w:t>
      </w:r>
      <w:r w:rsidRPr="00CD685B">
        <w:tab/>
        <w:t>ņemot vērā Reglamenta 60. un 170. pantu,</w:t>
      </w:r>
    </w:p>
    <w:p w:rsidR="009A50F1" w:rsidRPr="00CD685B" w:rsidRDefault="009A50F1" w:rsidP="009A50F1">
      <w:pPr>
        <w:pStyle w:val="NormalHanging12a"/>
      </w:pPr>
      <w:r w:rsidRPr="00CD685B">
        <w:t>1.</w:t>
      </w:r>
      <w:r w:rsidRPr="00CD685B">
        <w:tab/>
        <w:t>pieņem pirmajā lasījumā turpmāk izklāstīto nostāju;</w:t>
      </w:r>
    </w:p>
    <w:p w:rsidR="009A50F1" w:rsidRPr="00CD685B" w:rsidRDefault="009A50F1" w:rsidP="009A50F1">
      <w:pPr>
        <w:pStyle w:val="NormalHanging12a"/>
        <w:rPr>
          <w:szCs w:val="24"/>
        </w:rPr>
      </w:pPr>
      <w:r w:rsidRPr="00CD685B">
        <w:t>2.</w:t>
      </w:r>
      <w:r w:rsidRPr="00CD685B">
        <w:tab/>
        <w:t>prasa Komisijai priekšlikumu Parlamentam iesniegt vēlreiz, ja tā savu priekšlikumu aizstāj, būtiski groza vai ir paredzējusi to būtiski grozīt;</w:t>
      </w:r>
    </w:p>
    <w:p w:rsidR="009A50F1" w:rsidRPr="00CD685B" w:rsidRDefault="009A50F1" w:rsidP="009A50F1">
      <w:pPr>
        <w:pStyle w:val="NormalHanging12a"/>
        <w:rPr>
          <w:b/>
        </w:rPr>
      </w:pPr>
      <w:r w:rsidRPr="00CD685B">
        <w:t>3.</w:t>
      </w:r>
      <w:r w:rsidRPr="00CD685B">
        <w:tab/>
        <w:t xml:space="preserve">uzdod priekšsēdētājai Parlamenta nostāju nosūtīt Padomei un Komisijai, kā arī </w:t>
      </w:r>
      <w:r w:rsidRPr="00CD685B">
        <w:lastRenderedPageBreak/>
        <w:t>dalībvalstu parlamentiem.</w:t>
      </w:r>
    </w:p>
    <w:p w:rsidR="00BF24B0" w:rsidRDefault="00BF24B0">
      <w:pPr>
        <w:rPr>
          <w:b/>
          <w:lang w:val="lv-LV"/>
        </w:rPr>
        <w:sectPr w:rsidR="00BF24B0"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rsidR="009A50F1" w:rsidRPr="00CD685B" w:rsidRDefault="009A50F1" w:rsidP="009A50F1">
      <w:pPr>
        <w:pStyle w:val="NormalHanging12a"/>
        <w:rPr>
          <w:b/>
        </w:rPr>
      </w:pPr>
      <w:r w:rsidRPr="00CD685B">
        <w:rPr>
          <w:b/>
        </w:rPr>
        <w:lastRenderedPageBreak/>
        <w:t>P10_TC1-COD(2025)007</w:t>
      </w:r>
      <w:r w:rsidR="004858B5" w:rsidRPr="00CD685B">
        <w:rPr>
          <w:b/>
        </w:rPr>
        <w:t>7</w:t>
      </w:r>
    </w:p>
    <w:p w:rsidR="009A50F1" w:rsidRPr="00150AB5" w:rsidRDefault="009A50F1" w:rsidP="009A50F1">
      <w:pPr>
        <w:pStyle w:val="Titreobjet"/>
        <w:spacing w:before="120"/>
        <w:jc w:val="left"/>
        <w:rPr>
          <w:lang w:val="lv-LV"/>
        </w:rPr>
      </w:pPr>
      <w:r w:rsidRPr="00CD685B">
        <w:rPr>
          <w:lang w:val="lv-LV"/>
        </w:rPr>
        <w:t xml:space="preserve">Eiropas Parlamenta nostāja, pieņemta pirmajā lasījumā 2025. gada </w:t>
      </w:r>
      <w:r w:rsidR="004858B5" w:rsidRPr="00CD685B">
        <w:rPr>
          <w:lang w:val="lv-LV"/>
        </w:rPr>
        <w:t>22</w:t>
      </w:r>
      <w:r w:rsidRPr="00CD685B">
        <w:rPr>
          <w:lang w:val="lv-LV"/>
        </w:rPr>
        <w:t>. maijā, lai pieņemtu Eiropas Parlamenta un Padomes Regul</w:t>
      </w:r>
      <w:r w:rsidR="00620D50" w:rsidRPr="00CD685B">
        <w:rPr>
          <w:lang w:val="lv-LV"/>
        </w:rPr>
        <w:t>u</w:t>
      </w:r>
      <w:r w:rsidRPr="00CD685B">
        <w:rPr>
          <w:lang w:val="lv-LV"/>
        </w:rPr>
        <w:t xml:space="preserve"> (ES) 2025/..., </w:t>
      </w:r>
      <w:r w:rsidR="00150AB5" w:rsidRPr="00150AB5">
        <w:rPr>
          <w:rFonts w:eastAsia="Calibri"/>
          <w:lang w:val="lv-LV"/>
        </w:rPr>
        <w:t>ar ko groza Regulu (ES) Nr. 575/2013 attiecībā uz prasībām vērtspapīru finansēšanas darījumiem saskaņā ar neto stabila finansējuma rādītāju</w:t>
      </w:r>
    </w:p>
    <w:p w:rsidR="00150AB5" w:rsidRPr="00150AB5" w:rsidRDefault="00150AB5" w:rsidP="00150AB5">
      <w:pPr>
        <w:rPr>
          <w:i/>
          <w:lang w:val="lv-LV"/>
        </w:rPr>
      </w:pPr>
      <w:r w:rsidRPr="00150AB5">
        <w:rPr>
          <w:i/>
          <w:lang w:val="lv-LV"/>
        </w:rPr>
        <w:t>(Tā kā starp Parlamentu un Padomi tika panākta vienošanās, Parlamenta nostāja atbilst galīgajam tiesību aktam Regulai (ES) 2025/</w:t>
      </w:r>
      <w:r w:rsidRPr="00150AB5">
        <w:rPr>
          <w:i/>
          <w:lang w:val="lv-LV"/>
        </w:rPr>
        <w:t>1215</w:t>
      </w:r>
      <w:r w:rsidRPr="00150AB5">
        <w:rPr>
          <w:i/>
          <w:lang w:val="lv-LV"/>
        </w:rPr>
        <w:t>.)</w:t>
      </w:r>
    </w:p>
    <w:p w:rsidR="009A50F1" w:rsidRPr="00150AB5" w:rsidRDefault="009A50F1" w:rsidP="009F28EF">
      <w:pPr>
        <w:pStyle w:val="Normal12"/>
        <w:rPr>
          <w:szCs w:val="24"/>
          <w:lang w:val="lv-LV"/>
        </w:rPr>
      </w:pPr>
      <w:bookmarkStart w:id="8" w:name="_GoBack"/>
      <w:bookmarkEnd w:id="8"/>
    </w:p>
    <w:sectPr w:rsidR="009A50F1" w:rsidRPr="00150AB5" w:rsidSect="00BF24B0">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50F1" w:rsidRDefault="009A50F1" w:rsidP="009C4014">
      <w:r>
        <w:separator/>
      </w:r>
    </w:p>
  </w:endnote>
  <w:endnote w:type="continuationSeparator" w:id="0">
    <w:p w:rsidR="009A50F1" w:rsidRDefault="009A50F1"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50F1" w:rsidRDefault="009A50F1" w:rsidP="009C4014">
      <w:r>
        <w:separator/>
      </w:r>
    </w:p>
  </w:footnote>
  <w:footnote w:type="continuationSeparator" w:id="0">
    <w:p w:rsidR="009A50F1" w:rsidRDefault="009A50F1" w:rsidP="009C4014">
      <w:r>
        <w:continuationSeparator/>
      </w:r>
    </w:p>
  </w:footnote>
  <w:footnote w:id="1">
    <w:p w:rsidR="004858B5" w:rsidRPr="00246540" w:rsidRDefault="004858B5" w:rsidP="004858B5">
      <w:pPr>
        <w:pStyle w:val="FootnoteText"/>
        <w:keepLines w:val="0"/>
        <w:ind w:left="567" w:hanging="567"/>
        <w:rPr>
          <w:lang w:val="en-GB"/>
        </w:rPr>
      </w:pPr>
      <w:r>
        <w:rPr>
          <w:rStyle w:val="FootnoteReference"/>
        </w:rPr>
        <w:footnoteRef/>
      </w:r>
      <w:r w:rsidRPr="00246540">
        <w:rPr>
          <w:lang w:val="en-GB"/>
        </w:rPr>
        <w:t xml:space="preserve"> </w:t>
      </w:r>
      <w:r>
        <w:rPr>
          <w:lang w:val="en-GB"/>
        </w:rPr>
        <w:tab/>
      </w:r>
      <w:r w:rsidRPr="004858B5">
        <w:rPr>
          <w:rFonts w:cs="Mangal"/>
          <w:i/>
          <w:sz w:val="24"/>
          <w:szCs w:val="24"/>
          <w:lang w:val="en-GB" w:bidi="sa-IN"/>
        </w:rPr>
        <w:t>Oficiālājā Vēstnesī</w:t>
      </w:r>
      <w:r w:rsidRPr="004858B5">
        <w:rPr>
          <w:rFonts w:cs="Mangal"/>
          <w:sz w:val="24"/>
          <w:szCs w:val="24"/>
          <w:lang w:val="en-GB" w:bidi="sa-IN"/>
        </w:rPr>
        <w:t xml:space="preserve"> vēl nav publicēts.</w:t>
      </w:r>
    </w:p>
  </w:footnote>
  <w:footnote w:id="2">
    <w:p w:rsidR="009A50F1" w:rsidRPr="004858B5" w:rsidRDefault="009A50F1" w:rsidP="004858B5">
      <w:pPr>
        <w:pStyle w:val="FootnoteText"/>
        <w:keepLines w:val="0"/>
        <w:ind w:left="567" w:hanging="567"/>
        <w:rPr>
          <w:rFonts w:cs="Mangal"/>
          <w:sz w:val="24"/>
          <w:szCs w:val="24"/>
          <w:lang w:val="en-GB" w:bidi="sa-IN"/>
        </w:rPr>
      </w:pPr>
      <w:r w:rsidRPr="007C5DC2">
        <w:rPr>
          <w:rStyle w:val="FootnoteReference"/>
          <w:rFonts w:cs="Mangal"/>
          <w:sz w:val="24"/>
          <w:szCs w:val="24"/>
          <w:lang w:bidi="sa-IN"/>
        </w:rPr>
        <w:footnoteRef/>
      </w:r>
      <w:r w:rsidRPr="004858B5">
        <w:rPr>
          <w:rFonts w:cs="Mangal"/>
          <w:sz w:val="24"/>
          <w:szCs w:val="24"/>
          <w:lang w:val="en-GB" w:bidi="sa-IN"/>
        </w:rPr>
        <w:t xml:space="preserve"> </w:t>
      </w:r>
      <w:r w:rsidRPr="004858B5">
        <w:rPr>
          <w:rFonts w:cs="Mangal"/>
          <w:sz w:val="24"/>
          <w:szCs w:val="24"/>
          <w:lang w:val="en-GB" w:bidi="sa-IN"/>
        </w:rPr>
        <w:tab/>
      </w:r>
      <w:r w:rsidRPr="004858B5">
        <w:rPr>
          <w:rFonts w:cs="Mangal"/>
          <w:i/>
          <w:sz w:val="24"/>
          <w:szCs w:val="24"/>
          <w:lang w:val="en-GB" w:bidi="sa-IN"/>
        </w:rPr>
        <w:t>Oficiālājā Vēstnesī</w:t>
      </w:r>
      <w:r w:rsidRPr="004858B5">
        <w:rPr>
          <w:rFonts w:cs="Mangal"/>
          <w:sz w:val="24"/>
          <w:szCs w:val="24"/>
          <w:lang w:val="en-GB" w:bidi="sa-IN"/>
        </w:rPr>
        <w:t xml:space="preserve"> vēl nav publicēts.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0F1"/>
    <w:rsid w:val="00013B2A"/>
    <w:rsid w:val="000C2BFE"/>
    <w:rsid w:val="000F27A9"/>
    <w:rsid w:val="000F6208"/>
    <w:rsid w:val="00116D39"/>
    <w:rsid w:val="00125CBC"/>
    <w:rsid w:val="00150AB5"/>
    <w:rsid w:val="00172070"/>
    <w:rsid w:val="00185E15"/>
    <w:rsid w:val="001D4BBF"/>
    <w:rsid w:val="001D63A8"/>
    <w:rsid w:val="002924A9"/>
    <w:rsid w:val="002A1D4E"/>
    <w:rsid w:val="002B4BCF"/>
    <w:rsid w:val="002F1925"/>
    <w:rsid w:val="00300C61"/>
    <w:rsid w:val="00312A38"/>
    <w:rsid w:val="003202DD"/>
    <w:rsid w:val="003775B9"/>
    <w:rsid w:val="00397B2A"/>
    <w:rsid w:val="003E1189"/>
    <w:rsid w:val="003F4DFE"/>
    <w:rsid w:val="00425111"/>
    <w:rsid w:val="00451C48"/>
    <w:rsid w:val="0047030E"/>
    <w:rsid w:val="004858B5"/>
    <w:rsid w:val="004E6A17"/>
    <w:rsid w:val="004F2EA7"/>
    <w:rsid w:val="00520780"/>
    <w:rsid w:val="00525ED0"/>
    <w:rsid w:val="00534CAB"/>
    <w:rsid w:val="00547BB1"/>
    <w:rsid w:val="00591365"/>
    <w:rsid w:val="005A2421"/>
    <w:rsid w:val="005B23C9"/>
    <w:rsid w:val="005F0CA1"/>
    <w:rsid w:val="005F35F8"/>
    <w:rsid w:val="00603B14"/>
    <w:rsid w:val="00620D50"/>
    <w:rsid w:val="006656E5"/>
    <w:rsid w:val="00666512"/>
    <w:rsid w:val="00683F78"/>
    <w:rsid w:val="00684420"/>
    <w:rsid w:val="006A1E82"/>
    <w:rsid w:val="006A7C85"/>
    <w:rsid w:val="006A7CE5"/>
    <w:rsid w:val="006B1646"/>
    <w:rsid w:val="006D7258"/>
    <w:rsid w:val="006E5420"/>
    <w:rsid w:val="006F135E"/>
    <w:rsid w:val="00751383"/>
    <w:rsid w:val="00754DD5"/>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865B7"/>
    <w:rsid w:val="009A50F1"/>
    <w:rsid w:val="009B7E10"/>
    <w:rsid w:val="009C4014"/>
    <w:rsid w:val="009F28EF"/>
    <w:rsid w:val="00A01DF9"/>
    <w:rsid w:val="00A1739E"/>
    <w:rsid w:val="00B54C72"/>
    <w:rsid w:val="00B85C1E"/>
    <w:rsid w:val="00BF24B0"/>
    <w:rsid w:val="00C15516"/>
    <w:rsid w:val="00C16C81"/>
    <w:rsid w:val="00C57739"/>
    <w:rsid w:val="00C65BE8"/>
    <w:rsid w:val="00CB451F"/>
    <w:rsid w:val="00CC4897"/>
    <w:rsid w:val="00CD685B"/>
    <w:rsid w:val="00D202A4"/>
    <w:rsid w:val="00D91669"/>
    <w:rsid w:val="00DF097A"/>
    <w:rsid w:val="00DF53A8"/>
    <w:rsid w:val="00E039BF"/>
    <w:rsid w:val="00E11822"/>
    <w:rsid w:val="00E73B02"/>
    <w:rsid w:val="00E74BF3"/>
    <w:rsid w:val="00E94598"/>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B07ED1"/>
  <w15:chartTrackingRefBased/>
  <w15:docId w15:val="{5B920BAC-73AC-439B-81D1-B1CAB8AB4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uiPriority w:val="99"/>
    <w:rsid w:val="009A50F1"/>
    <w:rPr>
      <w:color w:val="0000FF"/>
      <w:u w:val="single"/>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9A50F1"/>
    <w:rPr>
      <w:sz w:val="22"/>
      <w:lang w:val="fr-FR"/>
    </w:rPr>
  </w:style>
  <w:style w:type="paragraph" w:customStyle="1" w:styleId="NormalHanging12a">
    <w:name w:val="NormalHanging12a"/>
    <w:basedOn w:val="Normal"/>
    <w:rsid w:val="009A50F1"/>
    <w:pPr>
      <w:widowControl w:val="0"/>
      <w:spacing w:after="240"/>
      <w:ind w:left="567" w:hanging="567"/>
    </w:pPr>
    <w:rPr>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9A50F1"/>
    <w:pPr>
      <w:spacing w:after="160" w:line="240" w:lineRule="exact"/>
    </w:pPr>
    <w:rPr>
      <w:sz w:val="20"/>
      <w:vertAlign w:val="superscript"/>
      <w:lang w:val="en-GB"/>
    </w:rPr>
  </w:style>
  <w:style w:type="paragraph" w:customStyle="1" w:styleId="Titreobjet">
    <w:name w:val="Titre objet"/>
    <w:basedOn w:val="Normal"/>
    <w:next w:val="Normal"/>
    <w:rsid w:val="009A50F1"/>
    <w:pPr>
      <w:spacing w:before="360" w:after="360"/>
      <w:jc w:val="center"/>
    </w:pPr>
    <w:rPr>
      <w:rFonts w:eastAsiaTheme="minorHAnsi"/>
      <w:b/>
      <w:szCs w:val="22"/>
      <w:lang w:val="en-GB" w:eastAsia="en-US"/>
    </w:rPr>
  </w:style>
  <w:style w:type="paragraph" w:styleId="BalloonText">
    <w:name w:val="Balloon Text"/>
    <w:basedOn w:val="Normal"/>
    <w:link w:val="BalloonTextChar"/>
    <w:rsid w:val="00A01DF9"/>
    <w:rPr>
      <w:rFonts w:ascii="Segoe UI" w:hAnsi="Segoe UI" w:cs="Segoe UI"/>
      <w:sz w:val="18"/>
      <w:szCs w:val="18"/>
    </w:rPr>
  </w:style>
  <w:style w:type="character" w:customStyle="1" w:styleId="BalloonTextChar">
    <w:name w:val="Balloon Text Char"/>
    <w:basedOn w:val="DefaultParagraphFont"/>
    <w:link w:val="BalloonText"/>
    <w:rsid w:val="00A01DF9"/>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F7F10-B3C1-4632-BB64-7F9630FDC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244</Words>
  <Characters>1774</Characters>
  <Application>Microsoft Office Word</Application>
  <DocSecurity>0</DocSecurity>
  <Lines>50</Lines>
  <Paragraphs>30</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MERSCH Larisa</dc:creator>
  <cp:keywords/>
  <cp:lastModifiedBy>MERSCH Larisa</cp:lastModifiedBy>
  <cp:revision>2</cp:revision>
  <cp:lastPrinted>2014-08-07T13:15:00Z</cp:lastPrinted>
  <dcterms:created xsi:type="dcterms:W3CDTF">2025-07-10T08:42:00Z</dcterms:created>
  <dcterms:modified xsi:type="dcterms:W3CDTF">2025-07-10T08:42:00Z</dcterms:modified>
</cp:coreProperties>
</file>