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FF247F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 Ewropew</w:t>
            </w:r>
          </w:p>
          <w:p w:rsidR="00757DD5" w:rsidRPr="00695D15" w:rsidRDefault="00FF247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FF247F" w:rsidRDefault="00FF247F" w:rsidP="008E7632">
      <w:pPr>
        <w:pStyle w:val="ZSessionDoc"/>
        <w:rPr>
          <w:b/>
          <w:i w:val="0"/>
        </w:rPr>
      </w:pPr>
      <w:r w:rsidRPr="00FF247F">
        <w:rPr>
          <w:b/>
          <w:i w:val="0"/>
        </w:rPr>
        <w:t>TESTI ADOTTATI</w:t>
      </w:r>
    </w:p>
    <w:p w:rsidR="008E7632" w:rsidRPr="00061199" w:rsidRDefault="00FF247F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:rsidR="009C4014" w:rsidRPr="006E5420" w:rsidRDefault="00FF247F" w:rsidP="008E7632">
      <w:pPr>
        <w:pStyle w:val="ATHeading1"/>
        <w:spacing w:before="480"/>
        <w:rPr>
          <w:lang w:val="en-GB"/>
        </w:rPr>
      </w:pPr>
      <w:bookmarkStart w:id="0" w:name="TA_Heading"/>
      <w:r w:rsidRPr="00FF247F">
        <w:rPr>
          <w:lang w:val="en-GB"/>
        </w:rPr>
        <w:t>P10_TA(2025)</w:t>
      </w:r>
      <w:bookmarkStart w:id="1" w:name="TANumber"/>
      <w:bookmarkEnd w:id="0"/>
      <w:r w:rsidRPr="00FF247F">
        <w:rPr>
          <w:lang w:val="en-GB"/>
        </w:rPr>
        <w:t>0</w:t>
      </w:r>
      <w:bookmarkEnd w:id="1"/>
      <w:r w:rsidR="00EF600B">
        <w:rPr>
          <w:lang w:val="en-GB"/>
        </w:rPr>
        <w:t>111</w:t>
      </w:r>
    </w:p>
    <w:p w:rsidR="009C4014" w:rsidRPr="00FF247F" w:rsidRDefault="00FF247F" w:rsidP="00FF247F">
      <w:pPr>
        <w:pStyle w:val="ATHeading2"/>
        <w:rPr>
          <w:lang w:val="en-GB"/>
        </w:rPr>
      </w:pPr>
      <w:bookmarkStart w:id="2" w:name="title"/>
      <w:r w:rsidRPr="00FF247F">
        <w:rPr>
          <w:lang w:val="en-GB"/>
        </w:rPr>
        <w:t>Emenda tar-Regolament dwar ir-Rekwiżiti ta’ Kapital fir-rigward ta’ tranżazzjonijiet ta’ finanzjament tat-titoli skont il-proporzjon ta’ finanzjament stabbli nett</w:t>
      </w:r>
      <w:bookmarkEnd w:id="2"/>
      <w:r w:rsidR="009C4014" w:rsidRPr="00FF247F">
        <w:rPr>
          <w:lang w:val="en-GB"/>
        </w:rPr>
        <w:t xml:space="preserve"> </w:t>
      </w:r>
      <w:bookmarkStart w:id="3" w:name="Etoiles"/>
      <w:bookmarkEnd w:id="3"/>
    </w:p>
    <w:p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FF247F" w:rsidRPr="00FF247F">
        <w:rPr>
          <w:i/>
          <w:lang w:val="en-GB"/>
        </w:rPr>
        <w:instrText>(C10-0059/2025</w:instrText>
      </w:r>
      <w:r w:rsidR="00910EB5">
        <w:rPr>
          <w:i/>
          <w:lang w:val="en-GB"/>
        </w:rPr>
        <w:instrText xml:space="preserve"> - Jonás Fernández</w:instrText>
      </w:r>
      <w:r w:rsidR="00FF247F" w:rsidRPr="00FF247F">
        <w:rPr>
          <w:i/>
          <w:lang w:val="en-GB"/>
        </w:rPr>
        <w:instrText>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:rsidR="00FF247F" w:rsidRPr="00FF247F" w:rsidRDefault="00FF247F" w:rsidP="009C4014">
      <w:pPr>
        <w:rPr>
          <w:vanish/>
          <w:lang w:val="en-GB"/>
        </w:rPr>
      </w:pPr>
      <w:bookmarkStart w:id="5" w:name="Commission"/>
      <w:r w:rsidRPr="00FF247F">
        <w:rPr>
          <w:vanish/>
          <w:lang w:val="en-GB"/>
        </w:rPr>
        <w:t>Affarijiet Ekonomiċi u Monetarji</w:t>
      </w:r>
    </w:p>
    <w:p w:rsidR="009C4014" w:rsidRPr="006E5420" w:rsidRDefault="00FF247F" w:rsidP="009C4014">
      <w:pPr>
        <w:rPr>
          <w:vanish/>
          <w:lang w:val="en-GB"/>
        </w:rPr>
      </w:pPr>
      <w:bookmarkStart w:id="6" w:name="PE"/>
      <w:bookmarkEnd w:id="5"/>
      <w:r w:rsidRPr="00FF247F">
        <w:rPr>
          <w:vanish/>
          <w:lang w:val="en-GB"/>
        </w:rPr>
        <w:t>PE773.631</w:t>
      </w:r>
      <w:bookmarkEnd w:id="6"/>
    </w:p>
    <w:p w:rsidR="00FF247F" w:rsidRPr="00FF247F" w:rsidRDefault="00FF247F" w:rsidP="00FF247F">
      <w:pPr>
        <w:pStyle w:val="ATHeading3"/>
        <w:rPr>
          <w:lang w:val="en-GB"/>
        </w:rPr>
      </w:pPr>
      <w:bookmarkStart w:id="7" w:name="References"/>
      <w:r w:rsidRPr="00FF247F">
        <w:rPr>
          <w:lang w:val="en-GB"/>
        </w:rPr>
        <w:t xml:space="preserve">Riżoluzzjoni leġiżlattiva tal-Parlament Ewropew tat-22 ta' Mejju 2025 dwar il-proposta </w:t>
      </w:r>
      <w:r>
        <w:rPr>
          <w:lang w:val="en-GB"/>
        </w:rPr>
        <w:t>għal regolament tal-Parlament Ewropew u tal-Kunsill li jemenda r-Regolament (UE) Nru 575/2013 dwar ir-</w:t>
      </w:r>
      <w:r w:rsidRPr="00FF247F">
        <w:rPr>
          <w:lang w:val="en-GB"/>
        </w:rPr>
        <w:t>rekwiżiti prudenzjali għall-istituzzjonijiet ta’ kreditu fir-rigward tar-rekwiżiti għal tranżazzjonijiet ta’ finanzjament tat-titoli skont il-proporzjon ta’ finanzjament stabbli nett</w:t>
      </w:r>
      <w:r>
        <w:rPr>
          <w:lang w:val="en-GB"/>
        </w:rPr>
        <w:t xml:space="preserve"> </w:t>
      </w:r>
      <w:r w:rsidRPr="00370748">
        <w:rPr>
          <w:lang w:val="en-GB"/>
        </w:rPr>
        <w:t>(</w:t>
      </w:r>
      <w:r>
        <w:rPr>
          <w:lang w:val="en-GB"/>
        </w:rPr>
        <w:t xml:space="preserve">COM(2025)0146 </w:t>
      </w:r>
      <w:r w:rsidRPr="009E78FE">
        <w:rPr>
          <w:lang w:val="en-GB"/>
        </w:rPr>
        <w:t>–</w:t>
      </w:r>
      <w:r>
        <w:rPr>
          <w:lang w:val="en-GB"/>
        </w:rPr>
        <w:t xml:space="preserve"> C10-0059/2025 </w:t>
      </w:r>
      <w:r w:rsidRPr="009E78FE">
        <w:rPr>
          <w:lang w:val="en-GB"/>
        </w:rPr>
        <w:t>–</w:t>
      </w:r>
      <w:r>
        <w:rPr>
          <w:lang w:val="en-GB"/>
        </w:rPr>
        <w:t xml:space="preserve"> </w:t>
      </w:r>
      <w:r w:rsidRPr="00370748">
        <w:rPr>
          <w:lang w:val="en-GB"/>
        </w:rPr>
        <w:t>2025/0077(COD))</w:t>
      </w:r>
    </w:p>
    <w:bookmarkEnd w:id="7"/>
    <w:p w:rsidR="004B1991" w:rsidRPr="004B1991" w:rsidRDefault="004B1991" w:rsidP="004B1991">
      <w:pPr>
        <w:rPr>
          <w:b/>
          <w:lang w:val="en-GB"/>
        </w:rPr>
      </w:pPr>
      <w:r w:rsidRPr="004B1991">
        <w:rPr>
          <w:b/>
          <w:lang w:val="en-GB"/>
        </w:rPr>
        <w:t>(Proċedura leġiżlattiva ordinarja: l-ewwel qari)</w:t>
      </w:r>
    </w:p>
    <w:p w:rsidR="006E5420" w:rsidRPr="004B1991" w:rsidRDefault="00FF247F" w:rsidP="008B1C2E">
      <w:pPr>
        <w:pStyle w:val="Normal12"/>
        <w:spacing w:before="360"/>
        <w:rPr>
          <w:i/>
          <w:lang w:val="sv-SE"/>
        </w:rPr>
      </w:pPr>
      <w:bookmarkStart w:id="8" w:name="TextBodyBegin"/>
      <w:bookmarkEnd w:id="8"/>
      <w:r w:rsidRPr="004B1991">
        <w:rPr>
          <w:i/>
          <w:lang w:val="sv-SE"/>
        </w:rPr>
        <w:t>Il-Parlament Ewropew,</w:t>
      </w:r>
    </w:p>
    <w:p w:rsidR="00FF247F" w:rsidRPr="00910EB5" w:rsidRDefault="00FF247F" w:rsidP="00FF247F">
      <w:pPr>
        <w:pStyle w:val="Normal12"/>
        <w:ind w:left="567" w:hanging="567"/>
        <w:rPr>
          <w:lang w:val="sv-SE"/>
        </w:rPr>
      </w:pPr>
      <w:r w:rsidRPr="00910EB5">
        <w:rPr>
          <w:lang w:val="sv-SE"/>
        </w:rPr>
        <w:t>–</w:t>
      </w:r>
      <w:r w:rsidRPr="00910EB5">
        <w:rPr>
          <w:lang w:val="sv-SE"/>
        </w:rPr>
        <w:tab/>
        <w:t>wara li kkunsidra l-proposta tal-Kummissjoni lill-Parlament Ewropew u lill-Kunsill (COM(2025)0146),</w:t>
      </w:r>
    </w:p>
    <w:p w:rsidR="00FF247F" w:rsidRPr="00910EB5" w:rsidRDefault="00FF247F" w:rsidP="00FF247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sv-SE"/>
        </w:rPr>
      </w:pPr>
      <w:r w:rsidRPr="006F53B6">
        <w:rPr>
          <w:lang w:val="mt-MT"/>
        </w:rPr>
        <w:t>–</w:t>
      </w:r>
      <w:r w:rsidRPr="006F53B6">
        <w:rPr>
          <w:lang w:val="mt-MT"/>
        </w:rPr>
        <w:tab/>
        <w:t xml:space="preserve">wara li kkunsidra l-Artikolu 294(2) u l-Artikolu 114, tat-Trattat dwar il-Funzjonament tal-Unjoni Ewropea, skont liema artikoli l-Kummissjoni ppreżentat il-proposta lill-Parlament </w:t>
      </w:r>
      <w:r w:rsidRPr="00910EB5">
        <w:rPr>
          <w:lang w:val="sv-SE"/>
        </w:rPr>
        <w:t>(C10-0059/2025),</w:t>
      </w:r>
    </w:p>
    <w:p w:rsidR="00FF247F" w:rsidRDefault="00FF247F" w:rsidP="00FF247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>wara li kkunsidra l-Artikolu 294(3) tat-Trattat dwar il-Funzjonament tal-Unjoni Ewropea,</w:t>
      </w:r>
    </w:p>
    <w:p w:rsidR="00FF247F" w:rsidRPr="006F53B6" w:rsidRDefault="00FF247F" w:rsidP="00FF247F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>wara li kkunsidra l-opinjoni tal-</w:t>
      </w:r>
      <w:r>
        <w:rPr>
          <w:lang w:val="mt-MT"/>
        </w:rPr>
        <w:t>Bank Ċentrali Ewropew tat-2 ta’ Mejju 2025</w:t>
      </w:r>
      <w:r>
        <w:rPr>
          <w:rStyle w:val="FootnoteReference"/>
          <w:lang w:val="mt-MT"/>
        </w:rPr>
        <w:footnoteReference w:id="1"/>
      </w:r>
      <w:r>
        <w:rPr>
          <w:lang w:val="mt-MT"/>
        </w:rPr>
        <w:t>,</w:t>
      </w:r>
    </w:p>
    <w:p w:rsidR="00FF247F" w:rsidRPr="006F53B6" w:rsidRDefault="00FF247F" w:rsidP="00FF247F">
      <w:pPr>
        <w:pStyle w:val="Normal12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>wara li kkunsidra l-opinjoni tal-Kumitat Ekonomiku u Soċjali Ewropew tad-29 ta’ April 2025</w:t>
      </w:r>
      <w:r w:rsidRPr="006F53B6">
        <w:rPr>
          <w:rStyle w:val="FootnoteReference"/>
          <w:lang w:val="mt-MT"/>
        </w:rPr>
        <w:footnoteReference w:id="2"/>
      </w:r>
      <w:r w:rsidRPr="006F53B6">
        <w:rPr>
          <w:lang w:val="mt-MT"/>
        </w:rPr>
        <w:t>,</w:t>
      </w:r>
    </w:p>
    <w:p w:rsidR="00FF247F" w:rsidRPr="006F53B6" w:rsidRDefault="00FF247F" w:rsidP="00FF247F">
      <w:pPr>
        <w:pStyle w:val="Normal12"/>
        <w:ind w:left="567" w:hanging="567"/>
        <w:rPr>
          <w:lang w:val="mt-MT"/>
        </w:rPr>
      </w:pPr>
      <w:r w:rsidRPr="006F53B6">
        <w:rPr>
          <w:lang w:val="mt-MT"/>
        </w:rPr>
        <w:t>–</w:t>
      </w:r>
      <w:r w:rsidRPr="006F53B6">
        <w:rPr>
          <w:lang w:val="mt-MT"/>
        </w:rPr>
        <w:tab/>
        <w:t>wara li kkunsidra l-Artikoli 60 u 170 tar-Regoli ta’ Proċedura tiegħu,</w:t>
      </w:r>
    </w:p>
    <w:p w:rsidR="00FF247F" w:rsidRPr="006F53B6" w:rsidRDefault="00FF247F" w:rsidP="00FF247F">
      <w:pPr>
        <w:pStyle w:val="Normal12"/>
        <w:ind w:left="567" w:hanging="567"/>
        <w:rPr>
          <w:lang w:val="mt-MT"/>
        </w:rPr>
      </w:pPr>
      <w:r w:rsidRPr="006F53B6">
        <w:rPr>
          <w:lang w:val="mt-MT"/>
        </w:rPr>
        <w:t>1.</w:t>
      </w:r>
      <w:r w:rsidRPr="006F53B6">
        <w:rPr>
          <w:lang w:val="mt-MT"/>
        </w:rPr>
        <w:tab/>
        <w:t>Jadotta l-pożizzjoni tiegħu fl-ewwel qari li tidher hawn taħt;</w:t>
      </w:r>
    </w:p>
    <w:p w:rsidR="00FF247F" w:rsidRPr="006F53B6" w:rsidRDefault="00FF247F" w:rsidP="00FF247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6F53B6">
        <w:rPr>
          <w:lang w:val="mt-MT"/>
        </w:rPr>
        <w:lastRenderedPageBreak/>
        <w:t>2.</w:t>
      </w:r>
      <w:r w:rsidRPr="006F53B6">
        <w:rPr>
          <w:lang w:val="mt-MT"/>
        </w:rPr>
        <w:tab/>
        <w:t>Jitlob lill-Kummissjoni terġa’ tirreferi l-kwistjoni lill-Parlament jekk tibdel il-proposta tagħha, temendaha b’mod sustanzjali jew ikollha l-ħsieb li temendaha b’mod sustanzjali;</w:t>
      </w:r>
    </w:p>
    <w:p w:rsidR="00B61369" w:rsidRDefault="00FF247F" w:rsidP="00FF247F">
      <w:pPr>
        <w:pStyle w:val="Normal12"/>
        <w:ind w:left="567" w:hanging="567"/>
        <w:rPr>
          <w:lang w:val="hu-HU"/>
        </w:rPr>
        <w:sectPr w:rsidR="00B6136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6F53B6">
        <w:rPr>
          <w:szCs w:val="24"/>
          <w:lang w:val="mt-MT"/>
        </w:rPr>
        <w:t>3.</w:t>
      </w:r>
      <w:r w:rsidRPr="006F53B6">
        <w:rPr>
          <w:szCs w:val="24"/>
          <w:lang w:val="mt-MT"/>
        </w:rPr>
        <w:tab/>
      </w:r>
      <w:r w:rsidRPr="006F53B6">
        <w:rPr>
          <w:lang w:val="mt-MT"/>
        </w:rPr>
        <w:t>Jagħti istruzzjonijiet lill-President tiegħu biex tgħaddi l-pożizzjoni tal-Parlament lill-Kunsill u lill-Kummissjoni kif u</w:t>
      </w:r>
      <w:r>
        <w:rPr>
          <w:lang w:val="mt-MT"/>
        </w:rPr>
        <w:t>koll lill-parlamenti nazzjonali</w:t>
      </w:r>
      <w:r>
        <w:rPr>
          <w:lang w:val="hu-HU"/>
        </w:rPr>
        <w:t>.</w:t>
      </w:r>
    </w:p>
    <w:p w:rsidR="00B61369" w:rsidRPr="00B61369" w:rsidRDefault="00B61369" w:rsidP="00B61369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hu-HU"/>
        </w:rPr>
      </w:pPr>
      <w:r w:rsidRPr="00B61369">
        <w:rPr>
          <w:b/>
          <w:bCs/>
          <w:color w:val="000000"/>
          <w:lang w:val="hu-HU"/>
        </w:rPr>
        <w:lastRenderedPageBreak/>
        <w:t>P10_TC1-COD(2025)0077</w:t>
      </w:r>
    </w:p>
    <w:p w:rsidR="009F28EF" w:rsidRDefault="00B61369" w:rsidP="00281F1E">
      <w:pPr>
        <w:spacing w:after="240"/>
        <w:rPr>
          <w:rFonts w:eastAsia="Calibri"/>
          <w:b/>
          <w:szCs w:val="22"/>
          <w:lang w:val="mt-MT"/>
        </w:rPr>
      </w:pPr>
      <w:r w:rsidRPr="00CE3598">
        <w:rPr>
          <w:rFonts w:eastAsia="Calibri"/>
          <w:b/>
          <w:bCs/>
          <w:lang w:val="mt-MT"/>
        </w:rPr>
        <w:t xml:space="preserve">Pożizzjoni tal-Parlament Ewropew adottata fl-ewwel qari </w:t>
      </w:r>
      <w:r w:rsidR="004165D2">
        <w:rPr>
          <w:rFonts w:eastAsia="Calibri"/>
          <w:b/>
          <w:bCs/>
          <w:lang w:val="mt-MT"/>
        </w:rPr>
        <w:t>fi</w:t>
      </w:r>
      <w:r>
        <w:rPr>
          <w:rFonts w:eastAsia="Calibri"/>
          <w:b/>
          <w:bCs/>
          <w:lang w:val="mt-MT"/>
        </w:rPr>
        <w:t>t-22 ta’ Mejju 2025</w:t>
      </w:r>
      <w:r w:rsidRPr="00CE3598">
        <w:rPr>
          <w:rFonts w:eastAsia="Calibri"/>
          <w:b/>
          <w:bCs/>
          <w:lang w:val="mt-MT"/>
        </w:rPr>
        <w:t xml:space="preserve"> bil-ħsieb tal-</w:t>
      </w:r>
      <w:r w:rsidRPr="00B61369">
        <w:rPr>
          <w:rFonts w:eastAsia="Calibri"/>
          <w:b/>
          <w:bCs/>
          <w:lang w:val="mt-MT"/>
        </w:rPr>
        <w:t xml:space="preserve">adozzjoni tar-Regolament (UE) 2025/... </w:t>
      </w:r>
      <w:r w:rsidRPr="00B61369">
        <w:rPr>
          <w:b/>
          <w:color w:val="000000"/>
          <w:szCs w:val="22"/>
          <w:lang w:val="mt-MT"/>
        </w:rPr>
        <w:t>tal-Parlament</w:t>
      </w:r>
      <w:r w:rsidRPr="00CE3598">
        <w:rPr>
          <w:b/>
          <w:color w:val="000000"/>
          <w:szCs w:val="22"/>
          <w:lang w:val="mt-MT"/>
        </w:rPr>
        <w:t xml:space="preserve"> Ewropew u tal-Kunsill</w:t>
      </w:r>
      <w:r w:rsidRPr="00CE3598">
        <w:rPr>
          <w:rFonts w:eastAsia="Calibri"/>
          <w:b/>
          <w:szCs w:val="22"/>
          <w:lang w:val="mt-MT"/>
        </w:rPr>
        <w:t xml:space="preserve"> </w:t>
      </w:r>
      <w:r w:rsidRPr="00B61369">
        <w:rPr>
          <w:rFonts w:eastAsia="Calibri"/>
          <w:b/>
          <w:szCs w:val="22"/>
          <w:lang w:val="mt-MT"/>
        </w:rPr>
        <w:t>li jemenda r-Regolament (UE) Nru 575/2013 fir-rigward tar-rekwiżiti għal tranżazzjonijiet ta’ finanzjament tat-titoli skont il-proporzjon ta’ finanzjament stabbli nett</w:t>
      </w:r>
    </w:p>
    <w:p w:rsidR="00B73C67" w:rsidRPr="00281F1E" w:rsidRDefault="00281F1E" w:rsidP="00B61369">
      <w:pPr>
        <w:rPr>
          <w:i/>
          <w:lang w:val="mt-MT"/>
        </w:rPr>
      </w:pPr>
      <w:r w:rsidRPr="00281F1E">
        <w:rPr>
          <w:i/>
          <w:lang w:val="mt-MT"/>
        </w:rPr>
        <w:t xml:space="preserve">(Peress li ntlaħaq ftehim bejn il-Parlament u l-Kunsill, il-pożizzjoni tal-Parlament taqbel mal-att leġiżlattiv finali, ir-Regolament (UE) </w:t>
      </w:r>
      <w:r w:rsidRPr="00281F1E">
        <w:rPr>
          <w:i/>
          <w:lang w:val="mt-MT"/>
        </w:rPr>
        <w:t>2025</w:t>
      </w:r>
      <w:r w:rsidRPr="00281F1E">
        <w:rPr>
          <w:i/>
          <w:lang w:val="mt-MT"/>
        </w:rPr>
        <w:t>/</w:t>
      </w:r>
      <w:r w:rsidRPr="00281F1E">
        <w:rPr>
          <w:i/>
          <w:lang w:val="mt-MT"/>
        </w:rPr>
        <w:t>1215</w:t>
      </w:r>
      <w:r w:rsidRPr="00281F1E">
        <w:rPr>
          <w:i/>
          <w:lang w:val="mt-MT"/>
        </w:rPr>
        <w:t>.)</w:t>
      </w:r>
      <w:bookmarkStart w:id="9" w:name="_GoBack"/>
      <w:bookmarkEnd w:id="9"/>
    </w:p>
    <w:sectPr w:rsidR="00B73C67" w:rsidRPr="00281F1E" w:rsidSect="00B61369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47F" w:rsidRDefault="00FF247F" w:rsidP="009C4014">
      <w:r>
        <w:separator/>
      </w:r>
    </w:p>
  </w:endnote>
  <w:endnote w:type="continuationSeparator" w:id="0">
    <w:p w:rsidR="00FF247F" w:rsidRDefault="00FF247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47F" w:rsidRDefault="00FF247F" w:rsidP="009C4014">
      <w:r>
        <w:separator/>
      </w:r>
    </w:p>
  </w:footnote>
  <w:footnote w:type="continuationSeparator" w:id="0">
    <w:p w:rsidR="00FF247F" w:rsidRDefault="00FF247F" w:rsidP="009C4014">
      <w:r>
        <w:continuationSeparator/>
      </w:r>
    </w:p>
  </w:footnote>
  <w:footnote w:id="1">
    <w:p w:rsidR="00FF247F" w:rsidRPr="00FF247F" w:rsidRDefault="00FF247F" w:rsidP="00FF247F">
      <w:pPr>
        <w:pStyle w:val="FootnoteText"/>
        <w:ind w:left="567" w:hanging="567"/>
        <w:rPr>
          <w:sz w:val="24"/>
          <w:szCs w:val="24"/>
          <w:lang w:val="mt-MT"/>
        </w:rPr>
      </w:pPr>
      <w:r w:rsidRPr="00FF247F">
        <w:rPr>
          <w:rStyle w:val="FootnoteReference"/>
          <w:sz w:val="24"/>
          <w:szCs w:val="24"/>
        </w:rPr>
        <w:footnoteRef/>
      </w:r>
      <w:r w:rsidRPr="00FF247F">
        <w:rPr>
          <w:sz w:val="24"/>
          <w:szCs w:val="24"/>
        </w:rPr>
        <w:t xml:space="preserve"> </w:t>
      </w:r>
      <w:r w:rsidRPr="00FF247F">
        <w:rPr>
          <w:sz w:val="24"/>
          <w:szCs w:val="24"/>
          <w:lang w:val="mt-MT"/>
        </w:rPr>
        <w:tab/>
        <w:t>Għadha mhijiex ippubblikata fil-Ġurnal Uffiċjali</w:t>
      </w:r>
      <w:r>
        <w:rPr>
          <w:sz w:val="24"/>
          <w:szCs w:val="24"/>
          <w:lang w:val="mt-MT"/>
        </w:rPr>
        <w:t>.</w:t>
      </w:r>
    </w:p>
  </w:footnote>
  <w:footnote w:id="2">
    <w:p w:rsidR="00FF247F" w:rsidRPr="00FF247F" w:rsidRDefault="00FF247F" w:rsidP="00FF247F">
      <w:pPr>
        <w:pStyle w:val="FootnoteText"/>
        <w:ind w:left="567" w:hanging="567"/>
        <w:rPr>
          <w:sz w:val="24"/>
          <w:szCs w:val="24"/>
          <w:lang w:val="mt-MT"/>
        </w:rPr>
      </w:pPr>
      <w:r w:rsidRPr="00FF247F">
        <w:rPr>
          <w:rStyle w:val="FootnoteReference"/>
          <w:sz w:val="24"/>
          <w:szCs w:val="24"/>
        </w:rPr>
        <w:footnoteRef/>
      </w:r>
      <w:r w:rsidRPr="00FF247F">
        <w:rPr>
          <w:sz w:val="24"/>
          <w:szCs w:val="24"/>
          <w:lang w:val="mt-MT"/>
        </w:rPr>
        <w:t xml:space="preserve"> </w:t>
      </w:r>
      <w:r w:rsidRPr="00FF247F">
        <w:rPr>
          <w:sz w:val="24"/>
          <w:szCs w:val="24"/>
          <w:lang w:val="mt-MT"/>
        </w:rPr>
        <w:tab/>
        <w:t>Għadha mhijiex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activeWritingStyle w:appName="MSWord" w:lang="hu-HU" w:vendorID="7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47F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81F1E"/>
    <w:rsid w:val="002924A9"/>
    <w:rsid w:val="00297108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165D2"/>
    <w:rsid w:val="00425111"/>
    <w:rsid w:val="00451C48"/>
    <w:rsid w:val="0047030E"/>
    <w:rsid w:val="004B1991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0EB5"/>
    <w:rsid w:val="009865B7"/>
    <w:rsid w:val="009B7E10"/>
    <w:rsid w:val="009C4014"/>
    <w:rsid w:val="009F28EF"/>
    <w:rsid w:val="00A01407"/>
    <w:rsid w:val="00A1739E"/>
    <w:rsid w:val="00B25F5E"/>
    <w:rsid w:val="00B54C72"/>
    <w:rsid w:val="00B61369"/>
    <w:rsid w:val="00B73C67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EF600B"/>
    <w:rsid w:val="00F177A4"/>
    <w:rsid w:val="00F45092"/>
    <w:rsid w:val="00F97E29"/>
    <w:rsid w:val="00FB1507"/>
    <w:rsid w:val="00FB3609"/>
    <w:rsid w:val="00FF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B2F1E"/>
  <w15:chartTrackingRefBased/>
  <w15:docId w15:val="{B8755CD5-6BEC-4D94-B844-0EBFFFC9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47F"/>
    <w:rPr>
      <w:sz w:val="22"/>
      <w:lang w:val="fr-FR"/>
    </w:rPr>
  </w:style>
  <w:style w:type="character" w:styleId="Hyperlink">
    <w:name w:val="Hyperlink"/>
    <w:uiPriority w:val="99"/>
    <w:rsid w:val="00B73C6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73C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3C6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3263A-9C68-4203-B605-49D0E2D98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259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CAMILLERI Denise</cp:lastModifiedBy>
  <cp:revision>2</cp:revision>
  <cp:lastPrinted>2014-08-07T13:15:00Z</cp:lastPrinted>
  <dcterms:created xsi:type="dcterms:W3CDTF">2025-07-04T08:04:00Z</dcterms:created>
  <dcterms:modified xsi:type="dcterms:W3CDTF">2025-07-04T08:04:00Z</dcterms:modified>
</cp:coreProperties>
</file>