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E14E0E" w14:paraId="353CAF52" w14:textId="77777777" w:rsidTr="00425111">
        <w:trPr>
          <w:trHeight w:hRule="exact" w:val="1418"/>
        </w:trPr>
        <w:tc>
          <w:tcPr>
            <w:tcW w:w="6804" w:type="dxa"/>
            <w:shd w:val="clear" w:color="auto" w:fill="auto"/>
            <w:vAlign w:val="center"/>
          </w:tcPr>
          <w:p w14:paraId="4688669C" w14:textId="77777777" w:rsidR="00757DD5" w:rsidRPr="00E14E0E" w:rsidRDefault="001B51C8" w:rsidP="00425111">
            <w:pPr>
              <w:pStyle w:val="EPName"/>
              <w:rPr>
                <w:lang w:val="pt-PT"/>
              </w:rPr>
            </w:pPr>
            <w:r w:rsidRPr="00E14E0E">
              <w:rPr>
                <w:lang w:val="pt-PT"/>
              </w:rPr>
              <w:t>Parlamento Europeu</w:t>
            </w:r>
          </w:p>
          <w:p w14:paraId="79D546C9" w14:textId="77777777" w:rsidR="00757DD5" w:rsidRPr="00E14E0E" w:rsidRDefault="001B51C8" w:rsidP="00425111">
            <w:pPr>
              <w:pStyle w:val="EPTerm"/>
              <w:rPr>
                <w:rStyle w:val="HideTWBExt"/>
                <w:noProof w:val="0"/>
                <w:vanish w:val="0"/>
                <w:lang w:val="pt-PT"/>
              </w:rPr>
            </w:pPr>
            <w:r w:rsidRPr="00E14E0E">
              <w:rPr>
                <w:lang w:val="pt-PT"/>
              </w:rPr>
              <w:t>2024-2029</w:t>
            </w:r>
          </w:p>
        </w:tc>
        <w:tc>
          <w:tcPr>
            <w:tcW w:w="2268" w:type="dxa"/>
            <w:shd w:val="clear" w:color="auto" w:fill="auto"/>
          </w:tcPr>
          <w:p w14:paraId="06097E3D" w14:textId="77777777" w:rsidR="00757DD5" w:rsidRPr="00E14E0E" w:rsidRDefault="00172070" w:rsidP="00425111">
            <w:pPr>
              <w:pStyle w:val="EPLogo"/>
              <w:rPr>
                <w:lang w:val="pt-PT"/>
              </w:rPr>
            </w:pPr>
            <w:r w:rsidRPr="00E14E0E">
              <w:rPr>
                <w:noProof/>
              </w:rPr>
              <w:drawing>
                <wp:inline distT="0" distB="0" distL="0" distR="0" wp14:anchorId="216BAB34" wp14:editId="3A93A768">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41EA95D" w14:textId="77777777" w:rsidR="008E7632" w:rsidRPr="00E14E0E" w:rsidRDefault="008E7632" w:rsidP="008E7632">
      <w:pPr>
        <w:pStyle w:val="LineTop"/>
        <w:rPr>
          <w:lang w:val="pt-PT"/>
        </w:rPr>
      </w:pPr>
    </w:p>
    <w:p w14:paraId="5754470D" w14:textId="77777777" w:rsidR="008E7632" w:rsidRPr="00E14E0E" w:rsidRDefault="001B51C8" w:rsidP="008E7632">
      <w:pPr>
        <w:pStyle w:val="ZSessionDoc"/>
        <w:rPr>
          <w:b/>
          <w:i w:val="0"/>
          <w:lang w:val="pt-PT"/>
        </w:rPr>
      </w:pPr>
      <w:r w:rsidRPr="00E14E0E">
        <w:rPr>
          <w:b/>
          <w:i w:val="0"/>
          <w:lang w:val="pt-PT"/>
        </w:rPr>
        <w:t>TEXTOS APROVADOS</w:t>
      </w:r>
    </w:p>
    <w:p w14:paraId="573697B6" w14:textId="77777777" w:rsidR="008E7632" w:rsidRPr="00E14E0E" w:rsidRDefault="001B51C8" w:rsidP="008E7632">
      <w:pPr>
        <w:pStyle w:val="LineBottom"/>
        <w:rPr>
          <w:lang w:val="pt-PT"/>
        </w:rPr>
      </w:pPr>
      <w:r w:rsidRPr="00E14E0E">
        <w:rPr>
          <w:rFonts w:cs="Arial"/>
          <w:i/>
          <w:sz w:val="20"/>
          <w:szCs w:val="22"/>
          <w:lang w:val="pt-PT"/>
        </w:rPr>
        <w:t xml:space="preserve"> </w:t>
      </w:r>
    </w:p>
    <w:p w14:paraId="646700B9" w14:textId="5E968DD7" w:rsidR="009C4014" w:rsidRPr="00E14E0E" w:rsidRDefault="001B51C8" w:rsidP="008E7632">
      <w:pPr>
        <w:pStyle w:val="ATHeading1"/>
        <w:spacing w:before="480"/>
        <w:rPr>
          <w:noProof w:val="0"/>
          <w:lang w:val="pt-PT"/>
        </w:rPr>
      </w:pPr>
      <w:bookmarkStart w:id="0" w:name="TA_Heading"/>
      <w:r w:rsidRPr="00E14E0E">
        <w:rPr>
          <w:noProof w:val="0"/>
          <w:lang w:val="pt-PT"/>
        </w:rPr>
        <w:t>P10_TA(2025)</w:t>
      </w:r>
      <w:bookmarkEnd w:id="0"/>
      <w:r w:rsidR="00E14E0E" w:rsidRPr="00E14E0E">
        <w:rPr>
          <w:noProof w:val="0"/>
          <w:lang w:val="pt-PT"/>
        </w:rPr>
        <w:t>0111</w:t>
      </w:r>
    </w:p>
    <w:p w14:paraId="5E93B0B7" w14:textId="1F3C4F1A" w:rsidR="009C4014" w:rsidRPr="00E14E0E" w:rsidRDefault="001F3404" w:rsidP="001F3404">
      <w:pPr>
        <w:pStyle w:val="ATHeading2"/>
        <w:rPr>
          <w:noProof w:val="0"/>
          <w:lang w:val="pt-PT"/>
        </w:rPr>
      </w:pPr>
      <w:bookmarkStart w:id="1" w:name="Etoiles"/>
      <w:bookmarkEnd w:id="1"/>
      <w:r w:rsidRPr="00E14E0E">
        <w:rPr>
          <w:noProof w:val="0"/>
          <w:lang w:val="pt-PT"/>
        </w:rPr>
        <w:t>Alterações do Regulamento Requisitos de Fundos Próprios no que diz respeito às operações de financiamento de valores mobiliários ao abrigo do rácio de financiamento estável líquido</w:t>
      </w:r>
    </w:p>
    <w:p w14:paraId="62EF51D1" w14:textId="7D5C8306" w:rsidR="009C4014" w:rsidRPr="00E14E0E" w:rsidRDefault="009C4014" w:rsidP="009C4014">
      <w:pPr>
        <w:rPr>
          <w:i/>
          <w:vanish/>
          <w:lang w:val="pt-PT"/>
        </w:rPr>
      </w:pPr>
      <w:r w:rsidRPr="00E14E0E">
        <w:rPr>
          <w:i/>
          <w:lang w:val="pt-PT"/>
        </w:rPr>
        <w:fldChar w:fldCharType="begin"/>
      </w:r>
      <w:r w:rsidRPr="00E14E0E">
        <w:rPr>
          <w:i/>
          <w:lang w:val="pt-PT"/>
        </w:rPr>
        <w:instrText xml:space="preserve"> TC"</w:instrText>
      </w:r>
      <w:bookmarkStart w:id="2" w:name="DocNumber"/>
      <w:r w:rsidR="00034602" w:rsidRPr="00E14E0E">
        <w:rPr>
          <w:i/>
          <w:lang w:val="pt-PT"/>
        </w:rPr>
        <w:instrText>(C10-00</w:instrText>
      </w:r>
      <w:r w:rsidR="001F3404" w:rsidRPr="00E14E0E">
        <w:rPr>
          <w:i/>
          <w:lang w:val="pt-PT"/>
        </w:rPr>
        <w:instrText>59</w:instrText>
      </w:r>
      <w:r w:rsidR="001B51C8" w:rsidRPr="00E14E0E">
        <w:rPr>
          <w:i/>
          <w:lang w:val="pt-PT"/>
        </w:rPr>
        <w:instrText>/2025</w:instrText>
      </w:r>
      <w:r w:rsidR="00FC6B5D" w:rsidRPr="00B111AC">
        <w:rPr>
          <w:i/>
          <w:lang w:val="pt-PT"/>
        </w:rPr>
        <w:instrText xml:space="preserve"> - Jonás Fernández</w:instrText>
      </w:r>
      <w:r w:rsidR="001B51C8" w:rsidRPr="00E14E0E">
        <w:rPr>
          <w:i/>
          <w:lang w:val="pt-PT"/>
        </w:rPr>
        <w:instrText>)</w:instrText>
      </w:r>
      <w:bookmarkEnd w:id="2"/>
      <w:r w:rsidRPr="00E14E0E">
        <w:rPr>
          <w:i/>
          <w:lang w:val="pt-PT"/>
        </w:rPr>
        <w:instrText xml:space="preserve">"\l3 \n&gt; \* MERGEFORMAT </w:instrText>
      </w:r>
      <w:r w:rsidRPr="00E14E0E">
        <w:rPr>
          <w:i/>
          <w:lang w:val="pt-PT"/>
        </w:rPr>
        <w:fldChar w:fldCharType="end"/>
      </w:r>
    </w:p>
    <w:p w14:paraId="1222AA00" w14:textId="1FBCE815" w:rsidR="001B51C8" w:rsidRPr="00E14E0E" w:rsidRDefault="00034602" w:rsidP="009C4014">
      <w:pPr>
        <w:rPr>
          <w:vanish/>
          <w:lang w:val="pt-PT"/>
        </w:rPr>
      </w:pPr>
      <w:bookmarkStart w:id="3" w:name="Commission"/>
      <w:r w:rsidRPr="00E14E0E">
        <w:rPr>
          <w:vanish/>
          <w:lang w:val="pt-PT"/>
        </w:rPr>
        <w:t>C</w:t>
      </w:r>
      <w:r w:rsidR="001F3404" w:rsidRPr="00E14E0E">
        <w:rPr>
          <w:vanish/>
          <w:lang w:val="pt-PT"/>
        </w:rPr>
        <w:t>omissão dos Assuntos Económicos e Monetários</w:t>
      </w:r>
    </w:p>
    <w:p w14:paraId="56E08B21" w14:textId="2C87B22E" w:rsidR="009C4014" w:rsidRPr="00E14E0E" w:rsidRDefault="001B51C8" w:rsidP="009C4014">
      <w:pPr>
        <w:rPr>
          <w:vanish/>
          <w:lang w:val="pt-PT"/>
        </w:rPr>
      </w:pPr>
      <w:bookmarkStart w:id="4" w:name="PE"/>
      <w:bookmarkEnd w:id="3"/>
      <w:r w:rsidRPr="00E14E0E">
        <w:rPr>
          <w:vanish/>
          <w:lang w:val="pt-PT"/>
        </w:rPr>
        <w:t>PE</w:t>
      </w:r>
      <w:bookmarkEnd w:id="4"/>
      <w:r w:rsidR="00034602" w:rsidRPr="00E14E0E">
        <w:rPr>
          <w:vanish/>
          <w:lang w:val="pt-PT"/>
        </w:rPr>
        <w:t>773.631</w:t>
      </w:r>
    </w:p>
    <w:p w14:paraId="7F46559D" w14:textId="155F3A88" w:rsidR="001B51C8" w:rsidRPr="00E14E0E" w:rsidRDefault="001B51C8" w:rsidP="00413ADF">
      <w:pPr>
        <w:pStyle w:val="ATHeading3"/>
        <w:rPr>
          <w:noProof w:val="0"/>
          <w:lang w:val="pt-PT"/>
        </w:rPr>
      </w:pPr>
      <w:bookmarkStart w:id="5" w:name="Sujet"/>
      <w:r w:rsidRPr="00E14E0E">
        <w:rPr>
          <w:noProof w:val="0"/>
          <w:lang w:val="pt-PT"/>
        </w:rPr>
        <w:t>Resolução legislativa</w:t>
      </w:r>
      <w:bookmarkEnd w:id="5"/>
      <w:r w:rsidR="00E73B02" w:rsidRPr="00E14E0E">
        <w:rPr>
          <w:noProof w:val="0"/>
          <w:lang w:val="pt-PT"/>
        </w:rPr>
        <w:t xml:space="preserve"> </w:t>
      </w:r>
      <w:bookmarkStart w:id="6" w:name="References"/>
      <w:r w:rsidRPr="00E14E0E">
        <w:rPr>
          <w:noProof w:val="0"/>
          <w:lang w:val="pt-PT"/>
        </w:rPr>
        <w:t>do Parlamento E</w:t>
      </w:r>
      <w:r w:rsidR="009E0327" w:rsidRPr="00E14E0E">
        <w:rPr>
          <w:noProof w:val="0"/>
          <w:lang w:val="pt-PT"/>
        </w:rPr>
        <w:t>uropeu, de 22</w:t>
      </w:r>
      <w:r w:rsidR="00034602" w:rsidRPr="00E14E0E">
        <w:rPr>
          <w:noProof w:val="0"/>
          <w:lang w:val="pt-PT"/>
        </w:rPr>
        <w:t xml:space="preserve"> de </w:t>
      </w:r>
      <w:r w:rsidR="00C469BF" w:rsidRPr="00E14E0E">
        <w:rPr>
          <w:noProof w:val="0"/>
          <w:lang w:val="pt-PT"/>
        </w:rPr>
        <w:t>maio</w:t>
      </w:r>
      <w:r w:rsidR="00034602" w:rsidRPr="00E14E0E">
        <w:rPr>
          <w:noProof w:val="0"/>
          <w:lang w:val="pt-PT"/>
        </w:rPr>
        <w:t xml:space="preserve"> de 2025, </w:t>
      </w:r>
      <w:r w:rsidR="009E0327" w:rsidRPr="00E14E0E">
        <w:rPr>
          <w:noProof w:val="0"/>
          <w:lang w:val="pt-PT"/>
        </w:rPr>
        <w:t>que altera o Regulamento (UE) n.º 575/2013 relativo aos requisitos prudenciais para as instituições de crédito no respeitante aos requisitos aplicáveis às operações de financiamento através de valores mobiliários ao abrigo do rácio de financiamento estável líquido</w:t>
      </w:r>
      <w:r w:rsidR="00034602" w:rsidRPr="00E14E0E">
        <w:rPr>
          <w:noProof w:val="0"/>
          <w:lang w:val="pt-PT"/>
        </w:rPr>
        <w:t xml:space="preserve"> </w:t>
      </w:r>
      <w:r w:rsidR="001F3404" w:rsidRPr="00E14E0E">
        <w:rPr>
          <w:lang w:val="pt-PT"/>
        </w:rPr>
        <w:t>(COM(2025)0146 – C10-0059/2025 – 2025/0077</w:t>
      </w:r>
      <w:r w:rsidR="00034602" w:rsidRPr="00E14E0E">
        <w:rPr>
          <w:lang w:val="pt-PT"/>
        </w:rPr>
        <w:t>(COD))</w:t>
      </w:r>
    </w:p>
    <w:p w14:paraId="484F6610" w14:textId="77777777" w:rsidR="009C4014" w:rsidRPr="00E14E0E" w:rsidRDefault="001B51C8" w:rsidP="00413ADF">
      <w:pPr>
        <w:pStyle w:val="ATHeading3"/>
        <w:rPr>
          <w:noProof w:val="0"/>
          <w:lang w:val="pt-PT"/>
        </w:rPr>
      </w:pPr>
      <w:r w:rsidRPr="00E14E0E">
        <w:rPr>
          <w:noProof w:val="0"/>
          <w:lang w:val="pt-PT"/>
        </w:rPr>
        <w:t>(Processo legislativo ordinário: primeira leitura)</w:t>
      </w:r>
      <w:bookmarkEnd w:id="6"/>
    </w:p>
    <w:p w14:paraId="290B61BC" w14:textId="617E3DC8" w:rsidR="006E5420" w:rsidRPr="00E14E0E" w:rsidRDefault="001B51C8" w:rsidP="008B1C2E">
      <w:pPr>
        <w:pStyle w:val="Normal12"/>
        <w:spacing w:before="360"/>
        <w:rPr>
          <w:i/>
          <w:szCs w:val="24"/>
          <w:lang w:val="pt-PT"/>
        </w:rPr>
      </w:pPr>
      <w:bookmarkStart w:id="7" w:name="TextBodyBegin"/>
      <w:bookmarkEnd w:id="7"/>
      <w:r w:rsidRPr="00E14E0E">
        <w:rPr>
          <w:i/>
          <w:szCs w:val="24"/>
          <w:lang w:val="pt-PT"/>
        </w:rPr>
        <w:t>O Parlamento Europeu,</w:t>
      </w:r>
    </w:p>
    <w:p w14:paraId="34B12EAE" w14:textId="6D85365B" w:rsidR="00413ADF" w:rsidRPr="00E14E0E" w:rsidRDefault="00413ADF" w:rsidP="00413ADF">
      <w:pPr>
        <w:pStyle w:val="NormalHanging12a"/>
      </w:pPr>
      <w:r w:rsidRPr="00E14E0E">
        <w:t>–</w:t>
      </w:r>
      <w:r w:rsidRPr="00E14E0E">
        <w:tab/>
        <w:t>Tendo em conta a proposta da Comissão ao Parlamento e ao Conselho (COM(2025)</w:t>
      </w:r>
      <w:r w:rsidR="00B111AC">
        <w:t>014</w:t>
      </w:r>
      <w:r w:rsidR="00034602" w:rsidRPr="00E14E0E">
        <w:t>6</w:t>
      </w:r>
      <w:r w:rsidRPr="00E14E0E">
        <w:t>),</w:t>
      </w:r>
    </w:p>
    <w:p w14:paraId="0C58AAB2" w14:textId="7FEC9EE2" w:rsidR="00413ADF" w:rsidRPr="00E14E0E" w:rsidRDefault="00413ADF" w:rsidP="00413ADF">
      <w:pPr>
        <w:pStyle w:val="NormalHanging12a"/>
      </w:pPr>
      <w:r w:rsidRPr="00E14E0E">
        <w:t>–</w:t>
      </w:r>
      <w:r w:rsidRPr="00E14E0E">
        <w:tab/>
        <w:t>Tendo em conta o artigo 294.º, n.º 2, e o artigo</w:t>
      </w:r>
      <w:r w:rsidR="00162DFF" w:rsidRPr="00E14E0E">
        <w:t xml:space="preserve"> 114.º</w:t>
      </w:r>
      <w:r w:rsidRPr="00E14E0E">
        <w:t xml:space="preserve"> do Tratado sobre o Funcionamento da União Europeia, nos termos dos quais a proposta lhe foi apresentada pela Comissão (C10</w:t>
      </w:r>
      <w:r w:rsidRPr="00E14E0E">
        <w:noBreakHyphen/>
      </w:r>
      <w:r w:rsidR="001F3404" w:rsidRPr="00E14E0E">
        <w:t>0059</w:t>
      </w:r>
      <w:r w:rsidRPr="00E14E0E">
        <w:t>/2025),</w:t>
      </w:r>
    </w:p>
    <w:p w14:paraId="40992E34" w14:textId="081B1CEC" w:rsidR="00413ADF" w:rsidRPr="00E14E0E" w:rsidRDefault="00413ADF" w:rsidP="00413ADF">
      <w:pPr>
        <w:pStyle w:val="NormalHanging12a"/>
      </w:pPr>
      <w:r w:rsidRPr="00E14E0E">
        <w:t>–</w:t>
      </w:r>
      <w:r w:rsidRPr="00E14E0E">
        <w:tab/>
        <w:t>Tendo em conta o artigo 294.º, n.º 3, do Tratado sobre o Funcionamento da União Europeia,</w:t>
      </w:r>
    </w:p>
    <w:p w14:paraId="1331441B" w14:textId="22DB4084" w:rsidR="003B7C01" w:rsidRPr="00E14E0E" w:rsidRDefault="003B7C01" w:rsidP="00413ADF">
      <w:pPr>
        <w:pStyle w:val="NormalHanging12a"/>
      </w:pPr>
      <w:r w:rsidRPr="00E14E0E">
        <w:t>–</w:t>
      </w:r>
      <w:r w:rsidRPr="00E14E0E">
        <w:tab/>
        <w:t>Tendo em conta o parecer do Banco Central Europeu, de 2 de maio de 2025</w:t>
      </w:r>
      <w:r w:rsidRPr="00E14E0E">
        <w:rPr>
          <w:rStyle w:val="FootnoteReference"/>
        </w:rPr>
        <w:footnoteReference w:id="1"/>
      </w:r>
      <w:r w:rsidRPr="00E14E0E">
        <w:t>,</w:t>
      </w:r>
    </w:p>
    <w:p w14:paraId="4F8E5BEE" w14:textId="3B10A1C7" w:rsidR="00413ADF" w:rsidRPr="00E14E0E" w:rsidRDefault="00413ADF" w:rsidP="00413ADF">
      <w:pPr>
        <w:pStyle w:val="NormalHanging12a"/>
      </w:pPr>
      <w:r w:rsidRPr="00E14E0E">
        <w:t>–</w:t>
      </w:r>
      <w:r w:rsidRPr="00E14E0E">
        <w:tab/>
        <w:t xml:space="preserve">Tendo em conta o </w:t>
      </w:r>
      <w:r w:rsidR="00BE034D" w:rsidRPr="00E14E0E">
        <w:t>parecer do Comité Económico e Social Europeu</w:t>
      </w:r>
      <w:r w:rsidR="003B7C01" w:rsidRPr="00E14E0E">
        <w:t>, de 29</w:t>
      </w:r>
      <w:r w:rsidR="00BE034D" w:rsidRPr="00E14E0E">
        <w:t xml:space="preserve"> de </w:t>
      </w:r>
      <w:r w:rsidR="00034602" w:rsidRPr="00E14E0E">
        <w:t>abril de </w:t>
      </w:r>
      <w:r w:rsidR="00BE034D" w:rsidRPr="00E14E0E">
        <w:t>2025</w:t>
      </w:r>
      <w:r w:rsidR="00BE034D" w:rsidRPr="00E14E0E">
        <w:rPr>
          <w:rStyle w:val="FootnoteReference"/>
        </w:rPr>
        <w:footnoteReference w:id="2"/>
      </w:r>
      <w:r w:rsidR="00BE034D" w:rsidRPr="00E14E0E">
        <w:t>,</w:t>
      </w:r>
    </w:p>
    <w:p w14:paraId="2369878A" w14:textId="3A6BD6CF" w:rsidR="00413ADF" w:rsidRPr="00E14E0E" w:rsidRDefault="00413ADF" w:rsidP="00413ADF">
      <w:pPr>
        <w:pStyle w:val="NormalHanging12a"/>
      </w:pPr>
      <w:r w:rsidRPr="00E14E0E">
        <w:t>–</w:t>
      </w:r>
      <w:r w:rsidRPr="00E14E0E">
        <w:tab/>
        <w:t>Tendo em conta o</w:t>
      </w:r>
      <w:r w:rsidR="00BE034D" w:rsidRPr="00E14E0E">
        <w:t>s</w:t>
      </w:r>
      <w:r w:rsidRPr="00E14E0E">
        <w:t xml:space="preserve"> artigo</w:t>
      </w:r>
      <w:r w:rsidR="00BE034D" w:rsidRPr="00E14E0E">
        <w:t>s</w:t>
      </w:r>
      <w:r w:rsidRPr="00E14E0E">
        <w:t xml:space="preserve"> 60.º</w:t>
      </w:r>
      <w:r w:rsidR="00BE034D" w:rsidRPr="00E14E0E">
        <w:t xml:space="preserve"> e 170.º</w:t>
      </w:r>
      <w:r w:rsidRPr="00E14E0E">
        <w:t xml:space="preserve"> do seu Regimento,</w:t>
      </w:r>
    </w:p>
    <w:p w14:paraId="5BBD1C7F" w14:textId="77777777" w:rsidR="00413ADF" w:rsidRPr="00E14E0E" w:rsidRDefault="00413ADF" w:rsidP="00413ADF">
      <w:pPr>
        <w:pStyle w:val="NormalHanging12a"/>
      </w:pPr>
      <w:r w:rsidRPr="00E14E0E">
        <w:t>1.</w:t>
      </w:r>
      <w:r w:rsidRPr="00E14E0E">
        <w:tab/>
        <w:t>Aprova a posição em primeira leitura que se segue;</w:t>
      </w:r>
    </w:p>
    <w:p w14:paraId="00FB1446" w14:textId="77777777" w:rsidR="00413ADF" w:rsidRPr="00E14E0E" w:rsidRDefault="00413ADF" w:rsidP="00413ADF">
      <w:pPr>
        <w:pStyle w:val="NormalHanging12a"/>
      </w:pPr>
      <w:r w:rsidRPr="00E14E0E">
        <w:lastRenderedPageBreak/>
        <w:t>2.</w:t>
      </w:r>
      <w:r w:rsidRPr="00E14E0E">
        <w:tab/>
        <w:t>Requer à Comissão que lhe submeta de novo a sua proposta se a substituir, se a alterar substancialmente ou se pretender alterá</w:t>
      </w:r>
      <w:r w:rsidRPr="00E14E0E">
        <w:noBreakHyphen/>
        <w:t>la substancialmente;</w:t>
      </w:r>
    </w:p>
    <w:p w14:paraId="3B4576A1" w14:textId="77777777" w:rsidR="00413ADF" w:rsidRPr="00E14E0E" w:rsidRDefault="00413ADF" w:rsidP="00413ADF">
      <w:pPr>
        <w:pStyle w:val="NormalHanging12a"/>
      </w:pPr>
      <w:r w:rsidRPr="00E14E0E">
        <w:t>3.</w:t>
      </w:r>
      <w:r w:rsidRPr="00E14E0E">
        <w:tab/>
        <w:t>Encarrega a sua Presidente de transmitir a posição do Parlamento ao Conselho, à Comissão e aos parlamentos nacionais.</w:t>
      </w:r>
    </w:p>
    <w:p w14:paraId="50182DFB" w14:textId="77777777" w:rsidR="00413ADF" w:rsidRPr="00E14E0E" w:rsidRDefault="00413ADF" w:rsidP="009F28EF">
      <w:pPr>
        <w:pStyle w:val="Normal12"/>
        <w:rPr>
          <w:szCs w:val="24"/>
          <w:lang w:val="pt-PT"/>
        </w:rPr>
      </w:pPr>
    </w:p>
    <w:p w14:paraId="4AA8C515" w14:textId="77777777" w:rsidR="00413ADF" w:rsidRPr="00E14E0E" w:rsidRDefault="00413ADF" w:rsidP="009F28EF">
      <w:pPr>
        <w:pStyle w:val="Normal12"/>
        <w:rPr>
          <w:szCs w:val="24"/>
          <w:lang w:val="pt-PT"/>
        </w:rPr>
        <w:sectPr w:rsidR="00413ADF" w:rsidRPr="00E14E0E"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479D9ABC" w14:textId="7CB442C9" w:rsidR="00413ADF" w:rsidRPr="00E14E0E" w:rsidRDefault="00034602" w:rsidP="009F28EF">
      <w:pPr>
        <w:pStyle w:val="Normal12"/>
        <w:rPr>
          <w:b/>
          <w:szCs w:val="24"/>
          <w:lang w:val="pt-PT"/>
        </w:rPr>
      </w:pPr>
      <w:r w:rsidRPr="00E14E0E">
        <w:rPr>
          <w:b/>
          <w:szCs w:val="24"/>
          <w:lang w:val="pt-PT"/>
        </w:rPr>
        <w:lastRenderedPageBreak/>
        <w:t>P10_TC1-COD(2025)00</w:t>
      </w:r>
      <w:r w:rsidR="006423C0" w:rsidRPr="00E14E0E">
        <w:rPr>
          <w:b/>
          <w:szCs w:val="24"/>
          <w:lang w:val="pt-PT"/>
        </w:rPr>
        <w:t>77</w:t>
      </w:r>
    </w:p>
    <w:p w14:paraId="67F4290D" w14:textId="77C7124A" w:rsidR="00413ADF" w:rsidRDefault="00413ADF" w:rsidP="00034602">
      <w:pPr>
        <w:pStyle w:val="Normal12"/>
        <w:rPr>
          <w:b/>
          <w:szCs w:val="24"/>
          <w:lang w:val="pt-PT"/>
        </w:rPr>
      </w:pPr>
      <w:r w:rsidRPr="00E14E0E">
        <w:rPr>
          <w:b/>
          <w:szCs w:val="24"/>
          <w:lang w:val="pt-PT"/>
        </w:rPr>
        <w:t>Posição do Parlamento Europeu a</w:t>
      </w:r>
      <w:r w:rsidR="006423C0" w:rsidRPr="00E14E0E">
        <w:rPr>
          <w:b/>
          <w:szCs w:val="24"/>
          <w:lang w:val="pt-PT"/>
        </w:rPr>
        <w:t>provada em primeira leitura em 22</w:t>
      </w:r>
      <w:r w:rsidRPr="00E14E0E">
        <w:rPr>
          <w:b/>
          <w:szCs w:val="24"/>
          <w:lang w:val="pt-PT"/>
        </w:rPr>
        <w:t xml:space="preserve"> de </w:t>
      </w:r>
      <w:r w:rsidR="00806924" w:rsidRPr="00E14E0E">
        <w:rPr>
          <w:b/>
          <w:szCs w:val="24"/>
          <w:lang w:val="pt-PT"/>
        </w:rPr>
        <w:t>maio</w:t>
      </w:r>
      <w:r w:rsidRPr="00E14E0E">
        <w:rPr>
          <w:b/>
          <w:szCs w:val="24"/>
          <w:lang w:val="pt-PT"/>
        </w:rPr>
        <w:t xml:space="preserve"> de</w:t>
      </w:r>
      <w:r w:rsidR="006423C0" w:rsidRPr="00E14E0E">
        <w:rPr>
          <w:b/>
          <w:szCs w:val="24"/>
          <w:lang w:val="pt-PT"/>
        </w:rPr>
        <w:t xml:space="preserve"> 2025 tendo em vista a adoção do</w:t>
      </w:r>
      <w:r w:rsidRPr="00E14E0E">
        <w:rPr>
          <w:b/>
          <w:szCs w:val="24"/>
          <w:lang w:val="pt-PT"/>
        </w:rPr>
        <w:t xml:space="preserve"> </w:t>
      </w:r>
      <w:r w:rsidR="006423C0" w:rsidRPr="00E14E0E">
        <w:rPr>
          <w:b/>
          <w:szCs w:val="24"/>
          <w:lang w:val="pt-PT"/>
        </w:rPr>
        <w:t>Regulamento</w:t>
      </w:r>
      <w:r w:rsidRPr="00E14E0E">
        <w:rPr>
          <w:b/>
          <w:szCs w:val="24"/>
          <w:lang w:val="pt-PT"/>
        </w:rPr>
        <w:t xml:space="preserve"> (UE) 2025/... do Parlamento Europeu e do Conselho </w:t>
      </w:r>
      <w:r w:rsidR="006423C0" w:rsidRPr="00E14E0E">
        <w:rPr>
          <w:b/>
          <w:szCs w:val="24"/>
          <w:lang w:val="pt-PT"/>
        </w:rPr>
        <w:t>que altera o Regulamento (UE) n.º 575/2013 no que diz respeito aos requisitos aplicáveis às operações de financiamento através de valores mobiliários ao abrigo do rácio de financiamento estável líquido</w:t>
      </w:r>
    </w:p>
    <w:p w14:paraId="2B159E17" w14:textId="40008087" w:rsidR="002879E5" w:rsidRPr="002879E5" w:rsidRDefault="002879E5" w:rsidP="00034602">
      <w:pPr>
        <w:pStyle w:val="Normal12"/>
        <w:rPr>
          <w:szCs w:val="24"/>
          <w:lang w:val="pt-PT"/>
        </w:rPr>
      </w:pPr>
      <w:r w:rsidRPr="002879E5">
        <w:rPr>
          <w:i/>
          <w:szCs w:val="24"/>
          <w:lang w:val="pt-PT"/>
        </w:rPr>
        <w:t>(Uma vez que foi alcançado um acordo entre o Parlamento e o Conselho, a posição do Parlamento corresponde</w:t>
      </w:r>
      <w:bookmarkStart w:id="8" w:name="_GoBack"/>
      <w:bookmarkEnd w:id="8"/>
      <w:r w:rsidRPr="002879E5">
        <w:rPr>
          <w:i/>
          <w:szCs w:val="24"/>
          <w:lang w:val="pt-PT"/>
        </w:rPr>
        <w:t xml:space="preserve"> ao texto legislativo final, Regulamento</w:t>
      </w:r>
      <w:r>
        <w:rPr>
          <w:i/>
          <w:szCs w:val="24"/>
          <w:lang w:val="pt-PT"/>
        </w:rPr>
        <w:t xml:space="preserve"> (UE) 2025/1215</w:t>
      </w:r>
      <w:r w:rsidRPr="002879E5">
        <w:rPr>
          <w:i/>
          <w:szCs w:val="24"/>
          <w:lang w:val="pt-PT"/>
        </w:rPr>
        <w:t>.)</w:t>
      </w:r>
    </w:p>
    <w:sectPr w:rsidR="002879E5" w:rsidRPr="002879E5" w:rsidSect="00413ADF">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D09BD0" w14:textId="77777777" w:rsidR="001B51C8" w:rsidRDefault="001B51C8" w:rsidP="009C4014">
      <w:r>
        <w:separator/>
      </w:r>
    </w:p>
  </w:endnote>
  <w:endnote w:type="continuationSeparator" w:id="0">
    <w:p w14:paraId="6A3EC305" w14:textId="77777777" w:rsidR="001B51C8" w:rsidRDefault="001B51C8"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BB1A0"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C7A94"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209E5"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CB99C" w14:textId="77777777" w:rsidR="001B51C8" w:rsidRDefault="001B51C8" w:rsidP="009C4014">
      <w:r>
        <w:separator/>
      </w:r>
    </w:p>
  </w:footnote>
  <w:footnote w:type="continuationSeparator" w:id="0">
    <w:p w14:paraId="3900B27E" w14:textId="77777777" w:rsidR="001B51C8" w:rsidRDefault="001B51C8" w:rsidP="009C4014">
      <w:r>
        <w:continuationSeparator/>
      </w:r>
    </w:p>
  </w:footnote>
  <w:footnote w:id="1">
    <w:p w14:paraId="5972D541" w14:textId="77777777" w:rsidR="003B7C01" w:rsidRPr="00BE034D" w:rsidRDefault="003B7C01" w:rsidP="003B7C01">
      <w:pPr>
        <w:pStyle w:val="FootnoteText"/>
        <w:keepLines w:val="0"/>
        <w:ind w:left="567" w:hanging="567"/>
        <w:rPr>
          <w:sz w:val="24"/>
          <w:szCs w:val="24"/>
          <w:lang w:val="pt-PT"/>
        </w:rPr>
      </w:pPr>
      <w:r w:rsidRPr="00BE034D">
        <w:rPr>
          <w:rStyle w:val="FootnoteReference"/>
          <w:sz w:val="24"/>
          <w:szCs w:val="24"/>
        </w:rPr>
        <w:footnoteRef/>
      </w:r>
      <w:r w:rsidRPr="00BE034D">
        <w:rPr>
          <w:sz w:val="24"/>
          <w:szCs w:val="24"/>
          <w:lang w:val="pt-PT"/>
        </w:rPr>
        <w:t xml:space="preserve"> </w:t>
      </w:r>
      <w:r w:rsidRPr="00BE034D">
        <w:rPr>
          <w:sz w:val="24"/>
          <w:szCs w:val="24"/>
          <w:lang w:val="pt-PT"/>
        </w:rPr>
        <w:tab/>
      </w:r>
      <w:r>
        <w:rPr>
          <w:sz w:val="24"/>
          <w:szCs w:val="24"/>
          <w:lang w:val="pt-PT"/>
        </w:rPr>
        <w:t>Ainda não publicado no Jornal Oficial.</w:t>
      </w:r>
    </w:p>
  </w:footnote>
  <w:footnote w:id="2">
    <w:p w14:paraId="70C597F5" w14:textId="4C3C5F65" w:rsidR="00BE034D" w:rsidRPr="00BE034D" w:rsidRDefault="00BE034D" w:rsidP="002A2205">
      <w:pPr>
        <w:pStyle w:val="FootnoteText"/>
        <w:keepLines w:val="0"/>
        <w:ind w:left="567" w:hanging="567"/>
        <w:rPr>
          <w:sz w:val="24"/>
          <w:szCs w:val="24"/>
          <w:lang w:val="pt-PT"/>
        </w:rPr>
      </w:pPr>
      <w:r w:rsidRPr="00BE034D">
        <w:rPr>
          <w:rStyle w:val="FootnoteReference"/>
          <w:sz w:val="24"/>
          <w:szCs w:val="24"/>
        </w:rPr>
        <w:footnoteRef/>
      </w:r>
      <w:r w:rsidRPr="00BE034D">
        <w:rPr>
          <w:sz w:val="24"/>
          <w:szCs w:val="24"/>
          <w:lang w:val="pt-PT"/>
        </w:rPr>
        <w:t xml:space="preserve"> </w:t>
      </w:r>
      <w:r w:rsidRPr="00BE034D">
        <w:rPr>
          <w:sz w:val="24"/>
          <w:szCs w:val="24"/>
          <w:lang w:val="pt-PT"/>
        </w:rPr>
        <w:tab/>
      </w:r>
      <w:r>
        <w:rPr>
          <w:sz w:val="24"/>
          <w:szCs w:val="24"/>
          <w:lang w:val="pt-PT"/>
        </w:rPr>
        <w:t>Ainda não publicado no Jornal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75CDB"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9EADD"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F100D"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E24F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76DB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7C0A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A8E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745E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B2D9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6D0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E40B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EEFF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E42E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13"/>
  </w:num>
  <w:num w:numId="2">
    <w:abstractNumId w:val="12"/>
  </w:num>
  <w:num w:numId="3">
    <w:abstractNumId w:val="11"/>
  </w:num>
  <w:num w:numId="4">
    <w:abstractNumId w:val="10"/>
  </w:num>
  <w:num w:numId="5">
    <w:abstractNumId w:val="16"/>
  </w:num>
  <w:num w:numId="6">
    <w:abstractNumId w:val="15"/>
  </w:num>
  <w:num w:numId="7">
    <w:abstractNumId w:val="14"/>
  </w:num>
  <w:num w:numId="8">
    <w:abstractNumId w:val="17"/>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rDocTypeID" w:val="NONE"/>
  </w:docVars>
  <w:rsids>
    <w:rsidRoot w:val="001B51C8"/>
    <w:rsid w:val="00013B2A"/>
    <w:rsid w:val="00034602"/>
    <w:rsid w:val="000C2BFE"/>
    <w:rsid w:val="000F27A9"/>
    <w:rsid w:val="000F6208"/>
    <w:rsid w:val="00125CBC"/>
    <w:rsid w:val="00162DFF"/>
    <w:rsid w:val="00172070"/>
    <w:rsid w:val="00185E15"/>
    <w:rsid w:val="001B51C8"/>
    <w:rsid w:val="001D4BBF"/>
    <w:rsid w:val="001D63A8"/>
    <w:rsid w:val="001F3404"/>
    <w:rsid w:val="00260F85"/>
    <w:rsid w:val="002879E5"/>
    <w:rsid w:val="002924A9"/>
    <w:rsid w:val="002A1D4E"/>
    <w:rsid w:val="002A2205"/>
    <w:rsid w:val="002B4BCF"/>
    <w:rsid w:val="002F1925"/>
    <w:rsid w:val="00300C61"/>
    <w:rsid w:val="00312A38"/>
    <w:rsid w:val="003202DD"/>
    <w:rsid w:val="003775B9"/>
    <w:rsid w:val="00397B2A"/>
    <w:rsid w:val="003B7C01"/>
    <w:rsid w:val="003E1189"/>
    <w:rsid w:val="003F4DFE"/>
    <w:rsid w:val="004066E9"/>
    <w:rsid w:val="00413ADF"/>
    <w:rsid w:val="00425111"/>
    <w:rsid w:val="00451C48"/>
    <w:rsid w:val="00451F25"/>
    <w:rsid w:val="0047030E"/>
    <w:rsid w:val="004E6A17"/>
    <w:rsid w:val="004F2EA7"/>
    <w:rsid w:val="00520780"/>
    <w:rsid w:val="00525ED0"/>
    <w:rsid w:val="00534CAB"/>
    <w:rsid w:val="00547BB1"/>
    <w:rsid w:val="00591365"/>
    <w:rsid w:val="005A2421"/>
    <w:rsid w:val="005B23C9"/>
    <w:rsid w:val="005F0CA1"/>
    <w:rsid w:val="005F35F8"/>
    <w:rsid w:val="00603B14"/>
    <w:rsid w:val="006423C0"/>
    <w:rsid w:val="006656E5"/>
    <w:rsid w:val="00666512"/>
    <w:rsid w:val="00683F78"/>
    <w:rsid w:val="006A1E82"/>
    <w:rsid w:val="006A668A"/>
    <w:rsid w:val="006A7C85"/>
    <w:rsid w:val="006A7CE5"/>
    <w:rsid w:val="006B1646"/>
    <w:rsid w:val="006E5420"/>
    <w:rsid w:val="006F135E"/>
    <w:rsid w:val="00751383"/>
    <w:rsid w:val="00757DD5"/>
    <w:rsid w:val="00760EC5"/>
    <w:rsid w:val="007713FD"/>
    <w:rsid w:val="00774A9B"/>
    <w:rsid w:val="007906DB"/>
    <w:rsid w:val="007B16FE"/>
    <w:rsid w:val="007C3388"/>
    <w:rsid w:val="00806924"/>
    <w:rsid w:val="008512F3"/>
    <w:rsid w:val="00857458"/>
    <w:rsid w:val="00873A0F"/>
    <w:rsid w:val="00895FA0"/>
    <w:rsid w:val="008B1C2E"/>
    <w:rsid w:val="008D7C16"/>
    <w:rsid w:val="008E7632"/>
    <w:rsid w:val="008F0108"/>
    <w:rsid w:val="008F7F1C"/>
    <w:rsid w:val="00907FE0"/>
    <w:rsid w:val="009865B7"/>
    <w:rsid w:val="009B7E10"/>
    <w:rsid w:val="009C4014"/>
    <w:rsid w:val="009E0327"/>
    <w:rsid w:val="009F28EF"/>
    <w:rsid w:val="00A1739E"/>
    <w:rsid w:val="00B111AC"/>
    <w:rsid w:val="00B54C72"/>
    <w:rsid w:val="00B85C1E"/>
    <w:rsid w:val="00BE034D"/>
    <w:rsid w:val="00C15516"/>
    <w:rsid w:val="00C16C81"/>
    <w:rsid w:val="00C469BF"/>
    <w:rsid w:val="00C57739"/>
    <w:rsid w:val="00C65BE8"/>
    <w:rsid w:val="00CB451F"/>
    <w:rsid w:val="00CC4897"/>
    <w:rsid w:val="00D202A4"/>
    <w:rsid w:val="00D91669"/>
    <w:rsid w:val="00DF097A"/>
    <w:rsid w:val="00DF53A8"/>
    <w:rsid w:val="00E039BF"/>
    <w:rsid w:val="00E11822"/>
    <w:rsid w:val="00E14E0E"/>
    <w:rsid w:val="00E44255"/>
    <w:rsid w:val="00E73B02"/>
    <w:rsid w:val="00E74BF3"/>
    <w:rsid w:val="00E75998"/>
    <w:rsid w:val="00EF3610"/>
    <w:rsid w:val="00F177A4"/>
    <w:rsid w:val="00F74A59"/>
    <w:rsid w:val="00F97E29"/>
    <w:rsid w:val="00FB1507"/>
    <w:rsid w:val="00FB3609"/>
    <w:rsid w:val="00FC6B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7BEDB"/>
  <w15:chartTrackingRefBased/>
  <w15:docId w15:val="{5FC7602C-DB8E-4B05-AC0A-EC3FFAA27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F85"/>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Hanging12a">
    <w:name w:val="NormalHanging12a"/>
    <w:basedOn w:val="Normal"/>
    <w:link w:val="NormalHanging12aChar"/>
    <w:rsid w:val="00413ADF"/>
    <w:pPr>
      <w:widowControl w:val="0"/>
      <w:spacing w:after="240"/>
      <w:ind w:left="567" w:hanging="567"/>
    </w:pPr>
    <w:rPr>
      <w:lang w:val="pt-PT"/>
    </w:rPr>
  </w:style>
  <w:style w:type="character" w:customStyle="1" w:styleId="NormalHanging12aChar">
    <w:name w:val="NormalHanging12a Char"/>
    <w:basedOn w:val="DefaultParagraphFont"/>
    <w:link w:val="NormalHanging12a"/>
    <w:locked/>
    <w:rsid w:val="00413ADF"/>
    <w:rPr>
      <w:sz w:val="24"/>
      <w:lang w:val="pt-PT"/>
    </w:rPr>
  </w:style>
  <w:style w:type="character" w:styleId="CommentReference">
    <w:name w:val="annotation reference"/>
    <w:basedOn w:val="DefaultParagraphFont"/>
    <w:rsid w:val="00413ADF"/>
    <w:rPr>
      <w:sz w:val="16"/>
      <w:szCs w:val="16"/>
    </w:rPr>
  </w:style>
  <w:style w:type="paragraph" w:styleId="CommentText">
    <w:name w:val="annotation text"/>
    <w:basedOn w:val="Normal"/>
    <w:link w:val="CommentTextChar"/>
    <w:rsid w:val="00413ADF"/>
    <w:rPr>
      <w:sz w:val="20"/>
    </w:rPr>
  </w:style>
  <w:style w:type="character" w:customStyle="1" w:styleId="CommentTextChar">
    <w:name w:val="Comment Text Char"/>
    <w:basedOn w:val="DefaultParagraphFont"/>
    <w:link w:val="CommentText"/>
    <w:rsid w:val="00413ADF"/>
    <w:rPr>
      <w:lang w:val="fr-FR"/>
    </w:rPr>
  </w:style>
  <w:style w:type="paragraph" w:styleId="CommentSubject">
    <w:name w:val="annotation subject"/>
    <w:basedOn w:val="CommentText"/>
    <w:next w:val="CommentText"/>
    <w:link w:val="CommentSubjectChar"/>
    <w:rsid w:val="00413ADF"/>
    <w:rPr>
      <w:b/>
      <w:bCs/>
    </w:rPr>
  </w:style>
  <w:style w:type="character" w:customStyle="1" w:styleId="CommentSubjectChar">
    <w:name w:val="Comment Subject Char"/>
    <w:basedOn w:val="CommentTextChar"/>
    <w:link w:val="CommentSubject"/>
    <w:rsid w:val="00413ADF"/>
    <w:rPr>
      <w:b/>
      <w:bCs/>
      <w:lang w:val="fr-FR"/>
    </w:rPr>
  </w:style>
  <w:style w:type="paragraph" w:styleId="BalloonText">
    <w:name w:val="Balloon Text"/>
    <w:basedOn w:val="Normal"/>
    <w:link w:val="BalloonTextChar"/>
    <w:rsid w:val="00413ADF"/>
    <w:rPr>
      <w:rFonts w:ascii="Segoe UI" w:hAnsi="Segoe UI" w:cs="Segoe UI"/>
      <w:sz w:val="18"/>
      <w:szCs w:val="18"/>
    </w:rPr>
  </w:style>
  <w:style w:type="character" w:customStyle="1" w:styleId="BalloonTextChar">
    <w:name w:val="Balloon Text Char"/>
    <w:basedOn w:val="DefaultParagraphFont"/>
    <w:link w:val="BalloonText"/>
    <w:rsid w:val="00413ADF"/>
    <w:rPr>
      <w:rFonts w:ascii="Segoe UI" w:hAnsi="Segoe UI" w:cs="Segoe UI"/>
      <w:sz w:val="18"/>
      <w:szCs w:val="18"/>
      <w:lang w:val="fr-FR"/>
    </w:rPr>
  </w:style>
  <w:style w:type="character" w:styleId="Hyperlink">
    <w:name w:val="Hyperlink"/>
    <w:uiPriority w:val="99"/>
    <w:rsid w:val="00260F85"/>
    <w:rPr>
      <w:rFonts w:ascii="Times New Roman" w:hAnsi="Times New Roman"/>
      <w:color w:val="0000FF"/>
      <w:sz w:val="24"/>
      <w:u w:val="single"/>
    </w:rPr>
  </w:style>
  <w:style w:type="character" w:styleId="FollowedHyperlink">
    <w:name w:val="FollowedHyperlink"/>
    <w:basedOn w:val="DefaultParagraphFont"/>
    <w:rsid w:val="000346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82497-C37C-41FD-84F2-964915F50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335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SEMEDO Teresa2</dc:creator>
  <cp:keywords/>
  <cp:lastModifiedBy>MARTINSIsabelAlex</cp:lastModifiedBy>
  <cp:revision>2</cp:revision>
  <cp:lastPrinted>2014-08-07T13:15:00Z</cp:lastPrinted>
  <dcterms:created xsi:type="dcterms:W3CDTF">2025-07-15T07:44:00Z</dcterms:created>
  <dcterms:modified xsi:type="dcterms:W3CDTF">2025-07-15T07:44:00Z</dcterms:modified>
</cp:coreProperties>
</file>