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780" w:rsidTr="0010095E">
        <w:trPr>
          <w:trHeight w:hRule="exact" w:val="1418"/>
        </w:trPr>
        <w:tc>
          <w:tcPr>
            <w:tcW w:w="6804" w:type="dxa"/>
            <w:shd w:val="clear" w:color="auto" w:fill="auto"/>
            <w:vAlign w:val="center"/>
          </w:tcPr>
          <w:p w:rsidR="00751A4A" w:rsidRPr="00A73780" w:rsidRDefault="00CE4E70" w:rsidP="0010095E">
            <w:pPr>
              <w:pStyle w:val="EPName"/>
            </w:pPr>
            <w:r w:rsidRPr="00A73780">
              <w:t>Европейски</w:t>
            </w:r>
            <w:r w:rsidR="00B53728" w:rsidRPr="00A73780">
              <w:t xml:space="preserve"> парламент</w:t>
            </w:r>
          </w:p>
          <w:p w:rsidR="00751A4A" w:rsidRPr="00A73780" w:rsidRDefault="005F1B17" w:rsidP="005F1B17">
            <w:pPr>
              <w:pStyle w:val="EPTerm"/>
              <w:rPr>
                <w:rStyle w:val="HideTWBExt"/>
                <w:noProof w:val="0"/>
                <w:vanish w:val="0"/>
                <w:color w:val="auto"/>
              </w:rPr>
            </w:pPr>
            <w:r w:rsidRPr="00A73780">
              <w:t>2024</w:t>
            </w:r>
            <w:r w:rsidR="00CE4E70">
              <w:t> – </w:t>
            </w:r>
            <w:r w:rsidR="00817416" w:rsidRPr="00A73780">
              <w:t>202</w:t>
            </w:r>
            <w:r w:rsidRPr="00A73780">
              <w:t>9</w:t>
            </w:r>
          </w:p>
        </w:tc>
        <w:tc>
          <w:tcPr>
            <w:tcW w:w="2268" w:type="dxa"/>
            <w:shd w:val="clear" w:color="auto" w:fill="auto"/>
          </w:tcPr>
          <w:p w:rsidR="00751A4A" w:rsidRPr="00A73780" w:rsidRDefault="00187494" w:rsidP="0010095E">
            <w:pPr>
              <w:pStyle w:val="EPLogo"/>
            </w:pPr>
            <w:r w:rsidRPr="00A737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3780" w:rsidRDefault="00D058B8" w:rsidP="004C5D52">
      <w:pPr>
        <w:pStyle w:val="LineTop"/>
      </w:pPr>
    </w:p>
    <w:p w:rsidR="00680577" w:rsidRPr="00A73780" w:rsidRDefault="00B53728" w:rsidP="00680577">
      <w:pPr>
        <w:pStyle w:val="EPBodyTA1"/>
      </w:pPr>
      <w:r w:rsidRPr="00A73780">
        <w:t>ПРИЕТИ ТЕКСТОВЕ</w:t>
      </w:r>
    </w:p>
    <w:p w:rsidR="00D058B8" w:rsidRPr="00A73780" w:rsidRDefault="00D058B8" w:rsidP="00D058B8">
      <w:pPr>
        <w:pStyle w:val="LineBottom"/>
      </w:pPr>
    </w:p>
    <w:p w:rsidR="00B53728" w:rsidRPr="00A73780" w:rsidRDefault="00B53728" w:rsidP="00B53728">
      <w:pPr>
        <w:pStyle w:val="ATHeading1"/>
      </w:pPr>
      <w:bookmarkStart w:id="0" w:name="TANumber"/>
      <w:r w:rsidRPr="00A73780">
        <w:t>P10_TA(2025)0</w:t>
      </w:r>
      <w:r w:rsidR="00AD7CF3">
        <w:rPr>
          <w:lang w:val="en-GB"/>
        </w:rPr>
        <w:t>114</w:t>
      </w:r>
      <w:bookmarkEnd w:id="0"/>
    </w:p>
    <w:p w:rsidR="00B53728" w:rsidRPr="00A73780" w:rsidRDefault="00B53728" w:rsidP="00B53728">
      <w:pPr>
        <w:pStyle w:val="ATHeading2"/>
      </w:pPr>
      <w:bookmarkStart w:id="1" w:name="title"/>
      <w:r w:rsidRPr="00A73780">
        <w:t>Разисквания на комисията по петиции през 2023 г.</w:t>
      </w:r>
      <w:bookmarkEnd w:id="1"/>
    </w:p>
    <w:p w:rsidR="00B53728" w:rsidRPr="00A73780" w:rsidRDefault="00B53728" w:rsidP="00B53728">
      <w:pPr>
        <w:rPr>
          <w:i/>
          <w:vanish/>
        </w:rPr>
      </w:pPr>
      <w:r w:rsidRPr="00A73780">
        <w:rPr>
          <w:i/>
        </w:rPr>
        <w:fldChar w:fldCharType="begin"/>
      </w:r>
      <w:r w:rsidRPr="00A73780">
        <w:rPr>
          <w:i/>
        </w:rPr>
        <w:instrText xml:space="preserve"> TC"(</w:instrText>
      </w:r>
      <w:bookmarkStart w:id="2" w:name="DocNumber"/>
      <w:r w:rsidRPr="00A73780">
        <w:rPr>
          <w:i/>
        </w:rPr>
        <w:instrText>A10-0063/2025</w:instrText>
      </w:r>
      <w:bookmarkEnd w:id="2"/>
      <w:r w:rsidRPr="00A73780">
        <w:rPr>
          <w:i/>
        </w:rPr>
        <w:instrText xml:space="preserve"> - Докладчик: Георге Фалка)"\l3 \n&gt; \* MERGEFORMAT </w:instrText>
      </w:r>
      <w:r w:rsidRPr="00A73780">
        <w:rPr>
          <w:i/>
        </w:rPr>
        <w:fldChar w:fldCharType="end"/>
      </w:r>
    </w:p>
    <w:p w:rsidR="00B53728" w:rsidRPr="00A73780" w:rsidRDefault="00B53728" w:rsidP="00B53728">
      <w:pPr>
        <w:rPr>
          <w:vanish/>
        </w:rPr>
      </w:pPr>
      <w:bookmarkStart w:id="3" w:name="Commission"/>
      <w:r w:rsidRPr="00A73780">
        <w:rPr>
          <w:vanish/>
        </w:rPr>
        <w:t>Комисия по петиции</w:t>
      </w:r>
      <w:bookmarkEnd w:id="3"/>
    </w:p>
    <w:p w:rsidR="00B53728" w:rsidRPr="00A73780" w:rsidRDefault="00B53728" w:rsidP="00B53728">
      <w:pPr>
        <w:rPr>
          <w:vanish/>
        </w:rPr>
      </w:pPr>
      <w:bookmarkStart w:id="4" w:name="PE"/>
      <w:r w:rsidRPr="00A73780">
        <w:rPr>
          <w:vanish/>
        </w:rPr>
        <w:t>PE768.068</w:t>
      </w:r>
      <w:bookmarkEnd w:id="4"/>
    </w:p>
    <w:p w:rsidR="00B53728" w:rsidRPr="00A73780" w:rsidRDefault="00B53728" w:rsidP="00B53728">
      <w:pPr>
        <w:pStyle w:val="ATHeading3"/>
      </w:pPr>
      <w:bookmarkStart w:id="5" w:name="Sujet"/>
      <w:r w:rsidRPr="00A73780">
        <w:t xml:space="preserve">Резолюция на Европейския парламент от </w:t>
      </w:r>
      <w:r w:rsidR="0054086F">
        <w:t>22 май</w:t>
      </w:r>
      <w:r w:rsidR="0054086F" w:rsidRPr="00A73780">
        <w:t xml:space="preserve"> </w:t>
      </w:r>
      <w:r w:rsidRPr="00A73780">
        <w:t>2025 г. относно разискванията на комисията по петиции през 2023 г.</w:t>
      </w:r>
      <w:bookmarkEnd w:id="5"/>
      <w:r w:rsidRPr="00A73780">
        <w:t xml:space="preserve"> </w:t>
      </w:r>
      <w:bookmarkStart w:id="6" w:name="References"/>
      <w:r w:rsidRPr="00A73780">
        <w:t>(2025/2027(INI))</w:t>
      </w:r>
      <w:bookmarkEnd w:id="6"/>
    </w:p>
    <w:p w:rsidR="002B4B29" w:rsidRPr="00A73780" w:rsidRDefault="002B4B29" w:rsidP="002B4B29">
      <w:pPr>
        <w:pStyle w:val="EPComma"/>
      </w:pPr>
      <w:r w:rsidRPr="00A73780">
        <w:rPr>
          <w:i/>
          <w:iCs/>
        </w:rPr>
        <w:t>Европейският парламент,</w:t>
      </w:r>
    </w:p>
    <w:p w:rsidR="002B4B29" w:rsidRPr="00A73780" w:rsidRDefault="002B4B29" w:rsidP="002B4B29">
      <w:pPr>
        <w:pStyle w:val="NormalHanging12a"/>
      </w:pPr>
      <w:r w:rsidRPr="00A73780">
        <w:t>–</w:t>
      </w:r>
      <w:r w:rsidRPr="00A73780">
        <w:tab/>
        <w:t>като взе предвид своите предишни резолюции относно резултата от разискванията на комисията по петиции,</w:t>
      </w:r>
    </w:p>
    <w:p w:rsidR="002B4B29" w:rsidRPr="00A73780" w:rsidRDefault="002B4B29" w:rsidP="002B4B29">
      <w:pPr>
        <w:pStyle w:val="NormalHanging12a"/>
      </w:pPr>
      <w:r w:rsidRPr="00A73780">
        <w:t>–</w:t>
      </w:r>
      <w:r w:rsidRPr="00A73780">
        <w:tab/>
        <w:t>като взе предвид членове 10 и 11 от Договора за Европейския съюз (ДЕС),</w:t>
      </w:r>
    </w:p>
    <w:p w:rsidR="002B4B29" w:rsidRPr="00A73780" w:rsidRDefault="002B4B29" w:rsidP="002B4B29">
      <w:pPr>
        <w:pStyle w:val="NormalHanging12a"/>
      </w:pPr>
      <w:r w:rsidRPr="00A73780">
        <w:t>–</w:t>
      </w:r>
      <w:r w:rsidRPr="00A73780">
        <w:tab/>
        <w:t>като взе предвид членове 20, 24 и 227 от Договора за функционирането на Европейския съюз (ДФЕС) относно правото на гражданите на ЕС и на пребиваващите в ЕС лица да представят своите опасения на вниманието на Парламента,</w:t>
      </w:r>
    </w:p>
    <w:p w:rsidR="002B4B29" w:rsidRPr="00A73780" w:rsidRDefault="002B4B29" w:rsidP="002B4B29">
      <w:pPr>
        <w:pStyle w:val="NormalHanging12a"/>
      </w:pPr>
      <w:r w:rsidRPr="00A73780">
        <w:t>–</w:t>
      </w:r>
      <w:r w:rsidRPr="00A73780">
        <w:tab/>
        <w:t>като взе предвид член 228 от ДФЕС относно ролята и функциите на Европейския омбудсман,</w:t>
      </w:r>
    </w:p>
    <w:p w:rsidR="002B4B29" w:rsidRPr="00A73780" w:rsidRDefault="002B4B29" w:rsidP="002B4B29">
      <w:pPr>
        <w:pStyle w:val="NormalHanging12a"/>
      </w:pPr>
      <w:r w:rsidRPr="00A73780">
        <w:t>–</w:t>
      </w:r>
      <w:r w:rsidRPr="00A73780">
        <w:tab/>
        <w:t>като взе предвид член 44 от Хартата на основните права на Европейския съюз относно правото да се отправя петиция до Европейския парламент,</w:t>
      </w:r>
    </w:p>
    <w:p w:rsidR="002B4B29" w:rsidRDefault="002B4B29" w:rsidP="002B4B29">
      <w:pPr>
        <w:pStyle w:val="NormalHanging12a"/>
      </w:pPr>
      <w:r w:rsidRPr="00A73780">
        <w:t>–</w:t>
      </w:r>
      <w:r w:rsidRPr="00A73780">
        <w:tab/>
        <w:t>като взе предвид разпоредбите на ДФЕС относно производството за установяване на нарушение, и по-специално членове 258 и 260 от него,</w:t>
      </w:r>
    </w:p>
    <w:p w:rsidR="009F5A66" w:rsidRPr="00A73780" w:rsidRDefault="009F5A66" w:rsidP="002B4B29">
      <w:pPr>
        <w:pStyle w:val="NormalHanging12a"/>
      </w:pPr>
      <w:r w:rsidRPr="009F5A66">
        <w:t>–</w:t>
      </w:r>
      <w:r w:rsidRPr="009F5A66">
        <w:tab/>
        <w:t>като взе предвид заключителните бележки на Комитета на ООН за правата на хората с увреждания от 21 март 2025 г. относно комбинираните втори и трети периодичен доклад на Европейския съюз,</w:t>
      </w:r>
    </w:p>
    <w:p w:rsidR="002B4B29" w:rsidRPr="00A73780" w:rsidRDefault="002B4B29" w:rsidP="002B4B29">
      <w:pPr>
        <w:pStyle w:val="NormalHanging12a"/>
      </w:pPr>
      <w:r w:rsidRPr="00A73780">
        <w:t>–</w:t>
      </w:r>
      <w:r w:rsidRPr="00A73780">
        <w:tab/>
        <w:t>като взе предвид член 55 и член 233, параграф 7 от своя Правилник за дейността,</w:t>
      </w:r>
    </w:p>
    <w:p w:rsidR="002B4B29" w:rsidRPr="00A73780" w:rsidRDefault="002B4B29" w:rsidP="002B4B29">
      <w:pPr>
        <w:pStyle w:val="NormalHanging12a"/>
      </w:pPr>
      <w:r w:rsidRPr="00A73780">
        <w:t>–</w:t>
      </w:r>
      <w:r w:rsidRPr="00A73780">
        <w:tab/>
        <w:t>като взе предвид доклада на комисията по петиции (A10-0063/2025),</w:t>
      </w:r>
    </w:p>
    <w:p w:rsidR="002B4B29" w:rsidRPr="00A73780" w:rsidRDefault="002B4B29" w:rsidP="002B4B29">
      <w:pPr>
        <w:pStyle w:val="NormalHanging12a"/>
      </w:pPr>
      <w:r w:rsidRPr="00A73780">
        <w:t>А.</w:t>
      </w:r>
      <w:r w:rsidRPr="00A73780">
        <w:tab/>
        <w:t>като има предвид, че целта на годишния доклад относно резултата от разискванията на комисията по петиции е да се представи анализ на получените през 2023 г. петиции и на връзките с други институции, както и да се даде точна представа за постигнатите през 2023 г. цели;</w:t>
      </w:r>
    </w:p>
    <w:p w:rsidR="002B4B29" w:rsidRPr="00A73780" w:rsidRDefault="002B4B29" w:rsidP="002B4B29">
      <w:pPr>
        <w:pStyle w:val="NormalHanging12a"/>
      </w:pPr>
      <w:r w:rsidRPr="00A73780">
        <w:t>Б.</w:t>
      </w:r>
      <w:r w:rsidRPr="00A73780">
        <w:tab/>
        <w:t xml:space="preserve">като има предвид, че през 2023 г. Парламентът получи 1452 петиции, което представлява увеличение с 16,2% в сравнение с 1217 петиции, внесени през </w:t>
      </w:r>
      <w:r w:rsidRPr="00A73780">
        <w:lastRenderedPageBreak/>
        <w:t>2022 г., и с 4,0% в сравнение с 1392 петиции, внесени през 2021 г.; като има предвид, че общият брой на получените петиции продължава да бъде чувствително по-нисък от най-високия брой, достигнат през 2013 г. и 2014 г., когато Парламентът получи съответно 2891 и 2715 петиции;</w:t>
      </w:r>
    </w:p>
    <w:p w:rsidR="002B4B29" w:rsidRPr="00A73780" w:rsidRDefault="002B4B29" w:rsidP="002B4B29">
      <w:pPr>
        <w:pStyle w:val="NormalHanging12a"/>
      </w:pPr>
      <w:r w:rsidRPr="00A73780">
        <w:t>В.</w:t>
      </w:r>
      <w:r w:rsidRPr="00A73780">
        <w:tab/>
        <w:t>като има предвид, че през 2023 г. броят на ползвателите, подкрепящи една или повече петиции на уеб портала за петиции на Парламента, беше 26 331, което представлява значително увеличение в сравнение с 22 441 ползватели, регистрирани през 2022 г. (като и в двата случая броят е значително по-нисък от регистрираните през 2021 г. 209 272 души, подкрепящи петиция); като има предвид, че броят на щракванията в подкрепа на петиции също се е увеличил през 2023 г., достигайки общо 29 287 (в сравнение с 27 927 през 2022 г. и 217 876 през 2021 г.);</w:t>
      </w:r>
    </w:p>
    <w:p w:rsidR="002B4B29" w:rsidRPr="00A73780" w:rsidRDefault="002B4B29" w:rsidP="002B4B29">
      <w:pPr>
        <w:pStyle w:val="NormalHanging12a"/>
      </w:pPr>
      <w:r w:rsidRPr="00A73780">
        <w:t>Г.</w:t>
      </w:r>
      <w:r w:rsidRPr="00A73780">
        <w:tab/>
        <w:t>като има предвид обаче, че общият брой на петициите остава скромен спрямо общото население на ЕС, което показва, че все още е необходимо да се увеличат усилията за повишаване на осведомеността на гражданите относно правото им на петиция и евентуалната полза от петициите като средство за привличане на вниманието на институциите и държавите членки към въпроси, които засягат гражданите пряко; като има предвид, че при упражняване на правото си на петиция гражданите очакват институциите на ЕС да предоставят добавена стойност чрез намиране на решения за техните проблеми;</w:t>
      </w:r>
    </w:p>
    <w:p w:rsidR="002B4B29" w:rsidRPr="00A73780" w:rsidRDefault="002B4B29" w:rsidP="002B4B29">
      <w:pPr>
        <w:pStyle w:val="NormalHanging12a"/>
      </w:pPr>
      <w:r w:rsidRPr="00A73780">
        <w:t>Д.</w:t>
      </w:r>
      <w:r w:rsidRPr="00A73780">
        <w:tab/>
        <w:t>като има предвид, че критериите за допустимост на петициите са посочени в член 227 от ДФЕС и в член 232, параграф 1 от Правилника за дейността на Европейския парламент, които изискват петициите да се подават от гражданин на ЕС или от физическо или юридическо лице, което пребивава или има седалище на територията на държава членка и което е пряко засегнато от въпроси, които се отнасят до областите на компетентност на ЕС;</w:t>
      </w:r>
    </w:p>
    <w:p w:rsidR="002B4B29" w:rsidRDefault="002B4B29" w:rsidP="002B4B29">
      <w:pPr>
        <w:pStyle w:val="NormalHanging12a"/>
      </w:pPr>
      <w:r w:rsidRPr="00A73780">
        <w:t>Е.</w:t>
      </w:r>
      <w:r w:rsidRPr="00A73780">
        <w:tab/>
        <w:t>като има предвид, че от общо 1 452 петиции, внесени през 2023 г., 429 бяха обявени за недопустими, а 13 бяха оттеглени; като има предвид, че високият процент (29,55%) на недопустимите петиции през 2023 г. потвърждава, че все още има широко непознаване на обхвата на областите на компетентност на ЕС; като има предвид, че за да се намали броят на недопустимите петиции, е необходимо да се положат още усилия за допълнително изясняване на обхвата на областите на компетентност на ЕС;</w:t>
      </w:r>
    </w:p>
    <w:p w:rsidR="009F5A66" w:rsidRPr="00BA487E" w:rsidRDefault="009F5A66" w:rsidP="002B4B29">
      <w:pPr>
        <w:pStyle w:val="NormalHanging12a"/>
        <w:rPr>
          <w:bCs/>
          <w:iCs/>
        </w:rPr>
      </w:pPr>
      <w:r>
        <w:rPr>
          <w:bCs/>
          <w:iCs/>
          <w:szCs w:val="24"/>
          <w:lang w:eastAsia="en-US"/>
        </w:rPr>
        <w:t>Ж</w:t>
      </w:r>
      <w:r w:rsidRPr="005C2775">
        <w:rPr>
          <w:bCs/>
          <w:iCs/>
          <w:szCs w:val="24"/>
          <w:lang w:eastAsia="en-US"/>
        </w:rPr>
        <w:t>.</w:t>
      </w:r>
      <w:r w:rsidRPr="00BA487E">
        <w:rPr>
          <w:bCs/>
          <w:iCs/>
          <w:szCs w:val="24"/>
          <w:lang w:eastAsia="en-US"/>
        </w:rPr>
        <w:tab/>
      </w:r>
      <w:r w:rsidRPr="005C2775">
        <w:rPr>
          <w:bCs/>
          <w:iCs/>
          <w:szCs w:val="24"/>
          <w:lang w:eastAsia="en-US"/>
        </w:rPr>
        <w:t xml:space="preserve">като има предвид, че комисията по петиции (PETI) изигра значителната в борбата с дискриминацията срещу румънските и българските граждани през периода, през който техните държави все още не се бяха присъединили към Шенгенското пространство; като има предвид, че комисията PETI даде ключов принос за застъпничеството за равно третиране и преодоляването на необоснованите пречки, пред които бяха изправени тези граждани; като има предвид, че началото беше сложено с  петиция </w:t>
      </w:r>
      <w:r w:rsidR="0034001E">
        <w:rPr>
          <w:bCs/>
          <w:iCs/>
          <w:szCs w:val="24"/>
          <w:lang w:eastAsia="en-US"/>
        </w:rPr>
        <w:t>№</w:t>
      </w:r>
      <w:r w:rsidR="0034001E">
        <w:rPr>
          <w:bCs/>
          <w:iCs/>
          <w:szCs w:val="24"/>
          <w:lang w:val="en-GB" w:eastAsia="en-US"/>
        </w:rPr>
        <w:t xml:space="preserve"> </w:t>
      </w:r>
      <w:r w:rsidRPr="005C2775">
        <w:rPr>
          <w:bCs/>
          <w:iCs/>
          <w:szCs w:val="24"/>
          <w:lang w:eastAsia="en-US"/>
        </w:rPr>
        <w:t>0004/2023, внесена от Разван Еуген Николеску от името на Asociatia pentru Energie Curata si Combaterea Schimbarilor Climatice, както и с последващата пленарна резолюция относно присъединяването към Шенгенското пространство, приета съгласно член 227, параграф 2 от Правилника за дейността</w:t>
      </w:r>
      <w:r>
        <w:rPr>
          <w:rStyle w:val="FootnoteReference"/>
          <w:bCs/>
          <w:iCs/>
          <w:szCs w:val="24"/>
          <w:lang w:eastAsia="en-US"/>
        </w:rPr>
        <w:footnoteReference w:id="1"/>
      </w:r>
      <w:r w:rsidRPr="005C2775">
        <w:rPr>
          <w:bCs/>
          <w:iCs/>
          <w:szCs w:val="24"/>
          <w:lang w:eastAsia="en-US"/>
        </w:rPr>
        <w:t>;</w:t>
      </w:r>
    </w:p>
    <w:p w:rsidR="002B4B29" w:rsidRPr="00A73780" w:rsidRDefault="009F5A66" w:rsidP="002B4B29">
      <w:pPr>
        <w:pStyle w:val="NormalHanging12a"/>
      </w:pPr>
      <w:r>
        <w:lastRenderedPageBreak/>
        <w:t>З</w:t>
      </w:r>
      <w:r w:rsidR="002B4B29" w:rsidRPr="00A73780">
        <w:t>.</w:t>
      </w:r>
      <w:r w:rsidR="002B4B29" w:rsidRPr="00A73780">
        <w:tab/>
        <w:t>като има предвид, че правото на подаване на петиция до Парламента е основно право на гражданите на ЕС и че това право предлага както на гражданите, така и на пребиваващите в ЕС лица открит, демократичен и прозрачен механизъм пряко да се обърнат към избраните от тях представители; като има предвид, че този съществен инструмент дава възможност на гражданите да участват активно и ефективно в живота на Съюза; като има предвид, че чрез петициите гражданите на ЕС могат да подават оплаквания във връзка с пропуски в прилагането на правото на ЕС и да спомагат за установяване на нарушения на правото на ЕС;</w:t>
      </w:r>
    </w:p>
    <w:p w:rsidR="002B4B29" w:rsidRPr="00A73780" w:rsidRDefault="009F5A66" w:rsidP="002B4B29">
      <w:pPr>
        <w:pStyle w:val="NormalHanging12a"/>
      </w:pPr>
      <w:r>
        <w:t>И</w:t>
      </w:r>
      <w:r w:rsidR="002B4B29" w:rsidRPr="00A73780">
        <w:t>.</w:t>
      </w:r>
      <w:r w:rsidR="002B4B29" w:rsidRPr="00A73780">
        <w:tab/>
        <w:t xml:space="preserve">като има предвид, че Парламентът е единствената институция на ЕС, избирана пряко от гражданите на ЕС; като има предвид, че правото на петиция до Европейския парламент е едно от основните права на гражданите и жителите на ЕС и че то им позволява да се обръщат директно към своите избрани представители; </w:t>
      </w:r>
      <w:r w:rsidRPr="009F5A66">
        <w:t xml:space="preserve">като има предвид, че много хора с увреждания нямат равен достъп до информация и комуникация поради ограничената наличност на достъпни формати и поради факта, че националните жестомимични езици не се признават за част от многоезичието на ЕС; </w:t>
      </w:r>
      <w:r w:rsidR="002B4B29" w:rsidRPr="00A73780">
        <w:t>като има предвид, че в международен план Парламентът от дълго време е в челните редици, що се отнася до разработването на процедурата за внасяне и разглеждане на петиции, и че разполага с най-отворената, демократична и прозрачна система за внасяне и разглеждане на петиции в Европа, позволявайки на вносителите на петиции да участват активно и ефективно в неговите дейности; като има предвид, че при упражняването на правото на петиция гражданите очакват институциите на ЕС да предоставят добавена стойност, като си сътрудничат с Европейската комисия и органите на държавите членки за решаване на техните проблеми;</w:t>
      </w:r>
    </w:p>
    <w:p w:rsidR="002B4B29" w:rsidRPr="00A73780" w:rsidRDefault="00F14579" w:rsidP="002B4B29">
      <w:pPr>
        <w:pStyle w:val="NormalHanging12a"/>
      </w:pPr>
      <w:r>
        <w:t>Й</w:t>
      </w:r>
      <w:r w:rsidR="002B4B29" w:rsidRPr="00A73780">
        <w:t>.</w:t>
      </w:r>
      <w:r w:rsidR="002B4B29" w:rsidRPr="00A73780">
        <w:tab/>
        <w:t>като има предвид, че информацията, предоставена от вносителите на петиции в техните петиции и по време на заседанията на комисиите, както и оценките на Европейската комисия и отговорите на държавите членки и други органи също предоставят ценен принос за работата на други парламентарни комисии, с оглед на това, че допустимите петиции се изпращат на съответната комисия за становище или за сведение; като има предвид, че следователно петициите могат също така да играят роля в законодателния процес, като предоставят конкретна обратна връзка относно въздействието на политиките на ЕС и дават възможност на политиките да отговорят на възникващите потребности;</w:t>
      </w:r>
    </w:p>
    <w:p w:rsidR="002B4B29" w:rsidRPr="00A73780" w:rsidRDefault="00F14579" w:rsidP="002B4B29">
      <w:pPr>
        <w:pStyle w:val="NormalHanging12a"/>
      </w:pPr>
      <w:r>
        <w:t>К</w:t>
      </w:r>
      <w:r w:rsidR="002B4B29" w:rsidRPr="00A73780">
        <w:t>.</w:t>
      </w:r>
      <w:r w:rsidR="002B4B29" w:rsidRPr="00A73780">
        <w:tab/>
        <w:t>като има предвид, че дейностите на комисията по петиции се основават на информацията, предоставена от вносителите на петиции, което дава възможност на Парламента да подобри възможностите си да отговаря на жалби и опасения, свързани със зачитането на основните права на ЕС и спазването на законодателството на ЕС в държавите членки; като има предвид, че следователно петициите са полезен източник на информация относно случаи на неправилно прилагане или нарушения на правото на ЕС, като дават възможност за оценка на прилагането на правото на ЕС и неговото въздействие върху правата на гражданите на ЕС и пребиваващите в ЕС лица; като има предвид, че през 2023 г. основните права бяха сред трите най-важни въпроса, повдигнати от всички вносители на петиции; като има предвид, че в рамките на структурирания диалог с Европейската комисия комисията по петиции призова Европейската комисия да се бори с дискриминацията в Европейския съюз, включително чрез инициативи за гарантиране на равни права и засилване на мерките срещу всички форми на дискриминация, включително въз основа на пол, расов или етнически произход, увреждане, възраст, религия или убеждения и сексуална ориентация;</w:t>
      </w:r>
    </w:p>
    <w:p w:rsidR="002B4B29" w:rsidRPr="00A73780" w:rsidRDefault="00F14579" w:rsidP="002B4B29">
      <w:pPr>
        <w:pStyle w:val="NormalHanging12a"/>
        <w:rPr>
          <w:b/>
          <w:i/>
        </w:rPr>
      </w:pPr>
      <w:r>
        <w:lastRenderedPageBreak/>
        <w:t>Л</w:t>
      </w:r>
      <w:r w:rsidR="002B4B29" w:rsidRPr="00A73780">
        <w:t>.</w:t>
      </w:r>
      <w:r w:rsidR="002B4B29" w:rsidRPr="00A73780">
        <w:tab/>
        <w:t>като има предвид, че съгласно член 17 от ДЕС Европейската комисия следва да гарантира правилното прилагане на Договорите и на мерките, приети съгласно тях; като има предвид, че стратегическият подход на Европейската комисия към разглеждането на въпросите, повдигнати в петициите, трябва да бъде в пълно съответствие с Договорите, за да се осигурят най-ефективни последващи действия във връзка с петициите, така че да се гарантира пълна и навременна защита на правата на гражданите, произтичащи от правото на ЕС;</w:t>
      </w:r>
    </w:p>
    <w:p w:rsidR="002B4B29" w:rsidRPr="00A73780" w:rsidRDefault="00F14579" w:rsidP="002B4B29">
      <w:pPr>
        <w:pStyle w:val="NormalHanging12a"/>
      </w:pPr>
      <w:r>
        <w:t>М</w:t>
      </w:r>
      <w:r w:rsidR="002B4B29" w:rsidRPr="00A73780">
        <w:t>.</w:t>
      </w:r>
      <w:r w:rsidR="002B4B29" w:rsidRPr="00A73780">
        <w:tab/>
        <w:t>като има предвид, че всяка петиция трябва да се разглежда и обработва внимателно, ефективно, безпристрастно, справедливо и прозрачно, в съответствие със стандартите, заложени в член 41 от Хартата на основните права на Европейския съюз относно правото на добра администрация; като има предвид, че всички вносители на петиция имат право да получи в разумен срок отговор, информиращ ги за решението за допустимост, както и за предприетите от комисията по петиции последващи действия, на своя език или на езика, използван в петицията; като има предвид, че своевременните и ефективни отговори от Европейската комисия и държавите членки на въпросите, повдигнати в петициите, заедно с решения за преодоляване на проблема, по целесъобразност, допринасят за укрепването на доверието на гражданите в Съюза и неговите политики;</w:t>
      </w:r>
    </w:p>
    <w:p w:rsidR="002B4B29" w:rsidRPr="00A73780" w:rsidRDefault="00F14579" w:rsidP="002B4B29">
      <w:pPr>
        <w:pStyle w:val="NormalHanging12a"/>
      </w:pPr>
      <w:r>
        <w:t>Н</w:t>
      </w:r>
      <w:r w:rsidR="002B4B29" w:rsidRPr="00A73780">
        <w:t>.</w:t>
      </w:r>
      <w:r w:rsidR="002B4B29" w:rsidRPr="00A73780">
        <w:tab/>
        <w:t>като има предвид, че комисията по петиции отдава първостепенно значение на разглеждането и публичното обсъждане на петициите по време на своите заседания; като има предвид, че вносителите на петиции имат право да представят своите петиции и често вземат думата по време на обсъждането, като по този начин допринасят активно за работата на комисията по петиции; като има предвид, че през 2023 г. комисията по петиции проведе 10 заседания, на които бяха обсъдени 191 петиции със 114 присъстващи вносители на петиции, които участваха активно, като взеха думата;</w:t>
      </w:r>
    </w:p>
    <w:p w:rsidR="002B4B29" w:rsidRPr="00A73780" w:rsidRDefault="00F14579" w:rsidP="002B4B29">
      <w:pPr>
        <w:pStyle w:val="NormalHanging12a"/>
      </w:pPr>
      <w:r>
        <w:t>О</w:t>
      </w:r>
      <w:r w:rsidR="002B4B29" w:rsidRPr="00A73780">
        <w:t>.</w:t>
      </w:r>
      <w:r w:rsidR="002B4B29" w:rsidRPr="00A73780">
        <w:tab/>
        <w:t>като има предвид, че основните поводи за безпокойство, изразявани в петициите, внесени през 2023 г., са свързани с околната среда, основните права, лични въпроси и правосъдието;</w:t>
      </w:r>
    </w:p>
    <w:p w:rsidR="002B4B29" w:rsidRPr="00A73780" w:rsidRDefault="00F14579" w:rsidP="002B4B29">
      <w:pPr>
        <w:pStyle w:val="NormalHanging12a"/>
      </w:pPr>
      <w:r>
        <w:t>П</w:t>
      </w:r>
      <w:r w:rsidR="002B4B29" w:rsidRPr="00A73780">
        <w:t>.</w:t>
      </w:r>
      <w:r w:rsidR="002B4B29" w:rsidRPr="00A73780">
        <w:rPr>
          <w:color w:val="FF0000"/>
        </w:rPr>
        <w:tab/>
      </w:r>
      <w:r w:rsidR="002B4B29" w:rsidRPr="00A73780">
        <w:t>като има предвид, че при приемането на дневния ред на своите заседания комисията по петиции обръща внимание на петициите и темите, които са с висока степен на значимост за разискванията на равнището на ЕС, както и на необходимостта от поддържане на балансирано географско покритие на темите в съответствие с получените петиции;</w:t>
      </w:r>
    </w:p>
    <w:p w:rsidR="002B4B29" w:rsidRPr="00A73780" w:rsidRDefault="00F14579" w:rsidP="002B4B29">
      <w:pPr>
        <w:pStyle w:val="NormalHanging12a"/>
      </w:pPr>
      <w:r>
        <w:t>Р</w:t>
      </w:r>
      <w:r w:rsidR="002B4B29" w:rsidRPr="00A73780">
        <w:t>.</w:t>
      </w:r>
      <w:r w:rsidR="002B4B29" w:rsidRPr="00A73780">
        <w:tab/>
        <w:t>като има предвид, че 82,4% от получените през 2023 г. петиции са внесени през уеб портала за петиции на Парламента, което представлява леко увеличение в сравнение с 2022 г. (79,05%), с което отново се потвърждава, че засега порталът е най-често използваният канал, чрез който гражданите внасят петиции до Парламента;</w:t>
      </w:r>
    </w:p>
    <w:p w:rsidR="002B4B29" w:rsidRPr="00A73780" w:rsidRDefault="00F14579" w:rsidP="002B4B29">
      <w:pPr>
        <w:pStyle w:val="NormalHanging12a"/>
      </w:pPr>
      <w:r>
        <w:t>С</w:t>
      </w:r>
      <w:r w:rsidR="002B4B29" w:rsidRPr="00A73780">
        <w:t>.</w:t>
      </w:r>
      <w:r w:rsidR="002B4B29" w:rsidRPr="00A73780">
        <w:tab/>
        <w:t xml:space="preserve">като има предвид, че през февруари 2023 г. уеб порталът за петиции беше обновен и стартиран отново, за да бъде приведен в съответствие с настоящите очаквания и да се улеснят пребиваващите в държавите членки лица да упражняват правото си да внасят петиции в Парламента; като има предвид, че актуализираният портал за петиции 2.0 се интегрира безпроблемно с инструмента на Парламента за публикуване в интернет, като дава възможност за по-бързи и по-прости </w:t>
      </w:r>
      <w:r w:rsidR="002B4B29" w:rsidRPr="00A73780">
        <w:lastRenderedPageBreak/>
        <w:t>актуализации на съдържанието и нови функции (включително седем „кратки ръководства“, които предоставят ясни поетапни инструкции за подаване, проследяване и подкрепа на петиции); като има предвид, че нова търсачка, основаваща се на технология за „еластично търсене“, подобри условията за ползвателите чрез ефективно предоставяне на по-точни резултати, което води до това, че новият портал дава приоритет на един наистина ориентиран към гражданите подход; като има предвид, че през 2023 г. всички петиции бяха изготвени и публикувани своевременно, в срок от няколко дни след одобряването им, и на всички вътрешни и външни искания за подкрепа във връзка с използването и съдържанието на портала за петиции беше отговорено успешно, своевременно и на всички езици;</w:t>
      </w:r>
    </w:p>
    <w:p w:rsidR="002B4B29" w:rsidRPr="00A73780" w:rsidRDefault="00F14579" w:rsidP="002B4B29">
      <w:pPr>
        <w:pStyle w:val="NormalHanging12a"/>
      </w:pPr>
      <w:r>
        <w:t>Т</w:t>
      </w:r>
      <w:r w:rsidR="002B4B29" w:rsidRPr="00A73780">
        <w:t>.</w:t>
      </w:r>
      <w:r w:rsidR="002B4B29" w:rsidRPr="00A73780">
        <w:tab/>
        <w:t>като има предвид, че през 2023 г. комисията по петиции (PETI) извърши четири констативни посещения, по време на които членове на ЕП пътуваха до Румъния, за да проучат управлението и защитата на популацията от кафяви мечки и незаконната сеч, до Донегал (Ирландия), за да разследват използването на дефектни блокове слюда в строителството в Ирландия, и до Каталония (Испания), за да оценят на място модела на обучение на различни езици в Каталония; като има предвид, че членове на комисията PETI също така участваха в съвместна делегация на комисията по заетост и социални въпроси, комисията по граждански свободи, правосъдие и вътрешни работи и комисията PETI, която делегация посети Ню Йорк, за да присъства на 16-ата сесия на Конференцията на държавите – страни по Конвенцията за правата на хората с увреждания;</w:t>
      </w:r>
    </w:p>
    <w:p w:rsidR="002B4B29" w:rsidRPr="00A73780" w:rsidRDefault="00F14579" w:rsidP="002B4B29">
      <w:pPr>
        <w:pStyle w:val="NormalHanging12a"/>
      </w:pPr>
      <w:r>
        <w:t>У</w:t>
      </w:r>
      <w:r w:rsidR="002B4B29" w:rsidRPr="00A73780">
        <w:t>.</w:t>
      </w:r>
      <w:r w:rsidR="002B4B29" w:rsidRPr="00A73780">
        <w:tab/>
        <w:t>като има предвид, че съгласно Правилника за дейността на Парламента комисията по петиции отговаря също така и за отношенията с Европейския омбудсман, който разследва жалби относно лошо управление в институциите и органите на ЕС; като има предвид, че предишният европейски омбудсман Емили О’Райли представи годишния си доклад за 2022 г. на комисията по петиции на заседанието ѝ от 27 юни 2023 г.;</w:t>
      </w:r>
    </w:p>
    <w:p w:rsidR="002B4B29" w:rsidRPr="00A73780" w:rsidRDefault="00F14579" w:rsidP="002B4B29">
      <w:pPr>
        <w:pStyle w:val="NormalHanging12a"/>
      </w:pPr>
      <w:r>
        <w:t>Ф</w:t>
      </w:r>
      <w:r w:rsidR="002B4B29" w:rsidRPr="00A73780">
        <w:t>.</w:t>
      </w:r>
      <w:r w:rsidR="002B4B29" w:rsidRPr="00A73780">
        <w:tab/>
        <w:t>като има предвид, че комисията по петиции е член на Европейската мрежа на омбудсманите, която включва също така Европейския омбудсман, националните и регионалните омбудсмани и сходните органи в държавите членки, държавите кандидатки и другите държави от Европейското икономическо пространство и има за цел насърчаване на обмена на информация относно правото и политиките на ЕС, както и споделяне на най-добри практики;</w:t>
      </w:r>
    </w:p>
    <w:p w:rsidR="002B4B29" w:rsidRPr="00A73780" w:rsidRDefault="002B4B29" w:rsidP="002B4B29">
      <w:pPr>
        <w:pStyle w:val="NormalHanging12a"/>
      </w:pPr>
      <w:r w:rsidRPr="00A73780">
        <w:t>1.</w:t>
      </w:r>
      <w:r w:rsidRPr="00A73780">
        <w:tab/>
        <w:t>подчертава основната роля на комисията по петиции за защитата и насърчаването на правата на гражданите на ЕС и на пребиваващите в ЕС лица, като гарантира, че тревогите и оплакванията на вносителите на петиции се разглеждат надлежно, своевременно и ефективно и че вносителите на петиции биват информирани относно предприетите действия и напредъка по разглеждане на внесените от тях петиции; припомня, че всички петиции се разглеждат чрез открит, демократичен и прозрачен процес;</w:t>
      </w:r>
    </w:p>
    <w:p w:rsidR="00AD7CF3" w:rsidRDefault="00AD7CF3" w:rsidP="002B4B29">
      <w:pPr>
        <w:pStyle w:val="NormalHanging12a"/>
      </w:pPr>
    </w:p>
    <w:p w:rsidR="00AD7CF3" w:rsidRPr="005C2775" w:rsidRDefault="00AD7CF3" w:rsidP="002B4B29">
      <w:pPr>
        <w:pStyle w:val="NormalHanging12a"/>
        <w:rPr>
          <w:bCs/>
          <w:iCs/>
        </w:rPr>
      </w:pPr>
      <w:r w:rsidRPr="005C2775">
        <w:rPr>
          <w:bCs/>
          <w:iCs/>
        </w:rPr>
        <w:t>2.</w:t>
      </w:r>
      <w:r w:rsidRPr="005C2775">
        <w:rPr>
          <w:bCs/>
          <w:iCs/>
        </w:rPr>
        <w:tab/>
        <w:t xml:space="preserve">приветства съществената работа, извършена от комисията по петиции относно петициите, свързани с полуостров Акамас – зоната с най-голямо биологично разнообразие в Кипър, където в продължение на десетилетия се наблюдават </w:t>
      </w:r>
      <w:r w:rsidRPr="005C2775">
        <w:rPr>
          <w:bCs/>
          <w:iCs/>
        </w:rPr>
        <w:lastRenderedPageBreak/>
        <w:t xml:space="preserve">повтарящи се системни нарушения на </w:t>
      </w:r>
      <w:r w:rsidRPr="00AD7CF3">
        <w:rPr>
          <w:bCs/>
          <w:iCs/>
        </w:rPr>
        <w:t>Директивата за местообитанията</w:t>
      </w:r>
      <w:r>
        <w:rPr>
          <w:rStyle w:val="FootnoteReference"/>
          <w:bCs/>
          <w:iCs/>
        </w:rPr>
        <w:footnoteReference w:id="2"/>
      </w:r>
      <w:r w:rsidRPr="005C2775">
        <w:rPr>
          <w:bCs/>
          <w:iCs/>
        </w:rPr>
        <w:t xml:space="preserve"> и </w:t>
      </w:r>
      <w:r w:rsidRPr="00AD7CF3">
        <w:rPr>
          <w:bCs/>
          <w:iCs/>
        </w:rPr>
        <w:t>Директивата за птиците</w:t>
      </w:r>
      <w:r>
        <w:rPr>
          <w:rStyle w:val="FootnoteReference"/>
          <w:bCs/>
          <w:iCs/>
        </w:rPr>
        <w:footnoteReference w:id="3"/>
      </w:r>
      <w:r w:rsidRPr="005C2775">
        <w:rPr>
          <w:bCs/>
          <w:iCs/>
        </w:rPr>
        <w:t>, в  общ контекст на липса на ефективни и правно обвързващи мерки за защита на тази зона и с оглед на неотдавнашните планове, представени от компетентните кипърски органи, с опустошителни последици за силно уязвимите природни екосистеми в зоната и в нарушение на законодателството на ЕС в областта на околната среда; подчертава, че вследствие на работата на комисията по петиции по този въпрос Европейската комисия реши на 13 март 2024 г. да заведе дело срещу Кипър пред Съда на Европейския съюз във връзка с неспазването от страна на кипърските органи на Директивата за местообитанията; изразява съжаление, че през времето, изминало след това решение – повече от една година – Комисията не е внесла досие в Съда на Европейския съюз и по този начин не е започнала официално съдебно производство;</w:t>
      </w:r>
    </w:p>
    <w:p w:rsidR="00AD7CF3" w:rsidRDefault="00AD7CF3" w:rsidP="002B4B29">
      <w:pPr>
        <w:pStyle w:val="NormalHanging12a"/>
        <w:rPr>
          <w:bCs/>
          <w:iCs/>
        </w:rPr>
      </w:pPr>
      <w:r>
        <w:rPr>
          <w:bCs/>
          <w:iCs/>
          <w:lang w:val="en-GB"/>
        </w:rPr>
        <w:t>3</w:t>
      </w:r>
      <w:r w:rsidRPr="00AD7CF3">
        <w:rPr>
          <w:bCs/>
          <w:iCs/>
          <w:lang w:val="en-GB"/>
        </w:rPr>
        <w:t>.</w:t>
      </w:r>
      <w:r w:rsidRPr="00AD7CF3">
        <w:rPr>
          <w:bCs/>
          <w:iCs/>
          <w:lang w:val="en-GB"/>
        </w:rPr>
        <w:tab/>
      </w:r>
      <w:r w:rsidRPr="005C2775">
        <w:rPr>
          <w:bCs/>
          <w:iCs/>
        </w:rPr>
        <w:t>подчертава ключовата работа, извършена от комисията по петиции за защита на правата на работниците срещу дискриминация и злоупотреба със срочни трудови договори в публичния сектор в Италия; оценява факта, че когато реши да заведе дело срещу Италия пред Съда на Европейския съюз за това, че не е прекратила злоупотребата със срочни трудови договори и дискриминационните условия на заетост в нарушение на Директива 1999/70/ЕО на Съвета, Европейската комисия надлежно взе предвид много солидните правни документи, предоставени от вносителите на петицията, които бяха внимателно оценени на различни заседания на комисията по петиции;</w:t>
      </w:r>
    </w:p>
    <w:p w:rsidR="00AD7CF3" w:rsidRPr="005C2775" w:rsidRDefault="00F14579" w:rsidP="002B4B29">
      <w:pPr>
        <w:pStyle w:val="NormalHanging12a"/>
        <w:rPr>
          <w:bCs/>
          <w:iCs/>
        </w:rPr>
      </w:pPr>
      <w:r>
        <w:rPr>
          <w:bCs/>
          <w:iCs/>
        </w:rPr>
        <w:t>4</w:t>
      </w:r>
      <w:r w:rsidR="00AD7CF3">
        <w:rPr>
          <w:bCs/>
          <w:iCs/>
        </w:rPr>
        <w:t>.</w:t>
      </w:r>
      <w:r w:rsidR="00AD7CF3">
        <w:rPr>
          <w:bCs/>
          <w:iCs/>
        </w:rPr>
        <w:tab/>
        <w:t>приветства комисията PETI</w:t>
      </w:r>
      <w:r w:rsidR="00AD7CF3" w:rsidRPr="00AD7CF3">
        <w:rPr>
          <w:bCs/>
          <w:iCs/>
        </w:rPr>
        <w:t xml:space="preserve"> за разглеждането на петиция </w:t>
      </w:r>
      <w:r w:rsidR="0034001E">
        <w:rPr>
          <w:bCs/>
          <w:iCs/>
          <w:szCs w:val="24"/>
          <w:lang w:eastAsia="en-US"/>
        </w:rPr>
        <w:t>№</w:t>
      </w:r>
      <w:r w:rsidR="0034001E">
        <w:rPr>
          <w:bCs/>
          <w:iCs/>
          <w:szCs w:val="24"/>
          <w:lang w:val="en-GB" w:eastAsia="en-US"/>
        </w:rPr>
        <w:t xml:space="preserve"> </w:t>
      </w:r>
      <w:bookmarkStart w:id="7" w:name="_GoBack"/>
      <w:bookmarkEnd w:id="7"/>
      <w:r w:rsidR="00AD7CF3" w:rsidRPr="00AD7CF3">
        <w:rPr>
          <w:bCs/>
          <w:iCs/>
        </w:rPr>
        <w:t>1</w:t>
      </w:r>
      <w:r w:rsidR="00AD7CF3">
        <w:rPr>
          <w:bCs/>
          <w:iCs/>
        </w:rPr>
        <w:t>168/2023, внесена от Михай Игна</w:t>
      </w:r>
      <w:r w:rsidR="00AD7CF3" w:rsidRPr="00AD7CF3">
        <w:rPr>
          <w:bCs/>
          <w:iCs/>
        </w:rPr>
        <w:t xml:space="preserve"> от името на асоциация „Заедно осигуряваме просперитет“, в която се призовава за реституция на румънско национално богатство и исторически архиви от Русия; изтъква дълбокото историческо значение на този дебат за всички държави членки, които са били исторически засегнати от актове на заграбване от страна на Русия, особено в контекста на продължаващата война в Украйна, тъй като дебатът подчертава по-широките предизвикателства, свързани с опазването на културата и на националното наследство по време на геополитически конфликт; подчертава, че участието на комисията PETI по този въпрос показва нейния ангажимент за защита на правата на гражданите на ЕС и правата на държавите членки, за опазване на историческото наследство на Румъния и за подкрепа на законните ѝ искания на международната сцена; припомня последвалата пленарна резолюция относно връщането на румънско национално съкровище</w:t>
      </w:r>
      <w:r w:rsidR="00AD7CF3">
        <w:rPr>
          <w:bCs/>
          <w:iCs/>
        </w:rPr>
        <w:t>, незаконно присвоено от Русия</w:t>
      </w:r>
      <w:r w:rsidR="00AD7CF3">
        <w:rPr>
          <w:rStyle w:val="FootnoteReference"/>
          <w:bCs/>
          <w:iCs/>
        </w:rPr>
        <w:footnoteReference w:id="4"/>
      </w:r>
      <w:r w:rsidR="00AD7CF3" w:rsidRPr="00AD7CF3">
        <w:rPr>
          <w:bCs/>
          <w:iCs/>
        </w:rPr>
        <w:t>;</w:t>
      </w:r>
    </w:p>
    <w:p w:rsidR="002B4B29" w:rsidRPr="00A73780" w:rsidRDefault="00F14579" w:rsidP="002B4B29">
      <w:pPr>
        <w:pStyle w:val="NormalHanging12a"/>
      </w:pPr>
      <w:r>
        <w:t>5</w:t>
      </w:r>
      <w:r w:rsidR="002B4B29" w:rsidRPr="00A73780">
        <w:t>.</w:t>
      </w:r>
      <w:r w:rsidR="002B4B29" w:rsidRPr="00A73780">
        <w:tab/>
        <w:t>отново подчертава значението на непрекъснатия обществен дебат относно областите на компетентност на ЕС, за да се гарантира, че гражданите са надлежно информирани относно обхвата на правомощията на Съюза и различните равнища на вземане на решения; призовава за разширена и структурирана информационна и комуникационна кампания в целия ЕС</w:t>
      </w:r>
      <w:r w:rsidR="00AD7CF3" w:rsidRPr="00AD7CF3">
        <w:t xml:space="preserve">, която да се проведе без допълнителни </w:t>
      </w:r>
      <w:r w:rsidR="00AD7CF3" w:rsidRPr="00AD7CF3">
        <w:lastRenderedPageBreak/>
        <w:t>разходи (напр. като се използват настоящите ресурси на бюрата за връзка на Европейския парламент),</w:t>
      </w:r>
      <w:r w:rsidR="002B4B29" w:rsidRPr="00A73780">
        <w:t xml:space="preserve"> на всички официални езици на ЕС в сътрудничество с националните и регионалните омбудсмани, НПО и образователни институции с цел повишаване на осведомеността на гражданите от всички държави членки относно правото на петиция, като се обърне особено внимание на селските общности и тези в неравностойно положение, на маргинализираните групи, както и на отдалечените острови и региони; предлага разширяване на усилията за популяризиране </w:t>
      </w:r>
      <w:r w:rsidR="00AD7CF3" w:rsidRPr="00AD7CF3">
        <w:t xml:space="preserve">без допълнителни разходи </w:t>
      </w:r>
      <w:r w:rsidR="002B4B29" w:rsidRPr="00A73780">
        <w:t>чрез социалните медии и проявите на местните общности</w:t>
      </w:r>
      <w:r w:rsidR="0073020C">
        <w:t>;</w:t>
      </w:r>
      <w:r w:rsidR="002B4B29" w:rsidRPr="00A73780">
        <w:t xml:space="preserve"> подчертава необходимостта от </w:t>
      </w:r>
      <w:r w:rsidR="00AD7CF3" w:rsidRPr="00AD7CF3">
        <w:t xml:space="preserve">по-широка обществена осведоменост и </w:t>
      </w:r>
      <w:r w:rsidR="002B4B29" w:rsidRPr="00A73780">
        <w:t>по-широки кампании за повишаване на осведомеността чрез активното участие на комуникационни служби, за да се спомогне за повишаване на осведомеността на гражданите относно правото им на петиция, както и относно обхвата на отговорностите на ЕС и правомощията на комисията по петиции, с цел намаляване на броя на недопустимите петиции и засилване на участието на гражданите в процеса на вземане на решения; препоръчва подобряване на цифровата достъпност на портала за петиции, включително чрез адаптации за хората с увреждания и преводи с по-високо качество на всички официални езици на ЕС; препоръчва да се проучи потенциалът на съществуващите ИТ инструменти с цел повишаване на подкрепата на гражданите в рамките на портала, включително чрез възможности за пренасочване към съответните механизми за подаване на жалби;</w:t>
      </w:r>
    </w:p>
    <w:p w:rsidR="002B4B29" w:rsidRPr="00AD7CF3" w:rsidRDefault="00F14579" w:rsidP="002B4B29">
      <w:pPr>
        <w:pStyle w:val="NormalHanging12a"/>
      </w:pPr>
      <w:r>
        <w:t>6</w:t>
      </w:r>
      <w:r w:rsidR="002B4B29" w:rsidRPr="00A73780">
        <w:t>.</w:t>
      </w:r>
      <w:r w:rsidR="002B4B29" w:rsidRPr="00A73780">
        <w:tab/>
        <w:t>припомня европейското измерение на комисията по петиции, към която могат да се обръщат гражданите от всички 27 държави членки по въпроси, попадащи в обхвата на Договорите на ЕС и правото на ЕС; счита, че комисията по петиции има специална отговорност да поддържа това европейско измерение и да показва на гражданите добавената стойност на европейското единство и интеграция;</w:t>
      </w:r>
      <w:r w:rsidR="00AD7CF3">
        <w:rPr>
          <w:lang w:val="en-GB"/>
        </w:rPr>
        <w:t xml:space="preserve"> </w:t>
      </w:r>
      <w:r w:rsidR="00AD7CF3" w:rsidRPr="005C2775">
        <w:t>подчертава, че европейското измерение трябва да се основава на солидарност, насърчаване на социалните и икономическите права, защита на малцинствените езици и култури и активна борба срещу изменението на климата;</w:t>
      </w:r>
    </w:p>
    <w:p w:rsidR="002B4B29" w:rsidRPr="00A73780" w:rsidRDefault="00F14579" w:rsidP="002B4B29">
      <w:pPr>
        <w:pStyle w:val="NormalHanging12a"/>
      </w:pPr>
      <w:r>
        <w:t>7</w:t>
      </w:r>
      <w:r w:rsidR="002B4B29" w:rsidRPr="00A73780">
        <w:t>.</w:t>
      </w:r>
      <w:r w:rsidR="002B4B29" w:rsidRPr="00A73780">
        <w:tab/>
        <w:t>посочва, че петициите представляват уникална възможност за Парламента и другите институции на ЕС да се свързват пряко с гражданите на ЕС и да поддържат редовен диалог с тях, особено в случаи, когато те са засегнати от неправилно прилагане или нарушение на правото на ЕС; подчертава необходимостта от засилено сътрудничество между институциите на ЕС и националните, регионалните и местните органи относно разследванията във връзка с прилагането и спазването на правото на ЕС; счита, че това сътрудничество е от жизненоважно значение за преодоляване и разрешаване на опасенията на гражданите във връзка с прилагането на правото на ЕС и че то допринася за укрепването на демократичната легитимност и отчетност на Съюза; поради това призовава за участието на представители на държавите членки в заседанията на комисията по петиции и за своевременни и подробни отговори на исканията за разяснения или информация, изпращани от комисията по петиции до национални органи;</w:t>
      </w:r>
    </w:p>
    <w:p w:rsidR="002B4B29" w:rsidRPr="00A73780" w:rsidRDefault="00F14579" w:rsidP="002B4B29">
      <w:pPr>
        <w:pStyle w:val="NormalHanging12a"/>
      </w:pPr>
      <w:r>
        <w:t>8</w:t>
      </w:r>
      <w:r w:rsidR="002B4B29" w:rsidRPr="00A73780">
        <w:t>.</w:t>
      </w:r>
      <w:r w:rsidR="002B4B29" w:rsidRPr="00A73780">
        <w:tab/>
        <w:t xml:space="preserve">припомня, че петициите допринасят значително за упражняването на ролята на Европейската комисия като пазител на Договорите, като предоставят на гражданите допълнителен инструмент да уведомяват за предполагаеми нарушения на правото на ЕС; изтъква, че конструктивното сътрудничество между комисията по петиции и Европейската комисия посредством навременни и подробни отговори от страна на Европейската комисия, основани на подробно </w:t>
      </w:r>
      <w:r w:rsidR="002B4B29" w:rsidRPr="00A73780">
        <w:lastRenderedPageBreak/>
        <w:t>разглеждане на въпросите, повдигнати в петициите, е от съществено значение за гарантирането на успешното разглеждане на петициите;</w:t>
      </w:r>
    </w:p>
    <w:p w:rsidR="002B4B29" w:rsidRPr="00A73780" w:rsidRDefault="00F14579" w:rsidP="002B4B29">
      <w:pPr>
        <w:pStyle w:val="NormalHanging12a"/>
      </w:pPr>
      <w:r>
        <w:t>9</w:t>
      </w:r>
      <w:r w:rsidR="002B4B29" w:rsidRPr="00A73780">
        <w:t>.</w:t>
      </w:r>
      <w:r w:rsidR="002B4B29" w:rsidRPr="00A73780">
        <w:tab/>
        <w:t>отново призовава Европейската комисия да предостави правни разяснения относно ключовите критерии, на които се основава нейният стратегически подход за прилагане на правото на ЕС, както и редовно да информира комисията по петиции за развитията по производства за установяване на нарушение и да гарантира, че комисията по петиции получава достъп до всички съответни документи, свързани с EU Pilot, производствата за установяване на нарушение и законодателните инициативи, стартирани въз основа на получените петиции; счита, че повишената прозрачност и редовната обратна информация относно разглеждането на текущи производства за установяване на нарушение, давана от Европейската комисия, биха били от полза за последващите действия на комисията по петиции във връзка с петициите в процес на разглеждане; приветства неотдавнашната инициатива на Европейската комисия за включване на петициите в системата за търсене на регистъра ѝ за нарушения; подчертава, че е важно Европейската комисия да извършва навременни разследвания на петициите, като обръща особено внимание на нарушенията на права, засягащи голям брой граждани и жители на ЕС, и при необходимост да се консултира със съответния национален омбудсман; изразява загриженост относно начина, по който Европейската комисия разглежда някои производства за установяване на нарушение, започнати срещу държавите членки, включително тези, свързани с въпроси, повдигнати в множество петиции; насърчава Европейската комисия да предприеме всички необходими мерки за подобряване на прозрачността и ефективността на начина, по който управлява процедурите за нарушение, които могат да бъдат възприемани от гражданите като непрозрачни;</w:t>
      </w:r>
    </w:p>
    <w:p w:rsidR="002B4B29" w:rsidRDefault="00F14579" w:rsidP="002B4B29">
      <w:pPr>
        <w:pStyle w:val="NormalHanging12a"/>
      </w:pPr>
      <w:r>
        <w:t>10</w:t>
      </w:r>
      <w:r w:rsidR="002B4B29" w:rsidRPr="00A73780">
        <w:t>.</w:t>
      </w:r>
      <w:r w:rsidR="002B4B29" w:rsidRPr="00A73780">
        <w:tab/>
        <w:t>призовава Комисията да извършва оценка дали националните органи предприемат необходимите мерки, за да отговорят на опасенията на гражданите, изразени в техните петиции, когато възникнат случаи на неспазване на правото на ЕС, и да образува производства за установяване на нарушение, когато е необходимо; подчертава, че навременните и проактивни действия от страна на Европейската комисия в случаи на нарушения на правото на ЕС са от решаващо значение, за да не се позволи такива нарушения, които биха могли да подкопаят доверието на гражданите в европейските институции, да придобият системен характер;</w:t>
      </w:r>
      <w:r w:rsidR="00AD7CF3">
        <w:rPr>
          <w:lang w:val="en-GB"/>
        </w:rPr>
        <w:t xml:space="preserve"> </w:t>
      </w:r>
    </w:p>
    <w:p w:rsidR="00AD7CF3" w:rsidRPr="00AD7CF3" w:rsidRDefault="00F14579" w:rsidP="002B4B29">
      <w:pPr>
        <w:pStyle w:val="NormalHanging12a"/>
      </w:pPr>
      <w:r>
        <w:t>11</w:t>
      </w:r>
      <w:r w:rsidR="00AD7CF3" w:rsidRPr="00AD7CF3">
        <w:t>.</w:t>
      </w:r>
      <w:r w:rsidR="00AD7CF3" w:rsidRPr="00AD7CF3">
        <w:tab/>
        <w:t>припомня, че свободата на словото е основен стълб на европейската демокрация; осъжда всеки опит за цензуриране, маргинализиране или сплашване на граждани или на избрани от тях представители поради техните политически възгледи; подчертава също така, че зачитането на резултатите от изборите на национално и на европейско равнище е от съществено значение за поддържане на доверието на гражданите в демократичния процес;</w:t>
      </w:r>
    </w:p>
    <w:p w:rsidR="002B4B29" w:rsidRDefault="00F14579" w:rsidP="002B4B29">
      <w:pPr>
        <w:pStyle w:val="NormalHanging12a"/>
      </w:pPr>
      <w:r>
        <w:t>12</w:t>
      </w:r>
      <w:r w:rsidR="002B4B29" w:rsidRPr="00A73780">
        <w:t>.</w:t>
      </w:r>
      <w:r w:rsidR="002B4B29" w:rsidRPr="00A73780">
        <w:tab/>
        <w:t xml:space="preserve">подчертава необходимостта от засилено и по-активно сътрудничество между държавите членки и комисията по петиции с цел деблокиране на петициите, които изискват бързи отговори и реакции от страна на националните органи; припомня, че забавени отговори от страна на държавите членки могат да окажат влияние върху навременното разрешаване на въпросите, повдигнати от гражданите, и да имат отрицателни последици за намирането на решения при нарушения на правото на Съюза; отбелязва, че държавите членки следва да гарантират отговори на петициите в рамките на искания тримесечен срок; подчертава, че подобряването на координацията и диалога би улеснило по-ефикасното </w:t>
      </w:r>
      <w:r w:rsidR="002B4B29" w:rsidRPr="00A73780">
        <w:lastRenderedPageBreak/>
        <w:t>разглеждане на опасенията на гражданите, би предотвратило ненужните забавяния и би засилило ефективността на процеса на внасянето и разглеждането на петиции;</w:t>
      </w:r>
    </w:p>
    <w:p w:rsidR="00AD7CF3" w:rsidRPr="00A73780" w:rsidRDefault="00F14579" w:rsidP="002B4B29">
      <w:pPr>
        <w:pStyle w:val="NormalHanging12a"/>
      </w:pPr>
      <w:r>
        <w:t>13</w:t>
      </w:r>
      <w:r w:rsidR="00AD7CF3" w:rsidRPr="00AD7CF3">
        <w:t>.</w:t>
      </w:r>
      <w:r w:rsidR="00AD7CF3" w:rsidRPr="00AD7CF3">
        <w:tab/>
        <w:t>отбелязва със загриженост, че препоръките, отправени от комисията по петиции в нейния доклад от 19 март 2024 г. след командировката ѝ в Каталония, все още не са изпълнени изцяло от съответните образователни органи, особено тези относно защитата на езиковите права за всички студенти и техните семейства; изразява дълбоко съжаление във връзка с напрежението, с което се сблъскваха членовете на комисията по време на посещението си в Барс</w:t>
      </w:r>
      <w:r w:rsidR="00AD7CF3">
        <w:t>елона от 18 до 20 декември 2023</w:t>
      </w:r>
      <w:r w:rsidR="00AD7CF3">
        <w:rPr>
          <w:lang w:val="en-GB"/>
        </w:rPr>
        <w:t> </w:t>
      </w:r>
      <w:r w:rsidR="00AD7CF3" w:rsidRPr="00AD7CF3">
        <w:t>г., и призовава за основан на уважение диалог и сътрудничество между всички заинтересовани страни, за да се гарантира, че демократичните институции могат да изпълняват своите мандати в атмосфера на взаимно уважение и разбирателство;</w:t>
      </w:r>
    </w:p>
    <w:p w:rsidR="002B4B29" w:rsidRPr="00A73780" w:rsidRDefault="00F14579" w:rsidP="002B4B29">
      <w:pPr>
        <w:pStyle w:val="NormalHanging12a"/>
        <w:rPr>
          <w:b/>
          <w:i/>
        </w:rPr>
      </w:pPr>
      <w:r>
        <w:t>14</w:t>
      </w:r>
      <w:r w:rsidR="002B4B29" w:rsidRPr="00A73780">
        <w:t>.</w:t>
      </w:r>
      <w:r w:rsidR="002B4B29" w:rsidRPr="00A73780">
        <w:rPr>
          <w:b/>
          <w:i/>
        </w:rPr>
        <w:tab/>
      </w:r>
      <w:r w:rsidR="002B4B29" w:rsidRPr="00A73780">
        <w:t>решително осъжда тормоза и сплашването, на които бяха подложени официалните членове на делегацията на комисията по петиции по време на тяхното констативно посещение в Барселона от 18 до 20 декември 2023 г. с цел оценка на място на модела на обучение на различни езици в Каталония, неговото въздействие върху семействата, които се преместват и пребивават в автономната област, както и върху многоезичието, недискриминацията и принципа на правовата държава;</w:t>
      </w:r>
    </w:p>
    <w:p w:rsidR="002B4B29" w:rsidRPr="00A73780" w:rsidRDefault="00F14579" w:rsidP="002B4B29">
      <w:pPr>
        <w:pStyle w:val="NormalHanging12a"/>
        <w:rPr>
          <w:b/>
          <w:i/>
        </w:rPr>
      </w:pPr>
      <w:r>
        <w:t>15</w:t>
      </w:r>
      <w:r w:rsidR="002B4B29" w:rsidRPr="00A73780">
        <w:t>.</w:t>
      </w:r>
      <w:r w:rsidR="002B4B29" w:rsidRPr="00A73780">
        <w:tab/>
        <w:t>изразява съжаление, че компетентните образователни органи в региона не са изпълнили препоръките, отправени от комисията по петиции в нейния доклад от 19 март 2024 г. след командировката, които имат за цел да защитят езиковите права на студентите и техните семейства;</w:t>
      </w:r>
    </w:p>
    <w:p w:rsidR="002B4B29" w:rsidRPr="00A73780" w:rsidRDefault="00F14579" w:rsidP="002B4B29">
      <w:pPr>
        <w:pStyle w:val="NormalHanging12a"/>
      </w:pPr>
      <w:r>
        <w:t>16</w:t>
      </w:r>
      <w:r w:rsidR="002B4B29" w:rsidRPr="00A73780">
        <w:t>.</w:t>
      </w:r>
      <w:r w:rsidR="002B4B29" w:rsidRPr="00A73780">
        <w:tab/>
        <w:t>припомня, че базата данни e-Petition е важен вътрешен инструмент, който дава достъп на членовете на комисията по петиции до цялата необходима информация за извършване на последващи действия във връзка с текущото състояние на всяка петиция, както и възможност да вземат информирани решения относно разглеждането на петициите; отбелязва, че базата данни e-Petition също така играе важна роля в комуникацията с вносителите на петиции;</w:t>
      </w:r>
    </w:p>
    <w:p w:rsidR="002B4B29" w:rsidRPr="00A73780" w:rsidRDefault="00F14579" w:rsidP="002B4B29">
      <w:pPr>
        <w:pStyle w:val="NormalHanging12a"/>
      </w:pPr>
      <w:r>
        <w:t>17</w:t>
      </w:r>
      <w:r w:rsidR="002B4B29" w:rsidRPr="00A73780">
        <w:t>.</w:t>
      </w:r>
      <w:r w:rsidR="002B4B29" w:rsidRPr="00A73780">
        <w:tab/>
        <w:t>припомня ангажимента на Европейската комисия за създаване на междуинституционален ИТ инструмент заедно с Парламента, с който да се споделят информация и документи относно всички последващи действия, предприемани във връзка с петиции, като например производствата за установяване на нарушение, законодателните предложения или отговорите на националните органи, като по този начин ще се повишават прозрачността и ефективността на разглеждането на петиции, като този инструмент би допринесъл в по-широк контекст за повишаване на доверието на гражданите в институциите на ЕС и в европейския проект;</w:t>
      </w:r>
    </w:p>
    <w:p w:rsidR="002B4B29" w:rsidRPr="00A73780" w:rsidRDefault="00F14579" w:rsidP="002B4B29">
      <w:pPr>
        <w:pStyle w:val="NormalHanging12a"/>
      </w:pPr>
      <w:r>
        <w:t>18</w:t>
      </w:r>
      <w:r w:rsidR="002B4B29" w:rsidRPr="00A73780">
        <w:t>.</w:t>
      </w:r>
      <w:r w:rsidR="002B4B29" w:rsidRPr="00A73780">
        <w:tab/>
        <w:t>припомня, че сътрудничеството с други комисии на Парламента е от съществено значение за всеобхватното разглеждане на петициите</w:t>
      </w:r>
      <w:r w:rsidR="009F5A66" w:rsidRPr="009F5A66">
        <w:t>, като се обръща специално внимание на петициите относно равенството между половете, семейното многообразие, екологичната справедливост и езиковите права на малцинствата</w:t>
      </w:r>
      <w:r w:rsidR="002B4B29" w:rsidRPr="00A73780">
        <w:t xml:space="preserve">; отбелязва, че през 2023 г. до други комисии са изпратени 34 искания за становище (съответстващи на 31 петиции) и 223 искания за информация; отбелязва, че за поисканите 34 становища са получени само 25 отговора до края на 2023 г. (в 14 </w:t>
      </w:r>
      <w:r w:rsidR="002B4B29" w:rsidRPr="00A73780">
        <w:lastRenderedPageBreak/>
        <w:t>случая е било предоставено становище, докато в 10 случая съответната комисия е решила да не изготвя становище, а четири пъти не е било представено официално решение);</w:t>
      </w:r>
      <w:r w:rsidR="002B4B29" w:rsidRPr="00A73780">
        <w:rPr>
          <w:color w:val="FF0000"/>
        </w:rPr>
        <w:t xml:space="preserve"> </w:t>
      </w:r>
      <w:r w:rsidR="002B4B29" w:rsidRPr="00A73780">
        <w:t>припомня, че вносителите на петиции са информирани за решенията да се поискат становища от други комисии при разглеждане на техните петиции; подчертава, че парламентарните комисии следва да увеличат усилията си, за да допринасят активно за разглеждането на петициите, като предоставят своя експертен опит, и по този начин да дадат възможност на Парламента да отговаря по-бързо и всеобхватно на тревогите на гражданите;</w:t>
      </w:r>
    </w:p>
    <w:p w:rsidR="002B4B29" w:rsidRPr="00A73780" w:rsidRDefault="00F14579" w:rsidP="002B4B29">
      <w:pPr>
        <w:pStyle w:val="NormalHanging12a"/>
      </w:pPr>
      <w:r>
        <w:t>19</w:t>
      </w:r>
      <w:r w:rsidR="002B4B29" w:rsidRPr="00A73780">
        <w:t>.</w:t>
      </w:r>
      <w:r w:rsidR="002B4B29" w:rsidRPr="00A73780">
        <w:tab/>
        <w:t xml:space="preserve">изразява убеждение, че мрежата за петиции е полезен инструмент за улесняване на по-ефективни последващи действия по петициите при парламентарната и законодателната работа; изразява увереност, че редовните заседания на мрежата за петиции са от ключово значение, за да се гарантира повече видимост за дейностите на комисията по петиции и по-добро разбиране за работата и мисията ѝ, както и за да се засили сътрудничеството с останалите парламентарни комисии; </w:t>
      </w:r>
    </w:p>
    <w:p w:rsidR="002B4B29" w:rsidRPr="00A73780" w:rsidRDefault="00F14579" w:rsidP="002B4B29">
      <w:pPr>
        <w:pStyle w:val="NormalHanging12a"/>
      </w:pPr>
      <w:r>
        <w:t>20</w:t>
      </w:r>
      <w:r w:rsidR="002B4B29" w:rsidRPr="00A73780">
        <w:t>.</w:t>
      </w:r>
      <w:r w:rsidR="002B4B29" w:rsidRPr="00A73780">
        <w:tab/>
        <w:t>подчертава, че комисията по петиции изрази позицията си по важни въпроси, повдигнати в петициите, като прие своя доклад относно резултата от разискванията на комисията по петиции през 2022 г.</w:t>
      </w:r>
      <w:r w:rsidR="002B4B29" w:rsidRPr="00A73780">
        <w:rPr>
          <w:rStyle w:val="FootnoteReference"/>
        </w:rPr>
        <w:footnoteReference w:id="5"/>
      </w:r>
      <w:r w:rsidR="002B4B29" w:rsidRPr="00A73780">
        <w:t>;</w:t>
      </w:r>
    </w:p>
    <w:p w:rsidR="002B4B29" w:rsidRPr="00A73780" w:rsidRDefault="00F14579" w:rsidP="002B4B29">
      <w:pPr>
        <w:pStyle w:val="NormalHanging12a"/>
      </w:pPr>
      <w:r>
        <w:t>21</w:t>
      </w:r>
      <w:r w:rsidR="002B4B29" w:rsidRPr="00A73780">
        <w:t>.</w:t>
      </w:r>
      <w:r w:rsidR="002B4B29" w:rsidRPr="00A73780">
        <w:tab/>
        <w:t>изтъква лекия спад в сравнение с 2022 г. на броя на внесените петиции относно външните отношения; отбелязва, че това би могло да се обясни с новия геополитически контекст през 2023 г., и по-специално с намаляването на броя на петициите относно войната в Украйна и значителното увеличение на петициите, свързани с новите конфликти в Близкия изток; отбелязва, че комисията по петиции е взела предвид загрижеността на гражданите относно санкциите, сигурността, разрешаването на конфликти, визовата политика, напредъка на страните – кандидатки за членство в ЕС, наред с други въпроси, като е включила в дневния си ред редица петиции, отнасящи се по-специално до въпроси, свързани с положението на бежанците, по-специално на децата, и положението на бежанците от Венесуела в ЕС; потвърждава усилията на комисиите, които вече активно разглеждат тези въпроси, и подчертава, че комисията по външни работи и комисията по граждански свободи, правосъдие и вътрешни работи следва да вземат под внимание съответните петиции в своите разисквания;</w:t>
      </w:r>
    </w:p>
    <w:p w:rsidR="002B4B29" w:rsidRPr="00A73780" w:rsidRDefault="00F14579" w:rsidP="002B4B29">
      <w:pPr>
        <w:pStyle w:val="NormalHanging12a"/>
      </w:pPr>
      <w:r>
        <w:t>22</w:t>
      </w:r>
      <w:r w:rsidR="002B4B29" w:rsidRPr="00A73780">
        <w:t>.</w:t>
      </w:r>
      <w:r w:rsidR="002B4B29" w:rsidRPr="00A73780">
        <w:tab/>
        <w:t>отбелязва, че здравето, което беше един от основните въпроси, пораждащи загриженост за вносителите на петиции през 2022 г., изглежда продължава да играе важна роля и през 2023 г.; отбелязва по-специално, че комисията по петиции е разгледала и обсъдила петиции относно забраната за химикали и тежки метали в детските играчки, относно подкрепата за здравословни и екологосъобразни продоволствени системи и начини на живот и относно прилагането на регламентите на ЕС относно добавените захари в храните, предназначени за кърмачета и малки деца;</w:t>
      </w:r>
    </w:p>
    <w:p w:rsidR="002B4B29" w:rsidRPr="009F5A66" w:rsidRDefault="00F14579" w:rsidP="009F5A66">
      <w:pPr>
        <w:pStyle w:val="NormalHanging12a"/>
      </w:pPr>
      <w:r>
        <w:t>23</w:t>
      </w:r>
      <w:r w:rsidR="002B4B29" w:rsidRPr="00A73780">
        <w:t>.</w:t>
      </w:r>
      <w:r w:rsidR="002B4B29" w:rsidRPr="00A73780">
        <w:tab/>
        <w:t xml:space="preserve">обръща внимание на значителния брой петиции, внесени и обсъдени във връзка с опасенията на гражданите относно повторното въвеждане на гранични проверки между някои държави членки, които повдигат въпроса за проблематичния аспект на ограничаването на свободното движение на хора в рамките на ЕС и други </w:t>
      </w:r>
      <w:r w:rsidR="002B4B29" w:rsidRPr="00A73780">
        <w:lastRenderedPageBreak/>
        <w:t>аспекти като силните страни и слабостите на разширяването на Шенгенското пространство</w:t>
      </w:r>
      <w:r w:rsidR="009F5A66" w:rsidRPr="009F5A66">
        <w:t>; припомня, че държавите членки могат да възстановят контрола по вътре</w:t>
      </w:r>
      <w:r w:rsidR="009F5A66">
        <w:t>шните граници</w:t>
      </w:r>
      <w:r w:rsidR="009F5A66">
        <w:rPr>
          <w:rStyle w:val="FootnoteReference"/>
        </w:rPr>
        <w:footnoteReference w:id="6"/>
      </w:r>
      <w:r w:rsidR="009F5A66" w:rsidRPr="009F5A66">
        <w:t xml:space="preserve"> в случай на сериозна заплаха за обществения ред или вътрешната сигурност или при извънредни обстоятелства, застрашав</w:t>
      </w:r>
      <w:r w:rsidR="009F5A66">
        <w:t>ащи цялостното функциониране на</w:t>
      </w:r>
      <w:r w:rsidR="009F5A66">
        <w:rPr>
          <w:lang w:val="en-GB"/>
        </w:rPr>
        <w:t xml:space="preserve"> </w:t>
      </w:r>
      <w:r w:rsidR="002B4B29" w:rsidRPr="00A73780">
        <w:t>Шенгенското пространство; признава значителната роля на комисията по петиции, по-специално множеството проведени дейности, приемането в комисия на кратко предложение за резолюция относно присъединяването към Шенгенското пространство на 27 юни 2023 г. и свързаната с него резолюция на Парламента, с които се изразява силна подкрепа за разширяването на Шенгенското пространство с включването на Румъния и България, както и организирането на публично изслушване относно шенгенските граници на 18 юли 2023 г. съвместно с комисията по граждански свободи, правосъдие и вътрешни работи; приветства единодушното решение на Съвета за пълноправното членство на двете държави в Шенгенското пространство от 1 януари 2025 г., което ще позволи пълното упражняване на основните свободи на единния пазар на ЕС;</w:t>
      </w:r>
      <w:r w:rsidR="009F5A66">
        <w:rPr>
          <w:bCs/>
          <w:iCs/>
          <w:lang w:val="en-GB"/>
        </w:rPr>
        <w:t xml:space="preserve"> </w:t>
      </w:r>
      <w:r w:rsidR="009F5A66" w:rsidRPr="005C2775">
        <w:rPr>
          <w:bCs/>
          <w:iCs/>
        </w:rPr>
        <w:t>подчертава, че възпрепятстването на държави членки да се присъединят към Шенгенското пространство въпреки изпълнението на всички необходими изисквания беше дискриминационно решение без правна обосновка и засегна сериозно много граждани на ЕС;</w:t>
      </w:r>
    </w:p>
    <w:p w:rsidR="002B4B29" w:rsidRPr="009F5A66" w:rsidRDefault="00F14579" w:rsidP="002B4B29">
      <w:pPr>
        <w:pStyle w:val="NormalHanging12a"/>
        <w:rPr>
          <w:b/>
          <w:i/>
        </w:rPr>
      </w:pPr>
      <w:r>
        <w:t>24</w:t>
      </w:r>
      <w:r w:rsidR="002B4B29" w:rsidRPr="00A73780">
        <w:t>.</w:t>
      </w:r>
      <w:r w:rsidR="002B4B29" w:rsidRPr="00A73780">
        <w:rPr>
          <w:b/>
          <w:i/>
        </w:rPr>
        <w:tab/>
      </w:r>
      <w:r w:rsidR="002B4B29" w:rsidRPr="00A73780">
        <w:t>отбелязва внезапното увеличаване на петициите от испански произход през втората половина на 2023 г. относно рисковете за принципите на правовата държава в Испания в резултат на намерението на испанското правителство да приеме закон за амнистия, който противоречи на конституционното и европейското право;</w:t>
      </w:r>
      <w:r w:rsidR="009F5A66">
        <w:rPr>
          <w:lang w:val="en-GB"/>
        </w:rPr>
        <w:t xml:space="preserve"> </w:t>
      </w:r>
      <w:r w:rsidR="009F5A66" w:rsidRPr="005C2775">
        <w:t>изразява съжаление във връзка с атаките на испанското правителство срещу принципите на правовата държава и разделението на властите;</w:t>
      </w:r>
    </w:p>
    <w:p w:rsidR="002B4B29" w:rsidRPr="00A73780" w:rsidRDefault="00F14579" w:rsidP="002B4B29">
      <w:pPr>
        <w:pStyle w:val="NormalHanging12a"/>
      </w:pPr>
      <w:r>
        <w:t>25</w:t>
      </w:r>
      <w:r w:rsidR="002B4B29" w:rsidRPr="00A73780">
        <w:t>.</w:t>
      </w:r>
      <w:r w:rsidR="002B4B29" w:rsidRPr="00A73780">
        <w:tab/>
        <w:t xml:space="preserve">изтъква работата на комисията по петиции във връзка с петициите относно общи правила за единен стандарт за размерите на ръчния багаж, като подчертава загрижеността на гражданите относно неудобствата и проблемите, причинени от непоследователните правила относно ръчния багаж на авиокомпаниите и произтичащите от това скрити разходи; подчертава призива си за спазване на съответното решение на Съда в контекста на преразглеждането на законодателството на ЕС в областта на въздухоплавателните услуги; във връзка с това посочва краткото предложение за резолюция относно стандартни размери за ръчен багаж, прието от комисията по петиции на 20 септември 2023 г., последвано от приемането на резолюция с едно гласуване на Европейския парламент на 4 октомври 2023 г.; приветства факта, че през ноември 2023 г. Европейската комисия представи преглед на рамката за правата на пътниците и поредица от предложения, предназначени да подобрят условията за пътниците и туристите, включително изискването за ограничен брой общи размери и тегло, за да се намали объркването; отбелязва със съжаление, че пътниците с увреждания все още се сблъскват с твърде много пречки при пътуване, особено при мултимодалните пътувания; изразява съжаление, че системите за обществен транспорт в много държави членки не отговарят на изискванията на Конвенцията </w:t>
      </w:r>
      <w:r w:rsidR="002B4B29" w:rsidRPr="00A73780">
        <w:lastRenderedPageBreak/>
        <w:t>на ООН за правата на хората с увреждания (UNCRPD);</w:t>
      </w:r>
    </w:p>
    <w:p w:rsidR="002B4B29" w:rsidRPr="00A73780" w:rsidRDefault="00F14579" w:rsidP="002B4B29">
      <w:pPr>
        <w:pStyle w:val="NormalHanging12a"/>
      </w:pPr>
      <w:r>
        <w:t>26</w:t>
      </w:r>
      <w:r w:rsidR="002B4B29" w:rsidRPr="00A73780">
        <w:t>.</w:t>
      </w:r>
      <w:r w:rsidR="002B4B29" w:rsidRPr="00A73780">
        <w:tab/>
        <w:t>отбелязва, че през 2023 г. въпросите, свързани с околната среда, продължиха да бъдат област на сериозна загриженост за вносителите на петиции, като повече от 21% от петициите бяха относно въпроси, посветени околната среда; изразява съжаление по повод на факта, че в някои от тези петиции се твърди, че държави членки прилагат неправилно законодателството на ЕС, като срещу някои от държавите членки вече са образувани производства за установяване на нарушение поради неспазване на законодателството на ЕС в областта на околната среда; отбелязва, че в множество петиции се описват жалби относно качеството на въздуха, шумовото замърсяване, управлението/третирането на отпадъците, влошаването на състоянието на естествените екосистеми и нарушаването на Директивата за местообитанията в различни държави членки; подчертава публичното изслушване относно състоянието на прилагането на Директивата за местообитанията, организирано на 24 май 2023 г.; отбелязва работата, която комисията по петиции продължи да извършва през 2023 г. във връзка с въздействието на изменението на климата в различни области, не само в областта на околната среда, но и при земеползването, включвайки в дневния ред редица петиции, получени по тези теми; отбелязва семинара относно въздействието на изменението на климата върху социалната сигурност и най-уязвимите групи, организиран на 22 март 2023 г., както и представянето на проучването относно обезщетяването на жертвите на бедствия, свързани с изменението на климата, на 18 юли 2023 г.;</w:t>
      </w:r>
    </w:p>
    <w:p w:rsidR="002B4B29" w:rsidRPr="00A73780" w:rsidRDefault="00F14579" w:rsidP="002B4B29">
      <w:pPr>
        <w:pStyle w:val="NormalHanging12a"/>
      </w:pPr>
      <w:r>
        <w:t>27</w:t>
      </w:r>
      <w:r w:rsidR="002B4B29" w:rsidRPr="00A73780">
        <w:t>.</w:t>
      </w:r>
      <w:r w:rsidR="002B4B29" w:rsidRPr="00A73780">
        <w:tab/>
        <w:t>насочва вниманието към семинара, организиран от комисията по петиции на 25 януари 2023 г., относно прозрачността на ценообразуването и възстановяването на разходите за лекарствени продукти, на който беше обсъдена прозрачността от гледната точка на пациентите и потребителите, производителите на лекарствени продукти и академичните изследвания; отбелязва, че обсъжданията бяха съсредоточени върху разходите за научноизследователска и развойна дейност на дружествата и наличната информация относно цените, заплащани за лекарства, като подчертава значението на прозрачността по тези въпроси;</w:t>
      </w:r>
    </w:p>
    <w:p w:rsidR="002B4B29" w:rsidRPr="009F5A66" w:rsidRDefault="00F14579" w:rsidP="002B4B29">
      <w:pPr>
        <w:pStyle w:val="NormalHanging12a"/>
      </w:pPr>
      <w:r>
        <w:t>28</w:t>
      </w:r>
      <w:r w:rsidR="002B4B29" w:rsidRPr="00A73780">
        <w:t>.</w:t>
      </w:r>
      <w:r w:rsidR="002B4B29" w:rsidRPr="00A73780">
        <w:tab/>
        <w:t>подчертава колко е важно да се отговори на очакванията на гражданите на ЕС относно опазването на околната среда и настоятелно призовава Комисията, заедно с държавите членки, да гарантира правилното прилагане на законодателството на ЕС в областта на околната среда, особено що се отнася до незаконната сеч; посочва петициите по въпроси, свързани с околната среда, които отразяват нарастващата обществена загриженост относно последиците от изменението на климата, което изисква последователно прилагане на съществуващото законодателство на ЕС в областта на околната среда както от страна на Комисията, така и от страна на държавите членки</w:t>
      </w:r>
      <w:r w:rsidR="002B4B29" w:rsidRPr="009F5A66">
        <w:t>;</w:t>
      </w:r>
      <w:r w:rsidR="009F5A66" w:rsidRPr="005C2775">
        <w:t xml:space="preserve"> подчертава, че предприемането на мерки в отговор на очакванията на гражданите на ЕС относно опазването на околната среда следва да се счита за също толкова важно, колкото отчитането на икономическите реалности на всяка държава членка; подчертава, че прекомерното регламентиране оказва отрицателно въздействие върху бързо развиващите се икономики; изтъква в тази връзка, че всяка държава членка следва да има право да взема решения относно своя процес на преход и че законодателството в областта на околната среда не следва да възпрепятства икономическата конкурентоспособност;</w:t>
      </w:r>
    </w:p>
    <w:p w:rsidR="002B4B29" w:rsidRPr="009F5A66" w:rsidRDefault="00F14579" w:rsidP="002B4B29">
      <w:pPr>
        <w:pStyle w:val="NormalHanging12a"/>
        <w:rPr>
          <w:b/>
          <w:i/>
        </w:rPr>
      </w:pPr>
      <w:r>
        <w:t>29</w:t>
      </w:r>
      <w:r w:rsidR="002B4B29" w:rsidRPr="00A73780">
        <w:t>.</w:t>
      </w:r>
      <w:r w:rsidR="002B4B29" w:rsidRPr="00A73780">
        <w:rPr>
          <w:b/>
          <w:i/>
        </w:rPr>
        <w:tab/>
      </w:r>
      <w:r w:rsidR="002B4B29" w:rsidRPr="00A73780">
        <w:t xml:space="preserve">признава положителното въздействие на констативното посещение в Румъния от </w:t>
      </w:r>
      <w:r w:rsidR="002B4B29" w:rsidRPr="00A73780">
        <w:lastRenderedPageBreak/>
        <w:t>15 до 18 май 2023 г. върху управлението и защитата на популацията на кафявата мечка; отбелязва със съжаление обаче, че все още има твърде много злополуки с фатален край, причинени от кафяви мечки, във връзка с хора и добитък, което налага допълнителен мониторинг и сътрудничество с националните органи;</w:t>
      </w:r>
      <w:r w:rsidR="009F5A66">
        <w:rPr>
          <w:lang w:val="en-GB"/>
        </w:rPr>
        <w:t xml:space="preserve"> </w:t>
      </w:r>
      <w:r w:rsidR="009F5A66" w:rsidRPr="005C2775">
        <w:t>подчертава, че защитата на живота и сигурността на хората следва винаги да бъде приоритет;</w:t>
      </w:r>
    </w:p>
    <w:p w:rsidR="002B4B29" w:rsidRPr="00A73780" w:rsidRDefault="00F14579" w:rsidP="002B4B29">
      <w:pPr>
        <w:pStyle w:val="NormalHanging12a"/>
        <w:rPr>
          <w:b/>
          <w:i/>
        </w:rPr>
      </w:pPr>
      <w:r>
        <w:t>30</w:t>
      </w:r>
      <w:r w:rsidR="002B4B29" w:rsidRPr="00A73780">
        <w:t>.</w:t>
      </w:r>
      <w:r w:rsidR="002B4B29" w:rsidRPr="00A73780">
        <w:rPr>
          <w:b/>
          <w:i/>
        </w:rPr>
        <w:tab/>
      </w:r>
      <w:r w:rsidR="002B4B29" w:rsidRPr="00A73780">
        <w:t>след констативното посещение в Румъния подчертава необходимостта от баланс между защитата на дивата природа и безопасността на гражданите; подчертава, че всяка държава членка следва да има право да предприема мерки, включително контрол върху популациите на вида, с цел предотвратяване на заплахи за живота и собствеността на нейните граждани;</w:t>
      </w:r>
    </w:p>
    <w:p w:rsidR="002B4B29" w:rsidRPr="00A73780" w:rsidRDefault="00F14579" w:rsidP="009F5A66">
      <w:pPr>
        <w:pStyle w:val="NormalHanging12a"/>
      </w:pPr>
      <w:r>
        <w:t>31</w:t>
      </w:r>
      <w:r w:rsidR="002B4B29" w:rsidRPr="00A73780">
        <w:t>.</w:t>
      </w:r>
      <w:r w:rsidR="002B4B29" w:rsidRPr="00A73780">
        <w:tab/>
        <w:t xml:space="preserve">подчертава ангажимента на комисията по петиции за защитата на правата на лицата с увреждания; припомня годишния семинар, проведен от комисията по петиции на 29 ноември 2023 г., относно правата на лицата с увреждания; припомня, че в първата част на семинара  беше поставен акцент върху това как хората с увреждания се справят с неотдавнашните кризи (разходи за енергия, война, висока инфлация) и как мерките на ЕС спомагат за преодоляването на тези пречки, а втората част разглежда въпроса за това как европейските институции са изградили приобщаваща комуникация с гражданите с увреждания; подчертава също така в този контекст приемането от комисията по петиции на становище под формата на писмо относно създаването на европейската карта за хора с увреждания и европейската карта за паркиране за хора с увреждания на 29 ноември 2023 г.; </w:t>
      </w:r>
      <w:r w:rsidR="009F5A66" w:rsidRPr="009F5A66">
        <w:t>подчертава, че достъпът до социалноосигурителни обезщетения за хората с увреждания попада в обхвата на националната отговорност и системите за социална координация и че споровете следва също така да се разглеждат и зачитат чрез установените съдебни механизми и техните правомощия чрез задължението за изчерпване на правните средства за защита, а не чрез пряката намеса на Комисията, при спазване на принципа на субсидиарност;</w:t>
      </w:r>
      <w:r w:rsidR="002B4B29" w:rsidRPr="00A73780">
        <w:t>; подчертава в този контекст належащата необходимост от пълно и последователно транспониране на Европейския акт за достъпността и призовава държавите членки да избегнат по-нататъшни забавяния, които възпрепятстват правата на лицата с увреждания; напомня, че Актът за достъпността се стреми да подобри живота на най-малко 87 милиона души с увреждания, като улесни достъпа им, наред с другото, до обществен транспорт, банкови услуги, компютри, телевизори, електронни книги и онлайн магазини;</w:t>
      </w:r>
    </w:p>
    <w:p w:rsidR="002B4B29" w:rsidRPr="00A73780" w:rsidRDefault="00F14579" w:rsidP="009F5A66">
      <w:pPr>
        <w:pStyle w:val="NormalHanging12a"/>
      </w:pPr>
      <w:r>
        <w:t>32</w:t>
      </w:r>
      <w:r w:rsidR="002B4B29" w:rsidRPr="00A73780">
        <w:t>.</w:t>
      </w:r>
      <w:r w:rsidR="002B4B29" w:rsidRPr="00A73780">
        <w:tab/>
        <w:t xml:space="preserve">подчертава важния принос на комисията по петиции за защитата на правата на лицата с увреждания, както стана ясно от разглеждането на редица петиции на тази чувствителна тема; в този контекст признава усилията на службите на Парламента и отбелязва, че трябва да се намери не само най-доброто, но и най-достъпното техническо решение за лишените от слух граждани, за да може да се комуникира с тях на техния роден език чрез националните жестомимични езици; отправя искане за изменение на Правилника за дейността в тясно сътрудничество с комисията по конституционни въпроси (AFCO) с цел премахване на </w:t>
      </w:r>
      <w:r w:rsidR="009F5A66">
        <w:t xml:space="preserve">задължението за комуникация </w:t>
      </w:r>
      <w:r w:rsidR="009F5A66" w:rsidRPr="009F5A66">
        <w:t>изключително в писмен вид с  ползващите жестомимичен език граждани, които са лишени от слух или с увреден слух, така че по тяхно искане те да могат да използват своя жестомимичен език в рамките на процедурата</w:t>
      </w:r>
      <w:r w:rsidR="002B4B29" w:rsidRPr="00A73780">
        <w:t xml:space="preserve">; подчертава също така в този контекст приемането от комисията по петиции на становище под формата на писмо относно създаването на европейската карта за хора с увреждания и европейската карта за паркиране за </w:t>
      </w:r>
      <w:r w:rsidR="002B4B29" w:rsidRPr="00A73780">
        <w:lastRenderedPageBreak/>
        <w:t>хора с увреждания на 29 ноември 2023 г.;</w:t>
      </w:r>
    </w:p>
    <w:p w:rsidR="002B4B29" w:rsidRPr="00A73780" w:rsidRDefault="00F14579" w:rsidP="002B4B29">
      <w:pPr>
        <w:pStyle w:val="NormalHanging12a"/>
      </w:pPr>
      <w:r>
        <w:t>33</w:t>
      </w:r>
      <w:r w:rsidR="002B4B29" w:rsidRPr="00A73780">
        <w:t>.</w:t>
      </w:r>
      <w:r w:rsidR="002B4B29" w:rsidRPr="00A73780">
        <w:tab/>
        <w:t>освен това подчертава специфичната роля на защитник, която комисията по петиции изпълнява в ЕС в контекста на Конвенцията на ООН за правата на хората с увреждания чрез своята способност да разглежда петиции, и подчертава важната текуща работа на комисията по петиции във връзка с петициите относно проблеми, свързани с увреждания; въпреки че отбелязва лек спад в броя на петициите относно уврежданията през 2023 г. в сравнение с 2022 г., подчертава, че този брой почти се е удвоил в сравнение с 2021 г.; освен това изтъква, че дискриминацията и достъпът до обществен транспорт и заетост продължават да са големи предизвикателства, пред които са изправени хората с увреждания и подчертава, че комисията по петиции обърна специално внимание на искането в Европейския акт за достъпността да бъдат признати правата на лицата с аутизъм; приветства приемането на кратко предложение за резолюция относно хармонизирането на правата на хората с аутизъм, като подчертава необходимостта от подобряване на достъпа до диагностика, здравно обслужване, образование, заетост, достъпност и предоставяне на разумни улеснения, правоспособност и доживотна подкрепа в общността, включително в сферата на културата и спорта; освен това обръща внимание на особената роля на комисията по петиции в защитата на правата на децата и техните родители, като отчита многобройните получени петиции относно правата на децата, които изискват специално внимание и действия; припомня в този контекст разпоредбите на Хартата на основните права на ЕС, и по-специално член 24 от нея, относно правата на детето,  всяко дете да има възможност да поддържа лични отношения и пряк контакт с двамата си родители, освен ако това не противоречи на неговите интереси; отново посочва риска семействата с деца с аутизъм да бъдат обект на предложения за недоказани, потенциално вредни и незаконни терапии и интервенции, които могат да доведат до тежко физическо насилие над деца;</w:t>
      </w:r>
    </w:p>
    <w:p w:rsidR="002B4B29" w:rsidRPr="005C2775" w:rsidRDefault="00F14579" w:rsidP="002B4B29">
      <w:pPr>
        <w:pStyle w:val="NormalHanging12a"/>
        <w:rPr>
          <w:rFonts w:eastAsia="Calibri"/>
          <w:lang w:val="en-GB"/>
        </w:rPr>
      </w:pPr>
      <w:r>
        <w:t>34</w:t>
      </w:r>
      <w:r w:rsidR="002B4B29" w:rsidRPr="00A73780">
        <w:t>.</w:t>
      </w:r>
      <w:r w:rsidR="002B4B29" w:rsidRPr="00A73780">
        <w:tab/>
        <w:t>припомня факта, че отношенията с Европейския омбудсман представляват една от отговорностите, възложени на комисията по петиции от Правилника за дейността на Парламента; приветства конструктивното сътрудничество на Парламента с Европейския омбудсман, с когото комисията по петиции споделя целите за гарантиране на прозрачност, професионализъм и почтеност на институциите на ЕС по отношение на европейските граждани, както и участието в Европейската мрежа на омбудсманите;</w:t>
      </w:r>
      <w:r w:rsidR="009F5A66">
        <w:rPr>
          <w:lang w:val="en-GB"/>
        </w:rPr>
        <w:t xml:space="preserve"> </w:t>
      </w:r>
      <w:r w:rsidR="009F5A66" w:rsidRPr="005C2775">
        <w:t>подчертава необходимостта от засилване на сътрудничеството с Европейския омбудсман, за да се гарантира бърз, безпристрастен и прозрачен отговор на жалбите на гражданите относно административни нарушения в рамките на институциите на ЕС;</w:t>
      </w:r>
    </w:p>
    <w:p w:rsidR="002B4B29" w:rsidRPr="00A73780" w:rsidRDefault="00F14579" w:rsidP="002B4B29">
      <w:pPr>
        <w:pStyle w:val="NormalHanging12a"/>
        <w:rPr>
          <w:b/>
          <w:i/>
        </w:rPr>
      </w:pPr>
      <w:r>
        <w:t>35</w:t>
      </w:r>
      <w:r w:rsidR="002B4B29" w:rsidRPr="00A73780">
        <w:t>.</w:t>
      </w:r>
      <w:r w:rsidR="002B4B29" w:rsidRPr="00A73780">
        <w:rPr>
          <w:b/>
          <w:i/>
        </w:rPr>
        <w:tab/>
      </w:r>
      <w:r w:rsidR="002B4B29" w:rsidRPr="00A73780">
        <w:t>подчертава ключовата роля на комисията по петиции в защитата на правата на работниците; подчертава, че няколко получени петиции в тази област са последвани от допълнителни действия, като например дебатите относно използването на срочни трудови договори, както и тези по европейската гражданска инициатива, превърнати в петиция „Добри облекла, справедливо заплащане“, насочена към вредните условия на труд в световната текстилна и обувна промишленост, или въпроса с искане за устен отговор относно условията на труд на учителите в Европейския съюз, който също се основава на получена по тази тема петиция; отново подчертава значението на осигуряването на справедливи условия на труд и по-добра защита на работниците в ЕС, като призовава държавите членки и Комисията да вземат ефективни мерки по опасенията, повдигнати в петициите, свързани с трудовите права и синдикатите;</w:t>
      </w:r>
      <w:r w:rsidR="002B4B29" w:rsidRPr="00A73780">
        <w:rPr>
          <w:b/>
          <w:i/>
        </w:rPr>
        <w:t> </w:t>
      </w:r>
    </w:p>
    <w:p w:rsidR="002B4B29" w:rsidRPr="009F5A66" w:rsidRDefault="00F14579" w:rsidP="002B4B29">
      <w:pPr>
        <w:pStyle w:val="NormalHanging12a"/>
        <w:rPr>
          <w:b/>
          <w:i/>
        </w:rPr>
      </w:pPr>
      <w:r>
        <w:lastRenderedPageBreak/>
        <w:t>36</w:t>
      </w:r>
      <w:r w:rsidR="002B4B29" w:rsidRPr="00A73780">
        <w:t>.</w:t>
      </w:r>
      <w:r w:rsidR="002B4B29" w:rsidRPr="00A73780">
        <w:rPr>
          <w:b/>
          <w:i/>
        </w:rPr>
        <w:tab/>
      </w:r>
      <w:r w:rsidR="002B4B29" w:rsidRPr="00A73780">
        <w:t>припомня проучването на Европейския парламент относно бездомничеството в ЕС, което беше възложено от комисията по петиции и представено на нейното заседание през ноември 2023 г.; отбелязва, че това проучване даде значителен принос към разбирането на това належащо социално и икономическо предизвикателство, представляващо една от най-тежките форми на социално изключване; проучването подчерта необходимостта от промяна на обществените политики с цел на първо място предотвратяване на бездомничеството, наред с други мерки, чрез осигуряване на сигурно и финансово достъпно жилищно настаняване;</w:t>
      </w:r>
      <w:r w:rsidR="009F5A66">
        <w:rPr>
          <w:lang w:val="en-GB"/>
        </w:rPr>
        <w:t xml:space="preserve"> </w:t>
      </w:r>
      <w:r w:rsidR="009F5A66" w:rsidRPr="005C2775">
        <w:t>припомня, че незаконното самонастаняване не може да се счита за решение на проблема с бездомничеството, тъй като правото на собственост е залегнало в член 17 от Хартата на основните права на ЕС; подчертава, че държавите членки следва да търсят реални решения, вместо да насърчават незаконното самонастаняване, тъй като жилищната политика попада в изключителната компетентност на държавите членки;</w:t>
      </w:r>
    </w:p>
    <w:p w:rsidR="002B4B29" w:rsidRPr="00A73780" w:rsidRDefault="00F14579" w:rsidP="002B4B29">
      <w:pPr>
        <w:pStyle w:val="NormalHanging12a"/>
        <w:rPr>
          <w:rFonts w:eastAsia="Calibri"/>
        </w:rPr>
      </w:pPr>
      <w:r>
        <w:t>37</w:t>
      </w:r>
      <w:r w:rsidR="002B4B29" w:rsidRPr="00A73780">
        <w:t>.</w:t>
      </w:r>
      <w:r w:rsidR="002B4B29" w:rsidRPr="00A73780">
        <w:tab/>
        <w:t>признава редовния принос на Европейския омбудсман за работата на комисията по петиции през цялата година; изразява твърдо убеждение, че институциите, органите и агенциите на Съюза трябва да гарантират последователни и ефективни последващи действия във връзка с препоръките на Омбудсмана;</w:t>
      </w:r>
    </w:p>
    <w:p w:rsidR="002B4B29" w:rsidRPr="00A73780" w:rsidRDefault="00F14579" w:rsidP="002B4B29">
      <w:pPr>
        <w:pStyle w:val="NormalHanging12a"/>
      </w:pPr>
      <w:r>
        <w:t>38</w:t>
      </w:r>
      <w:r w:rsidR="002B4B29" w:rsidRPr="00A73780">
        <w:t>.</w:t>
      </w:r>
      <w:r w:rsidR="002B4B29" w:rsidRPr="00A73780">
        <w:tab/>
        <w:t>подчертава, че европейските граждански инициативи (ЕГИ) представляват важен инструмент за активно гражданство и участие на обществеността; приветства обсъждането на различни заседания на неуспешни ЕГИ, някои от които впоследствие бяха преформулирани като петиции, като по този начин се даде възможност на гражданите да представят своите идеи и да проведат конструктивен дебат и същевременно се допринесе за участието им в демократичните процеси на ЕС; отбелязва значителния брой нови ЕГИ, регистрирани от Комисията през 2023 г., което показва, че гражданите се възползват от възможността да употребяват инструментите за участие, за да изразят мнението си по процесите на изготвяне на политиките и законите; призовава Комисията да осъществява по-добър диалог с гражданите и да осигурява необходимите последващи действия по успешните ЕГИ; приветства значителните усилия, положени за организиране, съвместно с други комисии, на четири публични изслушвания относно успешни ЕГИ, което позволи на организаторите да представят целите на инициативите и да комуникират с членове на Европейския парламент и представители на Европейската комисия; подчертава, че ангажираността на Комисията в отговорите ѝ на регистрираните ЕГИ е от значение за поддържане на доверието на гражданите в ЕГИ като най-значимия инструмент за демокрацията, основана на участието;</w:t>
      </w:r>
    </w:p>
    <w:p w:rsidR="002B4B29" w:rsidRPr="00A73780" w:rsidRDefault="00F14579" w:rsidP="002B4B29">
      <w:pPr>
        <w:pStyle w:val="NormalHanging12a"/>
        <w:rPr>
          <w:b/>
          <w:i/>
        </w:rPr>
      </w:pPr>
      <w:r>
        <w:t>39</w:t>
      </w:r>
      <w:r w:rsidR="002B4B29" w:rsidRPr="00A73780">
        <w:t>.</w:t>
      </w:r>
      <w:r w:rsidR="002B4B29" w:rsidRPr="00A73780">
        <w:rPr>
          <w:b/>
          <w:i/>
        </w:rPr>
        <w:tab/>
      </w:r>
      <w:r w:rsidR="002B4B29" w:rsidRPr="00A73780">
        <w:t>призовава Комисията да отдава необходимото внимание на парламентарните резолюции, приети във връзка с европейски граждански инициативи (ЕГИ), и да засилва ангажираността си с гражданите, особено чрез осигуряване на подходящи и ефективни последващи действия по успешните ЕГИ, като по този начин са укрепва демократичният процес и се гарантира, че гласовете на гражданите са адекватно отразени в процеса на вземане на решения в ЕС;</w:t>
      </w:r>
    </w:p>
    <w:p w:rsidR="002B4B29" w:rsidRPr="00A73780" w:rsidRDefault="00F14579" w:rsidP="002B4B29">
      <w:pPr>
        <w:pStyle w:val="NormalHanging12a"/>
        <w:rPr>
          <w:rFonts w:eastAsia="Calibri"/>
        </w:rPr>
      </w:pPr>
      <w:r>
        <w:t>40</w:t>
      </w:r>
      <w:r w:rsidR="002B4B29" w:rsidRPr="00A73780">
        <w:t>.</w:t>
      </w:r>
      <w:r w:rsidR="002B4B29" w:rsidRPr="00A73780">
        <w:tab/>
        <w:t xml:space="preserve">подчертава, че уеб порталът за петиции е основен инструмент за осигуряване на гладък, ефективен и прозрачен процес на внасяне и разглеждане на петиции; във връзка с това приветства подобренията в областта на защитата на данните и на защитните елементи, които направиха портала по-лесен за ползване и по-сигурен за гражданите; подчертава, че усилията за повишаване на достъпността на </w:t>
      </w:r>
      <w:r w:rsidR="002B4B29" w:rsidRPr="00A73780">
        <w:lastRenderedPageBreak/>
        <w:t>портала трябва да продължат, включително като той стане по-достъпен за ползвателите на жестомимичен език и за хората с увреждания; отбелязва, че уеб порталът за петиции е един от най-посещаваните уебсайтове на Европейския парламент и така служи като първо звено за контакт с Европейския парламент за много граждани на ЕС;</w:t>
      </w:r>
    </w:p>
    <w:p w:rsidR="002B4B29" w:rsidRPr="00A73780" w:rsidRDefault="00F14579" w:rsidP="002B4B29">
      <w:pPr>
        <w:pStyle w:val="NormalHanging12a"/>
      </w:pPr>
      <w:r>
        <w:t>41</w:t>
      </w:r>
      <w:r w:rsidR="002B4B29" w:rsidRPr="00A73780">
        <w:t>.</w:t>
      </w:r>
      <w:r w:rsidR="002B4B29" w:rsidRPr="00A73780">
        <w:rPr>
          <w:b/>
          <w:i/>
        </w:rPr>
        <w:tab/>
      </w:r>
      <w:r w:rsidR="002B4B29" w:rsidRPr="00A73780">
        <w:t>припомня европейското измерение на комисията по петиции, към която могат да се обръщат гражданите от всички 27 държави членки по въпроси, попадащи в обхвата на дейностите на Съюза; изразява убеждение, че комисията носи специална отговорност за поддържането на това европейско измерение и за демонстрирането на добавената стойност на европейското единство и интеграция за гражданите, както и за продължаване на работата по въпроси, свързани с нарушения на правото на ЕС, както и по пропуски и недостатъци в разпоредбите на съществуващото право на ЕС; изразява убеждение, че навременното предотвратяване на петиции по въпроси, които попадат ясно в компетентността на държавите членки, заедно с подробни обяснения и указания за алтернативни действия, когато е приложимо, би могло да допринесе за конструктивен подход и за засилване на ангажираността на гражданите; счита, че в този контекст Европейският парламент следва да увеличи усилията си за популяризиране на ролята и работата на комисията по петиции и да повиши осведомеността сред всички граждани на ЕС относно възможността за подаване на петиция до Европейския парламент; припомня, че поради ограниченото време, отредено за заседанията на комисията, повечето петиции се разглеждат чрез писмена процедура; припомня в този контекст, че всички получени петиции, включително тези в областта на международните отношения, следва да бъдат разглеждани с необходимата прозрачност и безпристрастност; смята, че подборът на петиции за обсъждане в комисията трябва да отразява географски и политически баланс на получените предложения; освен това счита, че географският баланс следва да се търси и при организирането на констативни посещения на комисията, както ежегодно, така и по време на законодателния мандат;</w:t>
      </w:r>
    </w:p>
    <w:p w:rsidR="002B4B29" w:rsidRPr="00A73780" w:rsidRDefault="00F14579" w:rsidP="002B4B29">
      <w:pPr>
        <w:pStyle w:val="NormalHanging12a"/>
      </w:pPr>
      <w:r>
        <w:t>42</w:t>
      </w:r>
      <w:r w:rsidR="002B4B29" w:rsidRPr="00A73780">
        <w:t>.</w:t>
      </w:r>
      <w:r w:rsidR="002B4B29" w:rsidRPr="00A73780">
        <w:tab/>
        <w:t>приветства приемането на краткото предложение за резолюция относно създаването на европейска столица на местната търговия</w:t>
      </w:r>
      <w:r w:rsidR="002B4B29" w:rsidRPr="00A73780">
        <w:rPr>
          <w:rStyle w:val="FootnoteReference"/>
        </w:rPr>
        <w:footnoteReference w:id="7"/>
      </w:r>
      <w:r w:rsidR="002B4B29" w:rsidRPr="00A73780">
        <w:t xml:space="preserve"> на пленарната сесия през януари 2023 г.; подчертава, че това постижение е отличен резултат за комисията по петиции, като отбелязва, че този проект е успешно включен като подготвително действие в бюджета за 2024 г. с общ бюджет от 3 милиона евро; припомня, че проектът за създаване на европейска столица на търговията на дребно (ECSR) беше официално представен от Европейската комисия в Барселона през декември 2023 г.;</w:t>
      </w:r>
    </w:p>
    <w:p w:rsidR="002B4B29" w:rsidRPr="00A73780" w:rsidRDefault="00F14579" w:rsidP="002B4B29">
      <w:pPr>
        <w:pStyle w:val="NormalHanging12a"/>
      </w:pPr>
      <w:r>
        <w:t>43</w:t>
      </w:r>
      <w:r w:rsidR="002B4B29" w:rsidRPr="00A73780">
        <w:t>.</w:t>
      </w:r>
      <w:r w:rsidR="002B4B29" w:rsidRPr="00A73780">
        <w:tab/>
        <w:t>възлага на своя председател да предаде настоящата резолюция и доклада на комисията по петиции съответно на Съвета, Комисията, Европейския омбудсман и правителствата на държавите членки, както и на парламентите на държавите членки, на техните комисии по петиции и на техните омбудсмани или сходни компетентни органи.</w:t>
      </w:r>
    </w:p>
    <w:sectPr w:rsidR="002B4B29" w:rsidRPr="00A73780" w:rsidSect="00A7378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728" w:rsidRPr="00A73780" w:rsidRDefault="00B53728">
      <w:r w:rsidRPr="00A73780">
        <w:separator/>
      </w:r>
    </w:p>
  </w:endnote>
  <w:endnote w:type="continuationSeparator" w:id="0">
    <w:p w:rsidR="00B53728" w:rsidRPr="00A73780" w:rsidRDefault="00B53728">
      <w:r w:rsidRPr="00A737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728" w:rsidRPr="00A73780" w:rsidRDefault="00B53728">
      <w:r w:rsidRPr="00A73780">
        <w:separator/>
      </w:r>
    </w:p>
  </w:footnote>
  <w:footnote w:type="continuationSeparator" w:id="0">
    <w:p w:rsidR="00B53728" w:rsidRPr="00A73780" w:rsidRDefault="00B53728">
      <w:r w:rsidRPr="00A73780">
        <w:continuationSeparator/>
      </w:r>
    </w:p>
  </w:footnote>
  <w:footnote w:id="1">
    <w:p w:rsidR="009F5A66" w:rsidRPr="005C2775" w:rsidRDefault="009F5A66" w:rsidP="005C2775">
      <w:pPr>
        <w:pStyle w:val="FootnoteText"/>
        <w:ind w:left="567" w:hanging="567"/>
        <w:rPr>
          <w:sz w:val="24"/>
          <w:szCs w:val="24"/>
          <w:lang w:val="bg-BG"/>
        </w:rPr>
      </w:pPr>
      <w:r w:rsidRPr="005C2775">
        <w:rPr>
          <w:rStyle w:val="FootnoteReference"/>
          <w:sz w:val="24"/>
          <w:szCs w:val="24"/>
          <w:lang w:val="bg-BG"/>
        </w:rPr>
        <w:footnoteRef/>
      </w:r>
      <w:r w:rsidRPr="005C2775">
        <w:rPr>
          <w:sz w:val="24"/>
          <w:szCs w:val="24"/>
          <w:lang w:val="bg-BG"/>
        </w:rPr>
        <w:t xml:space="preserve"> </w:t>
      </w:r>
      <w:r w:rsidRPr="005C2775">
        <w:rPr>
          <w:sz w:val="24"/>
          <w:szCs w:val="24"/>
          <w:lang w:val="bg-BG"/>
        </w:rPr>
        <w:tab/>
        <w:t xml:space="preserve">OВ C, C/2024/3999, 17.7.2024 г., ELI: </w:t>
      </w:r>
      <w:hyperlink r:id="rId1" w:history="1">
        <w:r w:rsidRPr="005C2775">
          <w:rPr>
            <w:rStyle w:val="Hyperlink"/>
            <w:sz w:val="24"/>
            <w:szCs w:val="24"/>
            <w:lang w:val="bg-BG"/>
          </w:rPr>
          <w:t>http://data.europa.eu/eli/C/2024/3999/oj</w:t>
        </w:r>
      </w:hyperlink>
      <w:r w:rsidRPr="005C2775">
        <w:rPr>
          <w:sz w:val="24"/>
          <w:szCs w:val="24"/>
          <w:lang w:val="bg-BG"/>
        </w:rPr>
        <w:t xml:space="preserve">. </w:t>
      </w:r>
    </w:p>
  </w:footnote>
  <w:footnote w:id="2">
    <w:p w:rsidR="00AD7CF3" w:rsidRPr="005C2775" w:rsidRDefault="00AD7CF3" w:rsidP="005C2775">
      <w:pPr>
        <w:pStyle w:val="FootnoteText"/>
        <w:ind w:left="567" w:hanging="567"/>
        <w:rPr>
          <w:sz w:val="24"/>
          <w:szCs w:val="24"/>
          <w:lang w:val="bg-BG"/>
        </w:rPr>
      </w:pPr>
      <w:r w:rsidRPr="005C2775">
        <w:rPr>
          <w:rStyle w:val="FootnoteReference"/>
          <w:sz w:val="24"/>
          <w:szCs w:val="24"/>
          <w:lang w:val="bg-BG"/>
        </w:rPr>
        <w:footnoteRef/>
      </w:r>
      <w:r w:rsidRPr="005C2775">
        <w:rPr>
          <w:sz w:val="24"/>
          <w:szCs w:val="24"/>
          <w:lang w:val="bg-BG"/>
        </w:rPr>
        <w:t xml:space="preserve"> </w:t>
      </w:r>
      <w:r w:rsidRPr="005C2775">
        <w:rPr>
          <w:sz w:val="24"/>
          <w:szCs w:val="24"/>
          <w:lang w:val="bg-BG"/>
        </w:rPr>
        <w:tab/>
        <w:t xml:space="preserve">Директива 92/43/ЕИО на Съвета от 21 май 1992 г. за опазване на естествените местообитания и на дивата флора и фауна (OВ L 206, 22.7.1992 г., стp. 7, ELI: </w:t>
      </w:r>
      <w:hyperlink r:id="rId2" w:history="1">
        <w:r w:rsidRPr="005C2775">
          <w:rPr>
            <w:rStyle w:val="Hyperlink"/>
            <w:sz w:val="24"/>
            <w:szCs w:val="24"/>
            <w:lang w:val="bg-BG"/>
          </w:rPr>
          <w:t>http://data.europa.eu/eli/dir/1992/43/oj</w:t>
        </w:r>
      </w:hyperlink>
      <w:r w:rsidRPr="005C2775">
        <w:rPr>
          <w:sz w:val="24"/>
          <w:szCs w:val="24"/>
          <w:lang w:val="bg-BG"/>
        </w:rPr>
        <w:t>).</w:t>
      </w:r>
    </w:p>
  </w:footnote>
  <w:footnote w:id="3">
    <w:p w:rsidR="00AD7CF3" w:rsidRPr="005C2775" w:rsidRDefault="00AD7CF3" w:rsidP="005C2775">
      <w:pPr>
        <w:pStyle w:val="FootnoteText"/>
        <w:ind w:left="567" w:hanging="567"/>
        <w:rPr>
          <w:sz w:val="24"/>
          <w:szCs w:val="24"/>
          <w:lang w:val="bg-BG"/>
        </w:rPr>
      </w:pPr>
      <w:r w:rsidRPr="005C2775">
        <w:rPr>
          <w:rStyle w:val="FootnoteReference"/>
          <w:sz w:val="24"/>
          <w:szCs w:val="24"/>
          <w:lang w:val="bg-BG"/>
        </w:rPr>
        <w:footnoteRef/>
      </w:r>
      <w:r w:rsidRPr="005C2775">
        <w:rPr>
          <w:sz w:val="24"/>
          <w:szCs w:val="24"/>
          <w:lang w:val="bg-BG"/>
        </w:rPr>
        <w:t xml:space="preserve"> </w:t>
      </w:r>
      <w:r w:rsidRPr="005C2775">
        <w:rPr>
          <w:sz w:val="24"/>
          <w:szCs w:val="24"/>
          <w:lang w:val="bg-BG"/>
        </w:rPr>
        <w:tab/>
        <w:t>Директива 2009/147/ЕО на Европейския парламент и на Съвета от 30 ноември 2009 г. относно опазването на дивите птици (OВ L 20, 26.1.2010 г., стp. 7</w:t>
      </w:r>
      <w:r w:rsidR="00BA487E">
        <w:rPr>
          <w:sz w:val="24"/>
          <w:szCs w:val="24"/>
          <w:lang w:val="bg-BG"/>
        </w:rPr>
        <w:t>,</w:t>
      </w:r>
      <w:r w:rsidRPr="005C2775">
        <w:rPr>
          <w:sz w:val="24"/>
          <w:szCs w:val="24"/>
          <w:lang w:val="bg-BG"/>
        </w:rPr>
        <w:t xml:space="preserve"> ELI: </w:t>
      </w:r>
      <w:hyperlink r:id="rId3" w:history="1">
        <w:r w:rsidRPr="005C2775">
          <w:rPr>
            <w:rStyle w:val="Hyperlink"/>
            <w:sz w:val="24"/>
            <w:szCs w:val="24"/>
            <w:lang w:val="bg-BG"/>
          </w:rPr>
          <w:t>http://data.europa.eu/eli/dir/2009/147/oj</w:t>
        </w:r>
      </w:hyperlink>
      <w:r w:rsidRPr="005C2775">
        <w:rPr>
          <w:sz w:val="24"/>
          <w:szCs w:val="24"/>
          <w:lang w:val="bg-BG"/>
        </w:rPr>
        <w:t>).</w:t>
      </w:r>
    </w:p>
  </w:footnote>
  <w:footnote w:id="4">
    <w:p w:rsidR="00AD7CF3" w:rsidRPr="005C2775" w:rsidRDefault="00AD7CF3" w:rsidP="005C2775">
      <w:pPr>
        <w:pStyle w:val="FootnoteText"/>
        <w:ind w:left="567" w:hanging="567"/>
        <w:rPr>
          <w:sz w:val="24"/>
          <w:szCs w:val="24"/>
          <w:lang w:val="bg-BG"/>
        </w:rPr>
      </w:pPr>
      <w:r w:rsidRPr="005C2775">
        <w:rPr>
          <w:rStyle w:val="FootnoteReference"/>
          <w:sz w:val="24"/>
          <w:szCs w:val="24"/>
          <w:lang w:val="bg-BG"/>
        </w:rPr>
        <w:footnoteRef/>
      </w:r>
      <w:r w:rsidRPr="005C2775">
        <w:rPr>
          <w:sz w:val="24"/>
          <w:szCs w:val="24"/>
          <w:lang w:val="bg-BG"/>
        </w:rPr>
        <w:t xml:space="preserve"> </w:t>
      </w:r>
      <w:r w:rsidRPr="005C2775">
        <w:rPr>
          <w:sz w:val="24"/>
          <w:szCs w:val="24"/>
          <w:lang w:val="bg-BG"/>
        </w:rPr>
        <w:tab/>
        <w:t xml:space="preserve">OВ C, C/2024/6559, 12.11.2024 г., ELI: </w:t>
      </w:r>
      <w:hyperlink r:id="rId4" w:history="1">
        <w:r w:rsidRPr="005C2775">
          <w:rPr>
            <w:rStyle w:val="Hyperlink"/>
            <w:sz w:val="24"/>
            <w:szCs w:val="24"/>
          </w:rPr>
          <w:t>http://data.europa.eu/eli/C/2024/6559/oj</w:t>
        </w:r>
      </w:hyperlink>
      <w:r w:rsidRPr="005C2775">
        <w:rPr>
          <w:sz w:val="24"/>
          <w:szCs w:val="24"/>
          <w:lang w:val="bg-BG"/>
        </w:rPr>
        <w:t>.</w:t>
      </w:r>
      <w:r w:rsidRPr="00EC6512">
        <w:rPr>
          <w:sz w:val="24"/>
          <w:szCs w:val="24"/>
          <w:lang w:val="bg-BG"/>
        </w:rPr>
        <w:t xml:space="preserve"> </w:t>
      </w:r>
    </w:p>
  </w:footnote>
  <w:footnote w:id="5">
    <w:p w:rsidR="002B4B29" w:rsidRPr="00EC6512" w:rsidRDefault="002B4B29" w:rsidP="00AD7CF3">
      <w:pPr>
        <w:pStyle w:val="FootnoteText"/>
        <w:ind w:left="567" w:hanging="567"/>
        <w:rPr>
          <w:sz w:val="24"/>
          <w:szCs w:val="24"/>
          <w:lang w:val="bg-BG"/>
        </w:rPr>
      </w:pPr>
      <w:r w:rsidRPr="00EC6512">
        <w:rPr>
          <w:rStyle w:val="FootnoteReference"/>
          <w:sz w:val="24"/>
          <w:szCs w:val="24"/>
          <w:lang w:val="bg-BG"/>
        </w:rPr>
        <w:footnoteRef/>
      </w:r>
      <w:r w:rsidR="00A73780" w:rsidRPr="00EC6512">
        <w:rPr>
          <w:sz w:val="24"/>
          <w:szCs w:val="24"/>
          <w:lang w:val="bg-BG"/>
        </w:rPr>
        <w:t xml:space="preserve"> </w:t>
      </w:r>
      <w:r w:rsidR="00A73780" w:rsidRPr="00EC6512">
        <w:rPr>
          <w:sz w:val="24"/>
          <w:szCs w:val="24"/>
          <w:lang w:val="bg-BG"/>
        </w:rPr>
        <w:tab/>
      </w:r>
      <w:r w:rsidRPr="00EC6512">
        <w:rPr>
          <w:sz w:val="24"/>
          <w:szCs w:val="24"/>
          <w:lang w:val="bg-BG"/>
        </w:rPr>
        <w:t xml:space="preserve">Приет от Парламента като резолюция от 23 ноември 2023 г. относно резултата от разискванията на комисията по петиции през 2022 г. </w:t>
      </w:r>
      <w:r w:rsidR="00BA487E">
        <w:rPr>
          <w:sz w:val="24"/>
          <w:szCs w:val="24"/>
          <w:lang w:val="bg-BG"/>
        </w:rPr>
        <w:t>(</w:t>
      </w:r>
      <w:r w:rsidRPr="00EC6512">
        <w:rPr>
          <w:sz w:val="24"/>
          <w:szCs w:val="24"/>
          <w:lang w:val="bg-BG"/>
        </w:rPr>
        <w:t xml:space="preserve">ОВ C, C/2024/4220, 24.7.2024 г., ELI: </w:t>
      </w:r>
      <w:hyperlink r:id="rId5" w:history="1">
        <w:r w:rsidRPr="005C2775">
          <w:rPr>
            <w:rStyle w:val="Hyperlink"/>
            <w:sz w:val="24"/>
            <w:szCs w:val="24"/>
            <w:lang w:val="bg-BG"/>
          </w:rPr>
          <w:t>http://data.europa.eu/eli/C/2024/4220/oj</w:t>
        </w:r>
      </w:hyperlink>
      <w:r w:rsidR="00BA487E">
        <w:rPr>
          <w:rStyle w:val="Hyperlink"/>
          <w:sz w:val="24"/>
          <w:szCs w:val="24"/>
          <w:lang w:val="bg-BG"/>
        </w:rPr>
        <w:t>)</w:t>
      </w:r>
      <w:r w:rsidRPr="00EC6512">
        <w:rPr>
          <w:sz w:val="24"/>
          <w:szCs w:val="24"/>
          <w:lang w:val="bg-BG"/>
        </w:rPr>
        <w:t>.</w:t>
      </w:r>
    </w:p>
  </w:footnote>
  <w:footnote w:id="6">
    <w:p w:rsidR="009F5A66" w:rsidRPr="005C2775" w:rsidRDefault="009F5A66" w:rsidP="005C2775">
      <w:pPr>
        <w:pStyle w:val="FootnoteText"/>
        <w:ind w:left="567" w:hanging="567"/>
        <w:rPr>
          <w:sz w:val="24"/>
          <w:szCs w:val="24"/>
          <w:lang w:val="bg-BG"/>
        </w:rPr>
      </w:pPr>
      <w:r w:rsidRPr="00EC6512">
        <w:rPr>
          <w:rStyle w:val="FootnoteReference"/>
          <w:sz w:val="24"/>
          <w:szCs w:val="24"/>
        </w:rPr>
        <w:footnoteRef/>
      </w:r>
      <w:r w:rsidRPr="00EC6512">
        <w:rPr>
          <w:sz w:val="24"/>
          <w:szCs w:val="24"/>
        </w:rPr>
        <w:t xml:space="preserve"> </w:t>
      </w:r>
      <w:r w:rsidRPr="00EC6512">
        <w:rPr>
          <w:sz w:val="24"/>
          <w:szCs w:val="24"/>
          <w:lang w:val="en-GB"/>
        </w:rPr>
        <w:tab/>
      </w:r>
      <w:r w:rsidRPr="005C2775">
        <w:rPr>
          <w:sz w:val="24"/>
          <w:szCs w:val="24"/>
          <w:lang w:val="bg-BG"/>
        </w:rPr>
        <w:t xml:space="preserve">Членове 25 – 30 от Регламент (ЕС) 2016/399 на Европейския парламент и на Съвета от 9 март 2016 г. относно Кодекс на Съюза за режима на движение на лица през границите (Кодекс на шенгенските граници), OВ L 77, 23.3.2016 г., стp. 1, ELI: </w:t>
      </w:r>
      <w:hyperlink r:id="rId6" w:history="1">
        <w:r w:rsidRPr="003B7AFB">
          <w:rPr>
            <w:rStyle w:val="Hyperlink"/>
            <w:sz w:val="24"/>
            <w:szCs w:val="24"/>
            <w:lang w:val="bg-BG"/>
          </w:rPr>
          <w:t>http://data.europa.eu/eli/reg/2016/399/oj</w:t>
        </w:r>
      </w:hyperlink>
      <w:r w:rsidRPr="005C2775">
        <w:rPr>
          <w:sz w:val="24"/>
          <w:szCs w:val="24"/>
          <w:lang w:val="bg-BG"/>
        </w:rPr>
        <w:t>).</w:t>
      </w:r>
    </w:p>
  </w:footnote>
  <w:footnote w:id="7">
    <w:p w:rsidR="002B4B29" w:rsidRPr="00EC6512" w:rsidRDefault="002B4B29" w:rsidP="00AD7CF3">
      <w:pPr>
        <w:pStyle w:val="FootnoteText"/>
        <w:ind w:left="567" w:hanging="567"/>
        <w:rPr>
          <w:sz w:val="24"/>
          <w:szCs w:val="24"/>
          <w:lang w:val="bg-BG"/>
        </w:rPr>
      </w:pPr>
      <w:r w:rsidRPr="00EC6512">
        <w:rPr>
          <w:rStyle w:val="FootnoteReference"/>
          <w:sz w:val="24"/>
          <w:szCs w:val="24"/>
          <w:lang w:val="bg-BG"/>
        </w:rPr>
        <w:footnoteRef/>
      </w:r>
      <w:r w:rsidR="00A73780" w:rsidRPr="00EC6512">
        <w:rPr>
          <w:sz w:val="24"/>
          <w:szCs w:val="24"/>
          <w:lang w:val="bg-BG"/>
        </w:rPr>
        <w:t xml:space="preserve"> </w:t>
      </w:r>
      <w:r w:rsidR="00A73780" w:rsidRPr="00EC6512">
        <w:rPr>
          <w:sz w:val="24"/>
          <w:szCs w:val="24"/>
          <w:lang w:val="bg-BG"/>
        </w:rPr>
        <w:tab/>
      </w:r>
      <w:r w:rsidRPr="00EC6512">
        <w:rPr>
          <w:sz w:val="24"/>
          <w:szCs w:val="24"/>
          <w:lang w:val="bg-BG"/>
        </w:rPr>
        <w:t>ОВ C 214, 16.6.2023 г., стр.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BG"/>
    <w:docVar w:name="dvnumam" w:val="0"/>
    <w:docVar w:name="dvpe" w:val="768.068"/>
    <w:docVar w:name="dvrapporteur" w:val="Докладчик: "/>
    <w:docVar w:name="dvtitre" w:val="Резолюция на Европейския парламент от ... 2025 г. относно резултата от разискванията на комисията по петиции през 2023 г.(2025/2027(INI))"/>
  </w:docVars>
  <w:rsids>
    <w:rsidRoot w:val="00B53728"/>
    <w:rsid w:val="00002272"/>
    <w:rsid w:val="00064002"/>
    <w:rsid w:val="000677B9"/>
    <w:rsid w:val="000831BA"/>
    <w:rsid w:val="000A42CC"/>
    <w:rsid w:val="000E7DD9"/>
    <w:rsid w:val="0010095E"/>
    <w:rsid w:val="00125B37"/>
    <w:rsid w:val="00187494"/>
    <w:rsid w:val="001F32AE"/>
    <w:rsid w:val="002767FF"/>
    <w:rsid w:val="002B18FE"/>
    <w:rsid w:val="002B4B29"/>
    <w:rsid w:val="002B5493"/>
    <w:rsid w:val="0034001E"/>
    <w:rsid w:val="00343214"/>
    <w:rsid w:val="00361C00"/>
    <w:rsid w:val="00395FA1"/>
    <w:rsid w:val="003B7AFB"/>
    <w:rsid w:val="003E15D4"/>
    <w:rsid w:val="00411CCE"/>
    <w:rsid w:val="0041666E"/>
    <w:rsid w:val="00421060"/>
    <w:rsid w:val="00471C19"/>
    <w:rsid w:val="004867E3"/>
    <w:rsid w:val="00494A28"/>
    <w:rsid w:val="004C0004"/>
    <w:rsid w:val="004C5D52"/>
    <w:rsid w:val="0050519A"/>
    <w:rsid w:val="005072A1"/>
    <w:rsid w:val="00514517"/>
    <w:rsid w:val="0054086F"/>
    <w:rsid w:val="00545827"/>
    <w:rsid w:val="00560270"/>
    <w:rsid w:val="005C2568"/>
    <w:rsid w:val="005C2775"/>
    <w:rsid w:val="005F1B17"/>
    <w:rsid w:val="006037C0"/>
    <w:rsid w:val="006631B6"/>
    <w:rsid w:val="00680577"/>
    <w:rsid w:val="006F74FA"/>
    <w:rsid w:val="0073020C"/>
    <w:rsid w:val="00731ADD"/>
    <w:rsid w:val="00734777"/>
    <w:rsid w:val="00747932"/>
    <w:rsid w:val="00751A4A"/>
    <w:rsid w:val="00756632"/>
    <w:rsid w:val="00762AF1"/>
    <w:rsid w:val="00762C74"/>
    <w:rsid w:val="00786EC0"/>
    <w:rsid w:val="007C74C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A66"/>
    <w:rsid w:val="00A1687D"/>
    <w:rsid w:val="00A43E52"/>
    <w:rsid w:val="00A4678D"/>
    <w:rsid w:val="00A73780"/>
    <w:rsid w:val="00A778C7"/>
    <w:rsid w:val="00AB441E"/>
    <w:rsid w:val="00AB6293"/>
    <w:rsid w:val="00AD7CF3"/>
    <w:rsid w:val="00AE0928"/>
    <w:rsid w:val="00AF3B82"/>
    <w:rsid w:val="00B12E95"/>
    <w:rsid w:val="00B22876"/>
    <w:rsid w:val="00B53728"/>
    <w:rsid w:val="00B558F0"/>
    <w:rsid w:val="00BA487E"/>
    <w:rsid w:val="00BD48FE"/>
    <w:rsid w:val="00BD7BD8"/>
    <w:rsid w:val="00BE6ADC"/>
    <w:rsid w:val="00C05BFE"/>
    <w:rsid w:val="00C23CD4"/>
    <w:rsid w:val="00C61C0C"/>
    <w:rsid w:val="00C941CB"/>
    <w:rsid w:val="00CC2357"/>
    <w:rsid w:val="00CE4E70"/>
    <w:rsid w:val="00CF071A"/>
    <w:rsid w:val="00D058B8"/>
    <w:rsid w:val="00D56C11"/>
    <w:rsid w:val="00D834A0"/>
    <w:rsid w:val="00D872DF"/>
    <w:rsid w:val="00D91E21"/>
    <w:rsid w:val="00DA7FCD"/>
    <w:rsid w:val="00E365E1"/>
    <w:rsid w:val="00E820A4"/>
    <w:rsid w:val="00EB006A"/>
    <w:rsid w:val="00EB4772"/>
    <w:rsid w:val="00EC6512"/>
    <w:rsid w:val="00ED169E"/>
    <w:rsid w:val="00ED4235"/>
    <w:rsid w:val="00F04346"/>
    <w:rsid w:val="00F075DC"/>
    <w:rsid w:val="00F14579"/>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6FE67"/>
  <w15:chartTrackingRefBased/>
  <w15:docId w15:val="{C0342E55-37CA-4572-B35D-02327F1BF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uiPriority w:val="99"/>
    <w:rsid w:val="002B4B29"/>
    <w:pPr>
      <w:spacing w:after="240"/>
      <w:ind w:left="567" w:hanging="567"/>
    </w:pPr>
  </w:style>
  <w:style w:type="paragraph" w:customStyle="1" w:styleId="EPComma">
    <w:name w:val="EPComma"/>
    <w:basedOn w:val="Normal"/>
    <w:uiPriority w:val="99"/>
    <w:rsid w:val="002B4B29"/>
    <w:pPr>
      <w:spacing w:before="480" w:after="240"/>
    </w:pPr>
  </w:style>
  <w:style w:type="character" w:styleId="Hyperlink">
    <w:name w:val="Hyperlink"/>
    <w:basedOn w:val="DefaultParagraphFont"/>
    <w:uiPriority w:val="99"/>
    <w:unhideWhenUsed/>
    <w:rsid w:val="002B4B29"/>
    <w:rPr>
      <w:color w:val="0000FF"/>
      <w:u w:val="single"/>
    </w:rPr>
  </w:style>
  <w:style w:type="character" w:customStyle="1" w:styleId="NormalHanging12aChar">
    <w:name w:val="NormalHanging12a Char"/>
    <w:basedOn w:val="DefaultParagraphFont"/>
    <w:link w:val="NormalHanging12a"/>
    <w:uiPriority w:val="99"/>
    <w:rsid w:val="002B4B29"/>
    <w:rPr>
      <w:sz w:val="24"/>
      <w:lang w:val="bg-BG"/>
    </w:rPr>
  </w:style>
  <w:style w:type="paragraph" w:styleId="BalloonText">
    <w:name w:val="Balloon Text"/>
    <w:basedOn w:val="Normal"/>
    <w:link w:val="BalloonTextChar"/>
    <w:rsid w:val="00AD7CF3"/>
    <w:rPr>
      <w:rFonts w:ascii="Segoe UI" w:hAnsi="Segoe UI" w:cs="Segoe UI"/>
      <w:sz w:val="18"/>
      <w:szCs w:val="18"/>
    </w:rPr>
  </w:style>
  <w:style w:type="character" w:customStyle="1" w:styleId="BalloonTextChar">
    <w:name w:val="Balloon Text Char"/>
    <w:basedOn w:val="DefaultParagraphFont"/>
    <w:link w:val="BalloonText"/>
    <w:rsid w:val="00AD7CF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44E04-047F-4104-820B-4B5C7AE8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7501</Words>
  <Characters>43673</Characters>
  <Application>Microsoft Office Word</Application>
  <DocSecurity>0</DocSecurity>
  <Lines>727</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2025-06-10T15:28:00Z</dcterms:created>
  <dcterms:modified xsi:type="dcterms:W3CDTF">2025-06-10T15:28:00Z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A10-0063/2025</vt:lpwstr>
  </property>
  <property fmtid="{D5CDD505-2E9C-101B-9397-08002B2CF9AE}" pid="4" name="&lt;Type&gt;">
    <vt:lpwstr>RR</vt:lpwstr>
  </property>
</Properties>
</file>