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7851" w14:paraId="2233C4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A712AD" w14:textId="77777777" w:rsidR="00751A4A" w:rsidRPr="009F7851" w:rsidRDefault="00D14B26" w:rsidP="0010095E">
            <w:pPr>
              <w:pStyle w:val="EPName"/>
            </w:pPr>
            <w:r w:rsidRPr="009F7851">
              <w:t>Evropský parlament</w:t>
            </w:r>
          </w:p>
          <w:p w14:paraId="6384527C" w14:textId="77777777" w:rsidR="00751A4A" w:rsidRPr="009F78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7851">
              <w:t>2024</w:t>
            </w:r>
            <w:r w:rsidR="00817416" w:rsidRPr="009F7851">
              <w:t>-202</w:t>
            </w:r>
            <w:r w:rsidRPr="009F7851">
              <w:t>9</w:t>
            </w:r>
          </w:p>
        </w:tc>
        <w:tc>
          <w:tcPr>
            <w:tcW w:w="2268" w:type="dxa"/>
            <w:shd w:val="clear" w:color="auto" w:fill="auto"/>
          </w:tcPr>
          <w:p w14:paraId="665D3E81" w14:textId="77777777" w:rsidR="00751A4A" w:rsidRPr="009F7851" w:rsidRDefault="00187494" w:rsidP="0010095E">
            <w:pPr>
              <w:pStyle w:val="EPLogo"/>
            </w:pPr>
            <w:r w:rsidRPr="009F7851">
              <w:rPr>
                <w:noProof/>
                <w:lang w:val="en-GB"/>
              </w:rPr>
              <w:drawing>
                <wp:inline distT="0" distB="0" distL="0" distR="0" wp14:anchorId="0929CA97" wp14:editId="234DC2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03D3E8" w14:textId="77777777" w:rsidR="00D058B8" w:rsidRPr="009F7851" w:rsidRDefault="00D058B8" w:rsidP="004C5D52">
      <w:pPr>
        <w:pStyle w:val="LineTop"/>
      </w:pPr>
    </w:p>
    <w:p w14:paraId="28E52F3E" w14:textId="77777777" w:rsidR="00680577" w:rsidRPr="009F7851" w:rsidRDefault="00D14B26" w:rsidP="00680577">
      <w:pPr>
        <w:pStyle w:val="EPBodyTA1"/>
      </w:pPr>
      <w:r w:rsidRPr="009F7851">
        <w:t>PŘIJATÉ TEXTY</w:t>
      </w:r>
    </w:p>
    <w:p w14:paraId="7B522DB2" w14:textId="77777777" w:rsidR="00D058B8" w:rsidRPr="009F7851" w:rsidRDefault="00D058B8" w:rsidP="00D058B8">
      <w:pPr>
        <w:pStyle w:val="LineBottom"/>
      </w:pPr>
    </w:p>
    <w:p w14:paraId="1AAFED25" w14:textId="77777777" w:rsidR="00D14B26" w:rsidRPr="009F7851" w:rsidRDefault="00D14B26" w:rsidP="00D14B26">
      <w:pPr>
        <w:pStyle w:val="ATHeading1"/>
      </w:pPr>
      <w:bookmarkStart w:id="0" w:name="TANumber"/>
      <w:r w:rsidRPr="009F7851">
        <w:t>P10_TA(2025)0</w:t>
      </w:r>
      <w:r w:rsidR="00B26CF5">
        <w:t>114</w:t>
      </w:r>
      <w:bookmarkEnd w:id="0"/>
    </w:p>
    <w:p w14:paraId="6A295212" w14:textId="77777777" w:rsidR="00D14B26" w:rsidRPr="009F7851" w:rsidRDefault="006A33A2" w:rsidP="00D14B26">
      <w:pPr>
        <w:pStyle w:val="ATHeading2"/>
      </w:pPr>
      <w:bookmarkStart w:id="1" w:name="title"/>
      <w:r w:rsidRPr="006A33A2">
        <w:t>Jednání Petičního výboru v roce 2023</w:t>
      </w:r>
      <w:bookmarkEnd w:id="1"/>
    </w:p>
    <w:p w14:paraId="4E3E6E21" w14:textId="77777777" w:rsidR="00D14B26" w:rsidRPr="009F7851" w:rsidRDefault="00D14B26" w:rsidP="00D14B26">
      <w:pPr>
        <w:rPr>
          <w:i/>
          <w:vanish/>
        </w:rPr>
      </w:pPr>
      <w:r w:rsidRPr="009F7851">
        <w:rPr>
          <w:i/>
        </w:rPr>
        <w:fldChar w:fldCharType="begin"/>
      </w:r>
      <w:r w:rsidRPr="009F7851">
        <w:rPr>
          <w:i/>
        </w:rPr>
        <w:instrText xml:space="preserve"> TC"(</w:instrText>
      </w:r>
      <w:bookmarkStart w:id="2" w:name="DocNumber"/>
      <w:r w:rsidRPr="009F7851">
        <w:rPr>
          <w:i/>
        </w:rPr>
        <w:instrText>A10-0063/2025</w:instrText>
      </w:r>
      <w:bookmarkEnd w:id="2"/>
      <w:r w:rsidRPr="009F7851">
        <w:rPr>
          <w:i/>
        </w:rPr>
        <w:instrText xml:space="preserve"> - Zpravodaj: Gheorghe Falcă)"\l3 \n&gt; \* MERGEFORMAT </w:instrText>
      </w:r>
      <w:r w:rsidRPr="009F7851">
        <w:rPr>
          <w:i/>
        </w:rPr>
        <w:fldChar w:fldCharType="end"/>
      </w:r>
    </w:p>
    <w:p w14:paraId="4C13CFEA" w14:textId="77777777" w:rsidR="00D14B26" w:rsidRPr="009F7851" w:rsidRDefault="00D14B26" w:rsidP="00D14B26">
      <w:pPr>
        <w:rPr>
          <w:vanish/>
        </w:rPr>
      </w:pPr>
      <w:bookmarkStart w:id="3" w:name="Commission"/>
      <w:r w:rsidRPr="009F7851">
        <w:rPr>
          <w:vanish/>
        </w:rPr>
        <w:t>Petiční výbor</w:t>
      </w:r>
      <w:bookmarkEnd w:id="3"/>
    </w:p>
    <w:p w14:paraId="2F1C1B60" w14:textId="77777777" w:rsidR="00D14B26" w:rsidRPr="009F7851" w:rsidRDefault="00D14B26" w:rsidP="00D14B26">
      <w:pPr>
        <w:rPr>
          <w:vanish/>
        </w:rPr>
      </w:pPr>
      <w:bookmarkStart w:id="4" w:name="PE"/>
      <w:r w:rsidRPr="009F7851">
        <w:rPr>
          <w:vanish/>
        </w:rPr>
        <w:t>PE768.068</w:t>
      </w:r>
      <w:bookmarkEnd w:id="4"/>
    </w:p>
    <w:p w14:paraId="645303C5" w14:textId="77777777" w:rsidR="00D14B26" w:rsidRPr="009F7851" w:rsidRDefault="00D14B26" w:rsidP="00D14B26">
      <w:pPr>
        <w:pStyle w:val="ATHeading3"/>
      </w:pPr>
      <w:bookmarkStart w:id="5" w:name="Sujet"/>
      <w:r w:rsidRPr="009F7851">
        <w:t xml:space="preserve">Usnesení </w:t>
      </w:r>
      <w:r w:rsidR="00D500C8">
        <w:t xml:space="preserve">Evropského parlamentu ze dne </w:t>
      </w:r>
      <w:r w:rsidR="00DE67C1">
        <w:t>22</w:t>
      </w:r>
      <w:r w:rsidR="00D500C8">
        <w:t>. května</w:t>
      </w:r>
      <w:r w:rsidRPr="009F7851">
        <w:t xml:space="preserve"> 2025 o výsledcích jednání Petičního výboru v průběhu roku 2023</w:t>
      </w:r>
      <w:bookmarkEnd w:id="5"/>
      <w:r w:rsidRPr="009F7851">
        <w:t xml:space="preserve"> </w:t>
      </w:r>
      <w:bookmarkStart w:id="6" w:name="References"/>
      <w:r w:rsidRPr="009F7851">
        <w:t>(2025/2027(INI))</w:t>
      </w:r>
      <w:bookmarkEnd w:id="6"/>
    </w:p>
    <w:p w14:paraId="5FC48ADC" w14:textId="77777777" w:rsidR="00556361" w:rsidRPr="009F7851" w:rsidRDefault="00556361" w:rsidP="00556361">
      <w:pPr>
        <w:pStyle w:val="EPComma"/>
      </w:pPr>
      <w:r w:rsidRPr="009F7851">
        <w:rPr>
          <w:i/>
        </w:rPr>
        <w:t>Evropský parlament</w:t>
      </w:r>
      <w:r w:rsidRPr="009F7851">
        <w:t>,</w:t>
      </w:r>
    </w:p>
    <w:p w14:paraId="12100226" w14:textId="77777777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svá předchozí usnesení o výsledcích jednání Petičního výboru,</w:t>
      </w:r>
    </w:p>
    <w:p w14:paraId="0B2F38AF" w14:textId="77777777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články 10 a 11 Smlouvy o Evropské unii (SEU),</w:t>
      </w:r>
    </w:p>
    <w:p w14:paraId="2D9E52FD" w14:textId="3719D44E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články 20, 24 a 227 Smlouvy o fungování Evropské unie (SFEU) o právu občanů a rezidentů EU obracet se na Parlament se svými obavami,</w:t>
      </w:r>
    </w:p>
    <w:p w14:paraId="2DE27D57" w14:textId="77777777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článek 228 SFEU o úloze a funkcích evropského veřejného ochránce práv,</w:t>
      </w:r>
    </w:p>
    <w:p w14:paraId="64EF4CBE" w14:textId="77777777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článek 44 Listiny základních práv Evropské unie o petičním právu k Evropskému parlamentu,</w:t>
      </w:r>
    </w:p>
    <w:p w14:paraId="4B600291" w14:textId="77777777" w:rsidR="00556361" w:rsidRDefault="00556361" w:rsidP="00556361">
      <w:pPr>
        <w:pStyle w:val="NormalHanging12a"/>
      </w:pPr>
      <w:r w:rsidRPr="009F7851">
        <w:t>–</w:t>
      </w:r>
      <w:r w:rsidRPr="009F7851">
        <w:tab/>
        <w:t>s ohledem na ustanovení SFEU týkající se řízení o nesplnění povinnosti, zejména na články 258 a 260 této smlouvy,</w:t>
      </w:r>
    </w:p>
    <w:p w14:paraId="3D4F63F2" w14:textId="77777777" w:rsidR="00AB6D55" w:rsidRPr="009F7851" w:rsidRDefault="00AB6D55" w:rsidP="00556361">
      <w:pPr>
        <w:pStyle w:val="NormalHanging12a"/>
      </w:pPr>
      <w:r w:rsidRPr="00AB6D55">
        <w:t>–</w:t>
      </w:r>
      <w:r w:rsidRPr="00AB6D55">
        <w:tab/>
        <w:t>s ohledem na závěrečné připomínky Výboru OSN pro práva osob se zdravotním postižením ze dne 21. března 2025 ke kombinované druhé a třetí pravidelné zprávě Evropské unie,</w:t>
      </w:r>
    </w:p>
    <w:p w14:paraId="29BA0AA4" w14:textId="77777777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článek 55 a čl. 233 odst. 7 jednacího řádu,</w:t>
      </w:r>
    </w:p>
    <w:p w14:paraId="6136F33E" w14:textId="77777777" w:rsidR="00556361" w:rsidRPr="009F7851" w:rsidRDefault="00556361" w:rsidP="00556361">
      <w:pPr>
        <w:pStyle w:val="NormalHanging12a"/>
      </w:pPr>
      <w:r w:rsidRPr="009F7851">
        <w:t>–</w:t>
      </w:r>
      <w:r w:rsidRPr="009F7851">
        <w:tab/>
        <w:t>s ohledem na zprávu Petičního výboru (A10-0063/2025),</w:t>
      </w:r>
    </w:p>
    <w:p w14:paraId="141E7E2C" w14:textId="77777777" w:rsidR="00556361" w:rsidRPr="009F7851" w:rsidRDefault="00556361" w:rsidP="00556361">
      <w:pPr>
        <w:pStyle w:val="NormalHanging12a"/>
      </w:pPr>
      <w:r w:rsidRPr="009F7851">
        <w:t>A.</w:t>
      </w:r>
      <w:r w:rsidRPr="009F7851">
        <w:tab/>
        <w:t>vzhledem k tomu, že účelem výroční zprávy o výsledcích jednání Petičního výboru je předložit analýzu petic obdržených v roce 2023 a vztahů s ostatními orgány a také podat věrný obraz cílů dosažených v roce 2023;</w:t>
      </w:r>
    </w:p>
    <w:p w14:paraId="70DB1FFE" w14:textId="77777777" w:rsidR="00556361" w:rsidRPr="009F7851" w:rsidRDefault="00556361" w:rsidP="00556361">
      <w:pPr>
        <w:pStyle w:val="NormalHanging12a"/>
      </w:pPr>
      <w:r w:rsidRPr="009F7851">
        <w:t>B.</w:t>
      </w:r>
      <w:r w:rsidRPr="009F7851">
        <w:tab/>
        <w:t>vzhledem k tomu, že Parlament obdržel v roce 2023 celkem 1 452 petic, což představuje nárůst o 16,2 % oproti 1 217 peticím předloženým v roce 2022 a o 4,0 % oproti 1 392 peticím registrovaným v roce 2021; vzhledem k tomu, že celkový počet obdržených petic je i nadále výrazně nižší než v roce 2013, kdy Parlament obdržel 2891 petic, a v roce 2014, kdy Parlament obdržel 2715 petic;</w:t>
      </w:r>
    </w:p>
    <w:p w14:paraId="21675474" w14:textId="77777777" w:rsidR="00556361" w:rsidRPr="009F7851" w:rsidRDefault="00556361" w:rsidP="00556361">
      <w:pPr>
        <w:pStyle w:val="NormalHanging12a"/>
      </w:pPr>
      <w:r w:rsidRPr="009F7851">
        <w:t>C.</w:t>
      </w:r>
      <w:r w:rsidRPr="009F7851">
        <w:tab/>
        <w:t xml:space="preserve">vzhledem k tomu, že v roce 2023 podpořilo jednu nebo více petic na internetovém </w:t>
      </w:r>
      <w:r w:rsidRPr="009F7851">
        <w:lastRenderedPageBreak/>
        <w:t>portálu Parlamentu pro předkládání petic 26 331 uživatelů, což představuje výrazný nárůst oproti 22 441 uživatelům zaznamenaným v roce 2022 (přičemž oba tyto počty jsou výrazně nižší oproti 209 272 podporovatelům zaznamenaným v roce 2021); vzhledem k tomu, že počet kliknutí na podporu petic se v roce 2023 rovněž mírně zvýšil na celkových 29 287 kliknutí (ve srovnání s 27 927 v roce 2022 a 217 876 v roce 2021);</w:t>
      </w:r>
    </w:p>
    <w:p w14:paraId="141F9F50" w14:textId="77777777" w:rsidR="00556361" w:rsidRPr="009F7851" w:rsidRDefault="00556361" w:rsidP="00556361">
      <w:pPr>
        <w:pStyle w:val="NormalHanging12a"/>
      </w:pPr>
      <w:r w:rsidRPr="009F7851">
        <w:t>D.</w:t>
      </w:r>
      <w:r w:rsidRPr="009F7851">
        <w:tab/>
        <w:t>vzhledem k tomu, že celkový počet petic však zůstává v poměru k celkovému počtu obyvatel EU nízký, což ukazuje, že je neustále třeba zvyšovat úsilí o rozšíření povědomí občanů o jejich petičním právu a o možné prospěšnosti petic coby způsobu, jak upozornit orgány a členské státy na záležitosti, které se občanů přímo týkají a které je znepokojují; vzhledem k tomu, že občané, kteří svého petičního práva využívají, očekávají od orgánů EU přidanou hodnotu v podobě nalezení řešení jejich problémů;</w:t>
      </w:r>
    </w:p>
    <w:p w14:paraId="1C2F8A3E" w14:textId="77777777" w:rsidR="00556361" w:rsidRPr="009F7851" w:rsidRDefault="00556361" w:rsidP="00556361">
      <w:pPr>
        <w:pStyle w:val="NormalHanging12a"/>
      </w:pPr>
      <w:r w:rsidRPr="009F7851">
        <w:t>E.</w:t>
      </w:r>
      <w:r w:rsidRPr="009F7851">
        <w:tab/>
        <w:t>vzhledem k tomu, že kritéria přípustnosti petic jsou stanovena v článku 227 SFEU a v čl. 232 odst. 1 jednacího řádu Parlamentu, v nichž se vyžaduje, aby petice předkládal občan EU nebo fyzická osoba s bydlištěm nebo právnická osoba se statutárním sídlem v některém členském státě ve věcech, které se jich přímo dotýkají a které spadají do oblasti činnosti EU;</w:t>
      </w:r>
    </w:p>
    <w:p w14:paraId="66D73F9E" w14:textId="77777777" w:rsidR="00556361" w:rsidRDefault="00556361" w:rsidP="00556361">
      <w:pPr>
        <w:pStyle w:val="NormalHanging12a"/>
      </w:pPr>
      <w:r w:rsidRPr="009F7851">
        <w:t>F.</w:t>
      </w:r>
      <w:r w:rsidRPr="009F7851">
        <w:tab/>
        <w:t>vzhledem k tomu, že z 1 452 petic předložených v roce 2023 jich bylo 429 prohlášeno za nepřípustné a 13 jich bylo staženo; vzhledem k tomu, že vysoké procento (29,55 %) nepřípustných petic v roce 2023 potvrzuje, že rozsah oblastí odpovědnosti EU ještě není zcela jasný; vzhledem k tomu, že v zájmu snížení počtu nepřípustných petic je stále třeba vyvíjet úsilí k dalšímu objasnění oblastí působnosti EU;</w:t>
      </w:r>
    </w:p>
    <w:p w14:paraId="6AB07B18" w14:textId="02B7661B" w:rsidR="00AB6D55" w:rsidRPr="00AB6D55" w:rsidRDefault="00B36C4D" w:rsidP="00556361">
      <w:pPr>
        <w:pStyle w:val="NormalHanging12a"/>
      </w:pPr>
      <w:r>
        <w:t>G</w:t>
      </w:r>
      <w:r w:rsidR="00AB6D55" w:rsidRPr="00524C5E">
        <w:t>.</w:t>
      </w:r>
      <w:r w:rsidR="00AB6D55" w:rsidRPr="00AB6D55">
        <w:tab/>
      </w:r>
      <w:r w:rsidR="00AB6D55" w:rsidRPr="00524C5E">
        <w:t>vzhledem k tomu, že Petiční výbor (PETI) se významně zasazoval v boji proti diskriminaci rumunských a bulharských občanů v době, kdy jejich země ještě nepřistoupily k schengenskému prostoru; vzhledem k tomu, že výbor PETI zásadním způsobem přispěl k prosazování rovného zacházení a řešení bezdůvodných překážek, kterým tito občané museli čelit; vzhledem k tomu, že na tento problém upozornila petice </w:t>
      </w:r>
      <w:r w:rsidR="00C20FBF">
        <w:t xml:space="preserve">č. </w:t>
      </w:r>
      <w:r w:rsidR="00AB6D55" w:rsidRPr="00524C5E">
        <w:t>0004/2023, kterou za sdružení „Asociația pentru Energie Curată și Combaterea Schimbărilor Climatice“ předložil Răzvan Eugen Nicolescu, a následné plenární usnesení o přistoupení do schengenského prostoru, které bylo přijato podle čl. 227 odst. 2 jednacího řádu</w:t>
      </w:r>
      <w:r w:rsidR="00AB6D55" w:rsidRPr="00524C5E">
        <w:rPr>
          <w:rStyle w:val="FootnoteReference"/>
        </w:rPr>
        <w:footnoteReference w:id="1"/>
      </w:r>
      <w:r w:rsidR="00AB6D55" w:rsidRPr="00524C5E">
        <w:t>;</w:t>
      </w:r>
    </w:p>
    <w:p w14:paraId="0F6F3ABD" w14:textId="77777777" w:rsidR="00556361" w:rsidRPr="009F7851" w:rsidRDefault="00B36C4D" w:rsidP="00556361">
      <w:pPr>
        <w:pStyle w:val="NormalHanging12a"/>
      </w:pPr>
      <w:r>
        <w:t>H</w:t>
      </w:r>
      <w:r w:rsidR="00556361" w:rsidRPr="009F7851">
        <w:t>.</w:t>
      </w:r>
      <w:r w:rsidR="00556361" w:rsidRPr="009F7851">
        <w:tab/>
        <w:t>vzhledem k tomu, že petiční právo je základním právem občanů EU a nabízí občanům i rezidentům otevřený, demokratický a transparentní mechanismus, jak se přímo obrátit na své volené zástupce; vzhledem k tomu, že tento základní nástroj umožňuje občanům podílet se aktivně a účinně na životě Unie; vzhledem k tomu, že prostřednictvím petic mohou občané EU upozorňovat na neprovádění právních předpisů EU a pomáhat odhalovat jejich porušování;</w:t>
      </w:r>
    </w:p>
    <w:p w14:paraId="392D112B" w14:textId="77777777" w:rsidR="00556361" w:rsidRPr="009F7851" w:rsidRDefault="00B36C4D" w:rsidP="00556361">
      <w:pPr>
        <w:pStyle w:val="NormalHanging12a"/>
      </w:pPr>
      <w:r>
        <w:t>I</w:t>
      </w:r>
      <w:r w:rsidR="00556361" w:rsidRPr="009F7851">
        <w:t>.</w:t>
      </w:r>
      <w:r w:rsidR="00556361" w:rsidRPr="009F7851">
        <w:tab/>
        <w:t xml:space="preserve">vzhledem k tomu, že Evropský parlament je jediným orgánem EU přímo voleným jejími občany; vzhledem k tomu, že právo předložit petici Evropskému parlamentu je jedním ze základních práv občanů a rezidentů EU, které jim umožňuje obrátit se přímo na jejich volené zástupce; </w:t>
      </w:r>
      <w:r w:rsidR="00AB6D55" w:rsidRPr="00AB6D55">
        <w:t xml:space="preserve">vzhledem k tomu, že mnoho osob se zdravotním postižením nemá rovný přístup k informacím a komunikaci kvůli omezené dostupnosti přístupných formátů a kvůli tomu, že národní znakové jazyky nejsou považovány za součást politiky mnohojazyčnosti EU; </w:t>
      </w:r>
      <w:r w:rsidR="00556361" w:rsidRPr="009F7851">
        <w:t xml:space="preserve">vzhledem k tomu, že Parlament je v mezinárodním měřítku již </w:t>
      </w:r>
      <w:r w:rsidR="00556361" w:rsidRPr="009F7851">
        <w:lastRenderedPageBreak/>
        <w:t>dlouho průkopníkem, pokud jde o rozvoj petičního postupu, a má nejotevřenější, nejdemokratičtější a nejtransparentnější petiční postup v Evropě, který umožňuje aktivní a efektivní zapojení předkladatelů petic do jeho činností; vzhledem k tomu, že při výkonu petičního práva občané očekávají, že orgány EU vytvoří přidanou hodnotu tím, že na řešení jejich problémů budou spolupracovat s Komisí a orgány členských států;</w:t>
      </w:r>
    </w:p>
    <w:p w14:paraId="10F8746B" w14:textId="77777777" w:rsidR="00556361" w:rsidRPr="009F7851" w:rsidRDefault="00B36C4D" w:rsidP="00556361">
      <w:pPr>
        <w:pStyle w:val="NormalHanging12a"/>
      </w:pPr>
      <w:r>
        <w:t>J</w:t>
      </w:r>
      <w:r w:rsidR="00556361" w:rsidRPr="009F7851">
        <w:t>.</w:t>
      </w:r>
      <w:r w:rsidR="00556361" w:rsidRPr="009F7851">
        <w:tab/>
        <w:t>vzhledem k tomu, že informace předložené předkladateli petic a na schůzích výborů spolu s posouzeními Komise a odpověďmi členských států a dalších subjektů jsou rovněž cenným podkladem pro práci ostatních parlamentních výborů, neboť přípustné petice jsou příslušnému výboru předávány k vyjádření nebo pro informaci; vzhledem k tomu, že petice mohou hrát roli i v legislativním procesu, neboť poskytují konkrétní zpětnou vazbu o dopadu politik EU a umožňují jejich přizpůsobení nově vznikajícím potřebám;</w:t>
      </w:r>
    </w:p>
    <w:p w14:paraId="2696DF86" w14:textId="77777777" w:rsidR="00556361" w:rsidRPr="009F7851" w:rsidRDefault="00B36C4D" w:rsidP="00556361">
      <w:pPr>
        <w:pStyle w:val="NormalHanging12a"/>
      </w:pPr>
      <w:r>
        <w:t>K</w:t>
      </w:r>
      <w:r w:rsidR="00556361" w:rsidRPr="009F7851">
        <w:t>.</w:t>
      </w:r>
      <w:r w:rsidR="00556361" w:rsidRPr="009F7851">
        <w:tab/>
        <w:t>vzhledem k tomu, že činnost Petičního výboru je založena na podnětech od předkladatelů petic, což Parlamentu umožňuje lépe reagovat na stížnosti a obavy týkající se dodržování základních práv EU a dodržování právních předpisů EU v členských státech; vzhledem k tomu, že petice jsou proto užitečným zdrojem informací o případech nesprávného uplatňování nebo porušování práva EU, což umožňuje posuzovat uplatňování práva EU a jeho dopad na práva občanů a rezidentů EU; vzhledem k tomu, že v roce 2023 byla základní práva jednou ze tří nejdůležitějších problematik, které se všichni předkladatelé petic věnovali; vzhledem k tomu, že v rámci strukturovaného dialogu s Komisí vyzval Petiční výbor Komisi, aby bojovala proti diskriminaci v Evropské unii prostřednictvím iniciativ, které by zaručily rovná práva a posílily opatření proti všem formám diskriminace, včetně diskriminace na základě pohlaví, rasového nebo etnického původu, zdravotního postižení, věku, náboženského vyznání, přesvědčení nebo sexuální orientace;</w:t>
      </w:r>
    </w:p>
    <w:p w14:paraId="0509E96E" w14:textId="77777777" w:rsidR="00556361" w:rsidRPr="009F7851" w:rsidRDefault="00B36C4D" w:rsidP="00556361">
      <w:pPr>
        <w:pStyle w:val="NormalHanging12a"/>
        <w:rPr>
          <w:b/>
          <w:i/>
        </w:rPr>
      </w:pPr>
      <w:r>
        <w:t>L</w:t>
      </w:r>
      <w:r w:rsidR="00556361" w:rsidRPr="009F7851">
        <w:t>.</w:t>
      </w:r>
      <w:r w:rsidR="00556361" w:rsidRPr="009F7851">
        <w:tab/>
        <w:t>vzhledem k tomu, že podle článku 17 SEU by Komise měla zajistit správné uplatňování Smluv a opatření přijatých na jejich základě; vzhledem k tomu, že strategický přístup Komise k řešení otázek vznesených v peticích musí být plně v souladu se Smlouvami, aby byla zajištěna co nejúčinnější opatření v návaznosti na petice, a byla tak zaručena plná a včasná ochrana práv občanů vyplývajících z práva EU;</w:t>
      </w:r>
    </w:p>
    <w:p w14:paraId="684CDAF4" w14:textId="77777777" w:rsidR="00556361" w:rsidRPr="009F7851" w:rsidRDefault="00B36C4D" w:rsidP="00556361">
      <w:pPr>
        <w:pStyle w:val="NormalHanging12a"/>
      </w:pPr>
      <w:r>
        <w:t>M</w:t>
      </w:r>
      <w:r w:rsidR="00556361" w:rsidRPr="009F7851">
        <w:t>.</w:t>
      </w:r>
      <w:r w:rsidR="00556361" w:rsidRPr="009F7851">
        <w:tab/>
        <w:t>vzhledem k tomu, že každá petice musí být pečlivě, účinně, nestranně, spravedlivě a transparentně posuzována a zkoumána v souladu s normami stanovenými v článku 41 Listiny základních práv Evropské unie v souvislosti s právem na řádnou správu; vzhledem k tomu, že každý předkladatel má právo obdržet odpověď – ve svém jazyce nebo v jazyce, který byl použit v petici, – v níž je informován o rozhodnutí o přípustnosti a následných opatřeních, které výbor přijme v přiměřené lhůtě; vzhledem k tomu, že včasné a efektivní odpovědi Komise a členských států na záležitosti, které byly předmětem petic, spolu s případnými řešeními za účelem nápravy přispívají k posílení důvěry občanů v Unii a její politiky;</w:t>
      </w:r>
    </w:p>
    <w:p w14:paraId="6778B31B" w14:textId="77777777" w:rsidR="00556361" w:rsidRPr="009F7851" w:rsidRDefault="00B36C4D" w:rsidP="00556361">
      <w:pPr>
        <w:pStyle w:val="NormalHanging12a"/>
      </w:pPr>
      <w:r>
        <w:t>N</w:t>
      </w:r>
      <w:r w:rsidR="00556361" w:rsidRPr="009F7851">
        <w:t>.</w:t>
      </w:r>
      <w:r w:rsidR="00556361" w:rsidRPr="009F7851">
        <w:tab/>
        <w:t>vzhledem k tomu, že Petiční výbor přikládá posuzování petic a jejich veřejnému projednávání na svých schůzích nejvyšší význam; vzhledem k tomu, že předkladatelé petic mají právo své petice představit a v diskusích často sami vystupují, čímž aktivně přispívají k činnosti výboru; vzhledem k tomu, že v roce 2023 uspořádal Petiční výbor 10 schůzí, na nichž se projednalo 191 petic za přítomnosti 114 předkladatelů, kteří se aktivně zapojili a na schůzi vystoupili;</w:t>
      </w:r>
    </w:p>
    <w:p w14:paraId="1C7C054D" w14:textId="77777777" w:rsidR="00556361" w:rsidRPr="009F7851" w:rsidRDefault="00B36C4D" w:rsidP="00556361">
      <w:pPr>
        <w:pStyle w:val="NormalHanging12a"/>
      </w:pPr>
      <w:r>
        <w:lastRenderedPageBreak/>
        <w:t>O</w:t>
      </w:r>
      <w:r w:rsidR="00556361" w:rsidRPr="009F7851">
        <w:t>.</w:t>
      </w:r>
      <w:r w:rsidR="00556361" w:rsidRPr="009F7851">
        <w:tab/>
        <w:t>vzhledem k tomu, že hlavní témata vznesená v peticích předložených v roce 2023 se týkala životního prostředí, základních práv, osobních záležitostí a spravedlnosti;</w:t>
      </w:r>
    </w:p>
    <w:p w14:paraId="5CE4236D" w14:textId="267AFD0C" w:rsidR="00556361" w:rsidRPr="009F7851" w:rsidRDefault="00B36C4D" w:rsidP="00556361">
      <w:pPr>
        <w:pStyle w:val="NormalHanging12a"/>
      </w:pPr>
      <w:r>
        <w:t>P</w:t>
      </w:r>
      <w:r w:rsidR="00B321A7">
        <w:t>.</w:t>
      </w:r>
      <w:r w:rsidR="005C1A2E" w:rsidRPr="009F7851">
        <w:tab/>
      </w:r>
      <w:r w:rsidR="00556361" w:rsidRPr="009F7851">
        <w:t>vzhledem k tomu, že Petiční výbor při přijímání svého pořadu jednání věnuje pozornost peticím a tématům s velkým významem pro diskusi na úrovni EU a potřebě zachovat vyvážené zeměpisné pokrytí témat podle obdržených petic;</w:t>
      </w:r>
    </w:p>
    <w:p w14:paraId="372FFF3D" w14:textId="77777777" w:rsidR="00556361" w:rsidRPr="009F7851" w:rsidRDefault="00B36C4D" w:rsidP="00556361">
      <w:pPr>
        <w:pStyle w:val="NormalHanging12a"/>
      </w:pPr>
      <w:r>
        <w:t>Q</w:t>
      </w:r>
      <w:r w:rsidR="00556361" w:rsidRPr="009F7851">
        <w:t>.</w:t>
      </w:r>
      <w:r w:rsidR="00556361" w:rsidRPr="009F7851">
        <w:tab/>
        <w:t>vzhledem k tomu, že 82,4 % petic obdržených v roce 2023 bylo předloženo prostřednictvím internetového portálu Parlamentu pro předkládání petic, což představuje mírný nárůst oproti roku 2022 (79,05 %) a znovu potvrzuje, že se jedná o zdaleka nejpoužívanější způsob, jak občané předkládají petice Parlamentu;</w:t>
      </w:r>
    </w:p>
    <w:p w14:paraId="475F9D8D" w14:textId="77777777" w:rsidR="00556361" w:rsidRPr="009F7851" w:rsidRDefault="00B36C4D" w:rsidP="00556361">
      <w:pPr>
        <w:pStyle w:val="NormalHanging12a"/>
      </w:pPr>
      <w:r>
        <w:t>R</w:t>
      </w:r>
      <w:r w:rsidR="00556361" w:rsidRPr="009F7851">
        <w:t>.</w:t>
      </w:r>
      <w:r w:rsidR="00556361" w:rsidRPr="009F7851">
        <w:tab/>
        <w:t>vzhledem k tomu, že v únoru 2023 byl webový portál pro petice přepracován a znovu spuštěn, aby odpovídal současným očekáváním a usnadnil obyvatelům členských států uplatnění jejich práva předkládat petice Parlamentu; vzhledem k tomu, že aktualizovaný portál pro předkládání petic 2.0 je dokonale integrován s nástrojem Parlamentu pro zveřejňování informací na internetových stránkách, které umožňuje rychlejší a jednodušší aktualizace obsahu a nové funkce (včetně sedmi „stručných průvodců“, které poskytují jasné pokyny krok za krokem pro podávání, sledování a podporu petic); vzhledem k tomu, že nový vyhledávač založený na technologii pružného vyhledávání zlepšil uživatelský komfort tím, že účinněji poskytuje přesnější výsledky, a nový portál tak nyní upřednostňuje přístup skutečně zaměřený na občany; vzhledem k tomu, že v průběhu roku 2023 byly všechny petice připraveny a zveřejněny včas, do několika dnů od jejich přijetí, a že všechny interní i externí žádosti o podporu týkající se používání a obsahu petičního portálu byly úspěšně, včas a ve všech jazycích zodpovězeny;</w:t>
      </w:r>
    </w:p>
    <w:p w14:paraId="3A2C149F" w14:textId="77777777" w:rsidR="00556361" w:rsidRPr="009F7851" w:rsidRDefault="00B36C4D" w:rsidP="00556361">
      <w:pPr>
        <w:pStyle w:val="NormalHanging12a"/>
      </w:pPr>
      <w:r>
        <w:t>S</w:t>
      </w:r>
      <w:r w:rsidR="00556361" w:rsidRPr="009F7851">
        <w:t>.</w:t>
      </w:r>
      <w:r w:rsidR="00556361" w:rsidRPr="009F7851">
        <w:tab/>
        <w:t>vzhledem k tomu, že v roce 2023 uskutečnil Petiční výbor (PETI) čtyři pracovní cesty ke zjištění potřebných údajů, během nichž poslanci navštívili Rumunsko, aby tam prozkoumali řízení a ochranu populace medvěda hnědého a nezákonnou těžbu dřeva, Donegal (Irsko) s cílem prošetřit používání vadných prvků ze slídy ve stavebnictví v Irsku a Katalánsko (Španělsko) s cílem posoudit na místě model jazykové imerze v Katalánsku; vzhledem k tomu, že členové výboru PETI byli rovněž součástí společné delegace Výboru pro zaměstnanost a sociální věci, Výboru pro občanské svobody, spravedlnost a vnitřní věci a výboru PETI, kteří cestovali do New Yorku, aby se tam zúčastnili 16. zasedání konference smluvních stran Úmluvy o právech osob se zdravotním postižením (CRPD COSP);</w:t>
      </w:r>
    </w:p>
    <w:p w14:paraId="481FEEE7" w14:textId="77777777" w:rsidR="00556361" w:rsidRPr="009F7851" w:rsidRDefault="00B36C4D" w:rsidP="00556361">
      <w:pPr>
        <w:pStyle w:val="NormalHanging12a"/>
      </w:pPr>
      <w:r>
        <w:t>T</w:t>
      </w:r>
      <w:r w:rsidR="00556361" w:rsidRPr="009F7851">
        <w:t>.</w:t>
      </w:r>
      <w:r w:rsidR="00556361" w:rsidRPr="009F7851">
        <w:tab/>
        <w:t>vzhledem k tomu, že podle jednacího řádu Parlamentu je Petiční výbor odpovědný také za vztahy s evropským veřejným ochráncem práv, který šetří stížnosti ohledně nesprávného úředního postupu v orgánech a institucích EU; vzhledem k tomu, že předchozí evropská veřejná ochránkyně práv Emily O’Reillyová předložila svou výroční zprávu za rok 2022 Petičnímu výboru na jeho schůzi konané dne 27. června 2023;</w:t>
      </w:r>
    </w:p>
    <w:p w14:paraId="0C1CF747" w14:textId="77777777" w:rsidR="00556361" w:rsidRPr="009F7851" w:rsidRDefault="00B36C4D" w:rsidP="00556361">
      <w:pPr>
        <w:pStyle w:val="NormalHanging12a"/>
      </w:pPr>
      <w:r>
        <w:t>U</w:t>
      </w:r>
      <w:r w:rsidR="00556361" w:rsidRPr="009F7851">
        <w:t>.</w:t>
      </w:r>
      <w:r w:rsidR="00556361" w:rsidRPr="009F7851">
        <w:tab/>
        <w:t>vzhledem k tomu, že Petiční výbor je členem Evropské sítě veřejných ochránců práv, která zahrnuje rovněž evropského veřejného ochránce práv, veřejné ochránce práv na vnitrostátní a regionální úrovni a obdobné orgány v členských státech, kandidátských zemích a dalších zemích Evropského hospodářského prostoru a jejímž cílem je podporovat výměnu informací o právu a politikách EU a sdílet osvědčené postupy;</w:t>
      </w:r>
    </w:p>
    <w:p w14:paraId="4E470CB9" w14:textId="77777777" w:rsidR="00556361" w:rsidRPr="009F7851" w:rsidRDefault="00556361" w:rsidP="00556361">
      <w:pPr>
        <w:pStyle w:val="NormalHanging12a"/>
      </w:pPr>
      <w:r w:rsidRPr="009F7851">
        <w:lastRenderedPageBreak/>
        <w:t>1.</w:t>
      </w:r>
      <w:r w:rsidRPr="009F7851">
        <w:tab/>
        <w:t>zdůrazňuje zásadní úlohu Petičního výboru při ochraně a prosazování práv občanů a rezidentů EU, kterou výbor plní tím, že zajišťuje včasné, účinné a náležité posouzení obav a stížností předkladatelů petic, a tím, že jsou předkladatelé včas informováni o přijatých opatřeních a pokroku, jehož bylo v souvislosti s jejich peticemi dosaženo; připomíná, že všechny petice jsou zpracovávány v otevřeném, demokratickém a transparentním petičním procesu;</w:t>
      </w:r>
    </w:p>
    <w:p w14:paraId="16BFFC50" w14:textId="77777777" w:rsidR="00D82FA1" w:rsidRPr="00B37CC7" w:rsidRDefault="00B36C4D" w:rsidP="00D82FA1">
      <w:pPr>
        <w:pStyle w:val="Normal6a"/>
        <w:ind w:left="567" w:hanging="567"/>
      </w:pPr>
      <w:r>
        <w:t>2</w:t>
      </w:r>
      <w:r w:rsidR="00B26CF5" w:rsidRPr="00B26CF5">
        <w:t>.</w:t>
      </w:r>
      <w:r w:rsidR="00B26CF5" w:rsidRPr="00B26CF5">
        <w:tab/>
      </w:r>
      <w:r w:rsidR="00D82FA1" w:rsidRPr="00B37CC7">
        <w:t>oceňuje zásadní práci Petičního výboru v souvislosti s peticemi týkajícími se poloostrova Akamas, biologicky nejrozmanitější oblasti na Kypru, která se po desetiletí opakovaně potýká se systémovým porušováním směrnice o stanovištích</w:t>
      </w:r>
      <w:r w:rsidR="00D82FA1">
        <w:rPr>
          <w:rStyle w:val="FootnoteReference"/>
        </w:rPr>
        <w:footnoteReference w:id="2"/>
      </w:r>
      <w:r w:rsidR="00D82FA1" w:rsidRPr="00B37CC7">
        <w:t xml:space="preserve"> a směrnice o ptácích</w:t>
      </w:r>
      <w:r w:rsidR="00D82FA1">
        <w:rPr>
          <w:rStyle w:val="FootnoteReference"/>
        </w:rPr>
        <w:footnoteReference w:id="3"/>
      </w:r>
      <w:r w:rsidR="00D82FA1" w:rsidRPr="00B37CC7">
        <w:t>, a to v celkovém kontextu nedostatku účinných a závazných opatření na ochranu této oblasti a s ohledem na nedávné plány předložené příslušnými kyperskými orgány, které mají ničivé dopady na velmi křehké přírodní ekosystémy této oblasti, což je v rozporu s právními předpisy EU v oblasti životního prostředí; zdůrazňuje, že v návaznosti na práci Petičního výboru v této věci se Komise dne 13. března 2024 rozhodla zažalovat Kypr u Soudního dvora Evropské unie (SDEU) kvůli nedodržování směrnice o stanovištích ze strany kyperských orgánů; vyjadřuje politování nad tím, že v době, která uplynula od tohoto rozhodnutí – více než jeden rok – Komise Soudnímu dvoru EU nepředložila spis, a oficiálně tedy nezahájila soudní řízení;</w:t>
      </w:r>
    </w:p>
    <w:p w14:paraId="5E3F3A24" w14:textId="77777777" w:rsidR="00D82FA1" w:rsidRDefault="00D82FA1" w:rsidP="00B26CF5">
      <w:pPr>
        <w:pStyle w:val="NormalHanging12a"/>
      </w:pPr>
      <w:r>
        <w:t>3.</w:t>
      </w:r>
      <w:r>
        <w:tab/>
      </w:r>
      <w:r w:rsidRPr="00D82FA1">
        <w:t>zdůrazňuje klíčovou práci Petičního výboru v oblasti ochrany práv pracovníků proti diskriminaci a zneužívání smluv na dobu určitou ve veřejném sektoru v Itálii; oceňuje, že Komise řádně zohlednila velmi spolehlivé právní dokumenty, které předkladatelé petic poskytli a které byly pečlivě posouzeny na různých schůzích Petičního výboru, když se rozhodla zažalovat Itálii u Soudního dvora EU kvůli tomu, že v rozporu se směrnicí Rady 1999/70/ES neukončila nekalé využívání smluv na dobu určitou a diskriminační pracovní podmínky;</w:t>
      </w:r>
    </w:p>
    <w:p w14:paraId="3AA64FF2" w14:textId="0745F618" w:rsidR="00B26CF5" w:rsidRDefault="00D82FA1" w:rsidP="00B26CF5">
      <w:pPr>
        <w:pStyle w:val="NormalHanging12a"/>
      </w:pPr>
      <w:r>
        <w:t>4.</w:t>
      </w:r>
      <w:r>
        <w:tab/>
      </w:r>
      <w:r w:rsidR="00B26CF5" w:rsidRPr="00B26CF5">
        <w:t xml:space="preserve">s potěšením konstatuje, že výbor PETI projednal petici </w:t>
      </w:r>
      <w:r w:rsidR="00C20FBF">
        <w:t xml:space="preserve">č. </w:t>
      </w:r>
      <w:r w:rsidR="00B26CF5" w:rsidRPr="00B26CF5">
        <w:t>1168/2023, kterou za sdružení „Společně k prosperitě“ předložil Mihai Igna a v níž signatáři žádají o restituci rumunského národního pokladu a historických archívů, které jsou v držení Ruska; zdůrazňuje, že diskuse o této otázce má hluboký historický význam pro všechny členské státy, které byly v minulosti vydrancovány Ruskem, zejména pak v kontextu pokračující války na Ukrajině, protože upozorňuje na obecnější problémy v souvislosti se zachováním kulturního dědictví a ochranou národního dědictví během geopolitických konfliktů; zdůrazňuje, že výbor PETI svou angažovaností v tomto problému prokázal, že je připraven hájit práva občanů a členských států EU a chránit historické dědictví Rumunska a podpořit jeho legitimní nároky, které vzneslo na mezinárodní scéně; připomíná následné plenární usnesení o vrácení rumunského národního pokladu, který s</w:t>
      </w:r>
      <w:r w:rsidR="00B26CF5">
        <w:t>i nelegálně přivlastnilo Rusko</w:t>
      </w:r>
      <w:r w:rsidR="00B26CF5">
        <w:rPr>
          <w:rStyle w:val="FootnoteReference"/>
        </w:rPr>
        <w:footnoteReference w:id="4"/>
      </w:r>
      <w:r w:rsidR="00B26CF5" w:rsidRPr="00B26CF5">
        <w:t>;</w:t>
      </w:r>
    </w:p>
    <w:p w14:paraId="1955BABA" w14:textId="77777777" w:rsidR="00556361" w:rsidRPr="009F7851" w:rsidRDefault="00B36C4D" w:rsidP="00524C5E">
      <w:pPr>
        <w:pStyle w:val="Normal6a"/>
        <w:ind w:left="567" w:hanging="567"/>
      </w:pPr>
      <w:r>
        <w:t>5</w:t>
      </w:r>
      <w:r w:rsidR="00556361" w:rsidRPr="009F7851">
        <w:t>.</w:t>
      </w:r>
      <w:r w:rsidR="00556361" w:rsidRPr="009F7851">
        <w:tab/>
      </w:r>
      <w:r w:rsidR="00B26CF5">
        <w:t xml:space="preserve">opětovně zdůrazňuje, že je důležité, aby neustále probíhala veřejná diskuse o oblastech činnosti EU s cílem zajistit, aby byli občané řádně informováni o rozsahu pravomocí Unie a o různých úrovních rozhodování; vyzývá k posílené strukturované informační </w:t>
      </w:r>
      <w:r w:rsidR="00B26CF5">
        <w:lastRenderedPageBreak/>
        <w:t xml:space="preserve">a komunikační kampani na úrovni EU, která by </w:t>
      </w:r>
      <w:r w:rsidR="00B26CF5" w:rsidRPr="00524C5E">
        <w:t>měla být vedena bez dodatečných nákladů (mohly by být využity např. současné prostředky kontaktních kanceláří Evropského parlamentu)</w:t>
      </w:r>
      <w:r w:rsidR="00B26CF5" w:rsidRPr="00D82FA1">
        <w:t xml:space="preserve"> v</w:t>
      </w:r>
      <w:r w:rsidR="00B26CF5">
        <w:t xml:space="preserve">e všech jejích úředních jazycích a ve spolupráci s národními a regionálními veřejnými ochránci práv, nevládními organizacemi a vzdělávacími zařízeními a jejíž cílem by bylo zvýšit povědomí občanů všech členských států o jejich petičním právu, přičemž by se zaměřila zejména na venkovské a znevýhodněné komunity a marginalizované skupiny a rovněž na odlehlé ostrovy a regiony; navrhuje posílit informační činnost prostřednictvím sociálních sítí a akcí místních komunit </w:t>
      </w:r>
      <w:r w:rsidR="00B26CF5" w:rsidRPr="00524C5E">
        <w:t>tak, aby to nevedlo k dodatečným nákladům, a </w:t>
      </w:r>
      <w:r w:rsidR="00B26CF5" w:rsidRPr="00D82FA1">
        <w:t>z</w:t>
      </w:r>
      <w:r w:rsidR="00B26CF5">
        <w:t>důrazňuje, že jsou třeba rozsáhlejší</w:t>
      </w:r>
      <w:r w:rsidR="00B26CF5">
        <w:rPr>
          <w:b/>
          <w:i/>
        </w:rPr>
        <w:t xml:space="preserve"> osvětové </w:t>
      </w:r>
      <w:r w:rsidR="00B26CF5" w:rsidRPr="00524C5E">
        <w:t>kampaně pro veřejnost a</w:t>
      </w:r>
      <w:r w:rsidR="00B26CF5">
        <w:rPr>
          <w:b/>
          <w:i/>
        </w:rPr>
        <w:t> </w:t>
      </w:r>
      <w:r w:rsidR="00B26CF5">
        <w:t>informační kampaně s aktivním zapojením komunikačních služeb, které by pomohly zvýšit informovanost občanů o jejich petičním právu a o rozsahu působnosti EU a pravomocí a působnosti Petičního výboru s cílem snížit počet nepřípustných petic a posílit angažovanost občanů v souvislosti s rozhodovacím procesem; doporučuje zlepšit digitální přístupnost portálu pro předkládání petic, včetně jeho přizpůsobení osobám se zdravotním postižením a kvalitnějších překladů do všech úředních jazyků EU; doporučuje prozkoumat možnosti existujících nástrojů IT s cílem zvýšit podporu, která je na portálu nabízena občanům, včetně možností přesměrování na odpovídající mechanismy pro podávání stížností;</w:t>
      </w:r>
    </w:p>
    <w:p w14:paraId="08E933D0" w14:textId="77777777" w:rsidR="00556361" w:rsidRPr="009F7851" w:rsidRDefault="00B36C4D" w:rsidP="00556361">
      <w:pPr>
        <w:pStyle w:val="NormalHanging12a"/>
      </w:pPr>
      <w:r>
        <w:t>6</w:t>
      </w:r>
      <w:r w:rsidR="00556361" w:rsidRPr="009F7851">
        <w:t>.</w:t>
      </w:r>
      <w:r w:rsidR="00556361" w:rsidRPr="009F7851">
        <w:tab/>
        <w:t>připomíná evropský rozměr Petičního výboru, na který se mohou obracet občané ze všech 27 členských států v otázkách, které spadají do oblasti působnosti Smluv EU a práva EU; je přesvědčen, že výbor má zvláštní odpovědnost, aby tento evropský rozměr podporoval a ukázal občanům přidanou hodnotu evropské jednoty a integrace;</w:t>
      </w:r>
      <w:r w:rsidR="00B26CF5">
        <w:t xml:space="preserve"> </w:t>
      </w:r>
      <w:r w:rsidR="00B26CF5" w:rsidRPr="00B26CF5">
        <w:t>zdůrazňuje, že evropský rozměr musí být založen na solidaritě, podpoře sociálních a hospodářských práv, ochraně menšinových jazyků a kultur a aktivním boji proti změně klimatu;</w:t>
      </w:r>
    </w:p>
    <w:p w14:paraId="7575558D" w14:textId="77777777" w:rsidR="00556361" w:rsidRPr="009F7851" w:rsidRDefault="00B36C4D" w:rsidP="00556361">
      <w:pPr>
        <w:pStyle w:val="NormalHanging12a"/>
      </w:pPr>
      <w:r>
        <w:t>7</w:t>
      </w:r>
      <w:r w:rsidR="00556361" w:rsidRPr="009F7851">
        <w:t>.</w:t>
      </w:r>
      <w:r w:rsidR="00556361" w:rsidRPr="009F7851">
        <w:tab/>
        <w:t>poukazuje na to, že petice představují pro Parlament a ostatní orgány EU jedinečnou možnost přímého spojení a pravidelného dialogu s občany EU, zejména v případech, kdy jsou postiženi nesprávným uplatňováním nebo porušováním právních předpisů EU; zdůrazňuje, že při šetřeních týkajících se provádění a dodržování právních předpisů EU je třeba posílit spolupráci mezi orgány EU a celostátními, regionálními a místními orgány; je přesvědčen, že tato spolupráce má zásadní význam pro projednávání a řešení obav občanů týkajících se uplatňování práva EU a přispívá k posílení demokratické legitimity a odpovědnosti Unie; vyzývá proto k účasti zástupců členských států na schůzích výboru a ke včasným a podrobným odpovědím na žádosti o objasnění nebo o informace, které Petiční výbor zasílá vnitrostátním orgánům;</w:t>
      </w:r>
      <w:r w:rsidR="00B26CF5">
        <w:t xml:space="preserve"> </w:t>
      </w:r>
      <w:r w:rsidR="00B26CF5" w:rsidRPr="00B26CF5">
        <w:t>bere na vědomí nárůst počtu petic obdržených v roce 2023, které se zabývají strukturálními rozdíly mezi skupinami obyvatelstva, včetně odměňování a důchodových příjmů; žádá, aby tyto obavy byly systematicky analyzovány a řešeny prostřednictvím koordinované činnosti s příslušnými výbory a Komisí; dále vyzývá k posílení ochrany a podpory osob vystavených zneužívání nebo vyloučení, které čelí překážkám v přístupu k vhodným podpůrným mechanismům a spravedlnosti;</w:t>
      </w:r>
    </w:p>
    <w:p w14:paraId="315FFBC2" w14:textId="77777777" w:rsidR="00556361" w:rsidRPr="009F7851" w:rsidRDefault="00B36C4D" w:rsidP="00556361">
      <w:pPr>
        <w:pStyle w:val="NormalHanging12a"/>
      </w:pPr>
      <w:r>
        <w:t>8</w:t>
      </w:r>
      <w:r w:rsidR="00556361" w:rsidRPr="009F7851">
        <w:t>.</w:t>
      </w:r>
      <w:r w:rsidR="00556361" w:rsidRPr="009F7851">
        <w:tab/>
        <w:t>připomíná, že petice významně přispívají k plnění úlohy Komise jakožto strážkyně Smluv, neboť poskytují občanům další nástroj, jak oznamovat údajná porušení práva EU; zdůrazňuje, že pro úspěšné vyřizování petic je naprosto nezbytná konstruktivní spolupráce mezi Petičním výborem a Komisí prostřednictvím včasných a podrobných odpovědí Komise, které vycházejí z důkladného prozkoumání otázek vznesených v peticích;</w:t>
      </w:r>
    </w:p>
    <w:p w14:paraId="4A4A0CEE" w14:textId="77777777" w:rsidR="00556361" w:rsidRPr="009F7851" w:rsidRDefault="00B36C4D" w:rsidP="00556361">
      <w:pPr>
        <w:pStyle w:val="NormalHanging12a"/>
      </w:pPr>
      <w:r>
        <w:lastRenderedPageBreak/>
        <w:t>9</w:t>
      </w:r>
      <w:r w:rsidR="00556361" w:rsidRPr="009F7851">
        <w:t>.</w:t>
      </w:r>
      <w:r w:rsidR="00556361" w:rsidRPr="009F7851">
        <w:tab/>
        <w:t>opakuje svou výzvu, aby Komise poskytovala Petičnímu výboru právní vyjasnění klíčových kritérií, o která se opírá její strategický přístup při prosazování práva EU, a pravidelné aktuální informace o průběhu řízení o nesplnění povinnosti a zaručila Petičnímu výboru přístup ke všem příslušným dokumentům týkajícím se postupu EU Pilot a řízení o nesplnění povinnosti a legislativních iniciativ, které byly zahájeny na základě obdržených petic; je toho názoru, že větší transparentnost a pravidelná zpětná vazba ohledně toho, jak Komise řeší probíhající řízení o nesplnění povinnosti, by byly prospěšné pro další kroky výboru ohledně otevřených petic;  vítá nedávnou iniciativu Komise zařadit petice do vyhledávacího systému registru Komise obsahujícího případy nesplnění povinnosti; zdůrazňuje, že je důležité, aby Komise v případě petic prováděla včasná šetření, přičemž zdůrazňuje porušování práv, která se dotýkají velkého počtu občanů a rezidentů EU, a aby případně konzultovala s příslušným národním veřejným ochráncem práv; vyjadřuje znepokojení nad způsobem, jakým Komise vede některá řízení o nesplnění povinnosti zahájená proti členským státům, včetně těch, která se týkají záležitostí, které byly předmětem mnoha petic; vybízí Komisi, aby zavedla veškerá nezbytná opatření s cílem zlepšit transparentnost a efektivitu vedení řízení o nesplnění povinností, které se občanům může jevit jako netransparentní;</w:t>
      </w:r>
    </w:p>
    <w:p w14:paraId="15DEDCEE" w14:textId="77777777" w:rsidR="00556361" w:rsidRDefault="00B36C4D" w:rsidP="00556361">
      <w:pPr>
        <w:pStyle w:val="NormalHanging12a"/>
      </w:pPr>
      <w:r>
        <w:t>10</w:t>
      </w:r>
      <w:r w:rsidR="00556361" w:rsidRPr="009F7851">
        <w:t>.</w:t>
      </w:r>
      <w:r w:rsidR="00556361" w:rsidRPr="009F7851">
        <w:tab/>
        <w:t>vyzývá Komisi, aby posoudila, zda vnitrostátní orgány přijímají potřebná opatření, aby reagovaly na obavy občanů, které vyjádřili ve svých peticích, v případech, kdy nebylo dodrženo právo EU, a aby v případě potřeby zahájila řízení o nesplnění povinnosti; je toho názoru, že včasné a proaktivní kroky Komise v případech porušování práva EU mají klíčový význam, má-li se zabránit tomu, aby se tato porušení stala systémovými, neboť to by mohlo oslabit důvěru občanů v evropské orgány;</w:t>
      </w:r>
    </w:p>
    <w:p w14:paraId="21CE6177" w14:textId="77777777" w:rsidR="00B26CF5" w:rsidRPr="009F7851" w:rsidRDefault="00B36C4D" w:rsidP="00556361">
      <w:pPr>
        <w:pStyle w:val="NormalHanging12a"/>
      </w:pPr>
      <w:r>
        <w:t>11</w:t>
      </w:r>
      <w:r w:rsidR="00B26CF5" w:rsidRPr="00B26CF5">
        <w:t>.</w:t>
      </w:r>
      <w:r w:rsidR="00B26CF5" w:rsidRPr="00B26CF5">
        <w:tab/>
        <w:t xml:space="preserve">připomíná, že svoboda projevu je základním pilířem evropské demokracie; odsuzuje veškeré pokusy o cenzuru, přehlížení nebo zastrašování občanů a jejich zvolených zástupců kvůli jejich politickým názorům; dále zdůrazňuje, že respektování volebních výsledků na vnitrostátní i evropské úrovni má zásadní význam pro zachování důvěry občanů v demokratický proces; </w:t>
      </w:r>
    </w:p>
    <w:p w14:paraId="057DE541" w14:textId="77777777" w:rsidR="00556361" w:rsidRDefault="00B36C4D" w:rsidP="00556361">
      <w:pPr>
        <w:pStyle w:val="NormalHanging12a"/>
      </w:pPr>
      <w:r>
        <w:t>12</w:t>
      </w:r>
      <w:r w:rsidR="00556361" w:rsidRPr="009F7851">
        <w:t>.</w:t>
      </w:r>
      <w:r w:rsidR="00556361" w:rsidRPr="009F7851">
        <w:tab/>
        <w:t>zdůrazňuje, že je zapotřebí, aby členské státy a Komise více a aktivněji spolupracovaly v otázce petic, a odblokovaly se tak petice, které si žádají rychlou odpověď a reakci vnitrostátních orgánů; připomíná, že zpožděné odpovědi členských států mohou mít dopad na včasné vyřešení záležitostí, na které občané upozorňují, a negativní důsledky pro řešení porušení právních předpisů Unie; konstatuje, že členské státy by měla zaručit, aby na petice bylo odpovídáno ve stanovené tříměsíční lhůtě; zdůrazňuje, že lepší koordinace a dialog by usnadnily účinnější řešení záležitostí, které občany znepokojují, umožnily by předcházet zbytečným prodlevám a posílily by efektivitu petičního procesu;</w:t>
      </w:r>
    </w:p>
    <w:p w14:paraId="49D0ABFB" w14:textId="77777777" w:rsidR="00B26CF5" w:rsidRPr="009F7851" w:rsidRDefault="00B36C4D" w:rsidP="00B36C4D">
      <w:pPr>
        <w:pStyle w:val="NormalHanging12a"/>
      </w:pPr>
      <w:r>
        <w:t>13</w:t>
      </w:r>
      <w:r w:rsidR="00B26CF5" w:rsidRPr="00B26CF5">
        <w:t>.</w:t>
      </w:r>
      <w:r w:rsidR="00B26CF5" w:rsidRPr="00B26CF5">
        <w:tab/>
        <w:t>se znepokojením konstatuje, že příslušné vzdělávací orgány dosud plně neprovedly doporučení, která Petiční výbor vydal ve své zprávě ze dne 19. března 2024 v návaznosti na svou pracovní cestu do Katalánska, zejména doporučení týkající se ochrany jazykových práv všech studentů a jejich rodin; vyjadřuje hluboké politování nad napjatou situací, v níž se ocitli členové výboru při své návštěvě Barcelony ve dnech 18.–20. prosince 2023, a vyzývá k dialogu vedenému s respektem a ke spolupráci mezi všemi zúčastněnými stranami s cílem zajistit, aby demokratické instituce mohly vykonávat svůj mandát v atmosféře vzájemné úcty a porozumění;</w:t>
      </w:r>
    </w:p>
    <w:p w14:paraId="65628CF4" w14:textId="77777777" w:rsidR="00556361" w:rsidRPr="009F7851" w:rsidRDefault="00556361" w:rsidP="00556361">
      <w:pPr>
        <w:pStyle w:val="NormalHanging12a"/>
        <w:rPr>
          <w:b/>
          <w:i/>
        </w:rPr>
      </w:pPr>
      <w:r w:rsidRPr="009F7851">
        <w:t>1</w:t>
      </w:r>
      <w:r w:rsidR="00B36C4D">
        <w:t>4</w:t>
      </w:r>
      <w:r w:rsidRPr="009F7851">
        <w:t>.</w:t>
      </w:r>
      <w:r w:rsidRPr="009F7851">
        <w:rPr>
          <w:b/>
          <w:i/>
        </w:rPr>
        <w:tab/>
      </w:r>
      <w:r w:rsidRPr="009F7851">
        <w:t xml:space="preserve">důrazně odsuzuje obtěžování a zastrašování, kterému byli oficiální členové delegace </w:t>
      </w:r>
      <w:r w:rsidRPr="009F7851">
        <w:lastRenderedPageBreak/>
        <w:t>Petičního výboru vystaveni během své zjišťovací návštěvy v Barceloně ve dnech 18.–20. prosince 2023, jejímž cílem bylo posoudit na místě model jazykové imerze v Katalánsku, jeho dopady na rodiny, které se stěhují do autonomní oblasti a bydlí v ní, jakož i na mnohojazyčnost a nediskriminaci a zásadu právního státu;</w:t>
      </w:r>
    </w:p>
    <w:p w14:paraId="10C66581" w14:textId="77777777" w:rsidR="00556361" w:rsidRPr="009F7851" w:rsidRDefault="00556361" w:rsidP="00556361">
      <w:pPr>
        <w:pStyle w:val="NormalHanging12a"/>
        <w:rPr>
          <w:b/>
          <w:i/>
        </w:rPr>
      </w:pPr>
      <w:r w:rsidRPr="009F7851">
        <w:t>1</w:t>
      </w:r>
      <w:r w:rsidR="00B36C4D">
        <w:t>5</w:t>
      </w:r>
      <w:r w:rsidRPr="009F7851">
        <w:t>.</w:t>
      </w:r>
      <w:r w:rsidRPr="009F7851">
        <w:tab/>
        <w:t>vyjadřuje politování nad tím, že příslušné vzdělávací orgány v tomto regionu neprovedly doporučení, která Petiční výbor vydal ve své zprávě ze dne 19. března 2024 v návaznosti na tuto pracovní cestu a jejichž cílem je chránit jazyková práva studentů a jejich rodin;</w:t>
      </w:r>
    </w:p>
    <w:p w14:paraId="2630B8D1" w14:textId="77777777" w:rsidR="00556361" w:rsidRPr="009F7851" w:rsidRDefault="00556361" w:rsidP="00556361">
      <w:pPr>
        <w:pStyle w:val="NormalHanging12a"/>
      </w:pPr>
      <w:r w:rsidRPr="009F7851">
        <w:t>1</w:t>
      </w:r>
      <w:r w:rsidR="00B36C4D">
        <w:t>6</w:t>
      </w:r>
      <w:r w:rsidRPr="009F7851">
        <w:t>.</w:t>
      </w:r>
      <w:r w:rsidRPr="009F7851">
        <w:tab/>
        <w:t>připomíná, že databáze elektronických petic je klíčovým interním nástrojem, který členům Petičního výboru umožňuje přístup ke všem nezbytným informacím, aby mohli sledovat aktuální stav každé petice a přijímat informovaná rozhodnutí ohledně vyřizování petic; poznamenává, že databáze elektronických petic (e-petice) hraje důležitou roli také při komunikaci s předkladateli petic;</w:t>
      </w:r>
    </w:p>
    <w:p w14:paraId="362EF12F" w14:textId="77777777" w:rsidR="00556361" w:rsidRPr="009F7851" w:rsidRDefault="00556361" w:rsidP="00556361">
      <w:pPr>
        <w:pStyle w:val="NormalHanging12a"/>
      </w:pPr>
      <w:r w:rsidRPr="009F7851">
        <w:t>1</w:t>
      </w:r>
      <w:r w:rsidR="00B36C4D">
        <w:t>7</w:t>
      </w:r>
      <w:r w:rsidRPr="009F7851">
        <w:t>.</w:t>
      </w:r>
      <w:r w:rsidRPr="009F7851">
        <w:tab/>
        <w:t>připomíná závazek Komise, že společně s Parlamentem vytvoří interinstitucionální nástroj IT jako prostředek pro sdílení informací a dokumentů o všech následných opatřeních přijatých v souvislosti s peticemi, jako jsou řízení o nesplnění povinnosti, legislativní návrhy nebo odpovědi vnitrostátních orgánů, neboť se tak zvýší transparentnost a efektivita vyřizování petic, což by v širším kontextu přispělo ke zvýšení důvěry občanů v orgány EU a v evropský projekt;</w:t>
      </w:r>
    </w:p>
    <w:p w14:paraId="41E767F3" w14:textId="77777777" w:rsidR="00556361" w:rsidRPr="009F7851" w:rsidRDefault="00556361" w:rsidP="00556361">
      <w:pPr>
        <w:pStyle w:val="NormalHanging12a"/>
      </w:pPr>
      <w:r w:rsidRPr="009F7851">
        <w:t>1</w:t>
      </w:r>
      <w:r w:rsidR="00B36C4D">
        <w:t>8</w:t>
      </w:r>
      <w:r w:rsidRPr="009F7851">
        <w:t>.</w:t>
      </w:r>
      <w:r w:rsidRPr="009F7851">
        <w:tab/>
        <w:t xml:space="preserve">připomíná, že pro komplexní zpracování petic je nezbytná spolupráce s ostatními parlamentními výbory; </w:t>
      </w:r>
      <w:r w:rsidR="00AB6D55" w:rsidRPr="00AB6D55">
        <w:t xml:space="preserve">přičemž zvláštní pozornost je třeba věnovat peticím týkajícím se genderové rovnosti, rozmanitosti rodin, environmentální spravedlnosti a jazykových práv menšin; </w:t>
      </w:r>
      <w:r w:rsidRPr="009F7851">
        <w:t>konstatuje, že v roce 2023 bylo ostatním výborům zasláno 34 žádostí o stanovisko (což odpovídalo 31 peticím) a 223 žádostí o informace; konstatuje, že z 34 vyžádaných stanovisek bylo do konce roku 2023 obdrženo pouze 25 odpovědí (ve 14 případech bylo stanovisko poskytnuto, zatímco v 10 případech se výbor rozhodl stanovisko nevypracovat a ve čtyřech případech nebylo sděleno žádné oficiální rozhodnutí);</w:t>
      </w:r>
      <w:r w:rsidRPr="009F7851">
        <w:rPr>
          <w:color w:val="FF0000"/>
        </w:rPr>
        <w:t xml:space="preserve"> </w:t>
      </w:r>
      <w:r w:rsidRPr="009F7851">
        <w:t>připomíná, že předkladatelé petic jsou informováni o rozhodnutích, kdy je při vyřizování jejich petic požádáno o stanoviska jiných výborů; zdůrazňuje, že parlamentní výbory by měly zintenzivnit své úsilí a aktivně přispívat k posuzování petic poskytováním svých odborných znalostí, čímž Parlamentu umožní rychleji a uceleněji reagovat na obavy občanů;</w:t>
      </w:r>
    </w:p>
    <w:p w14:paraId="658BA0E1" w14:textId="77777777" w:rsidR="00556361" w:rsidRPr="009F7851" w:rsidRDefault="00556361" w:rsidP="00556361">
      <w:pPr>
        <w:pStyle w:val="NormalHanging12a"/>
      </w:pPr>
      <w:r w:rsidRPr="009F7851">
        <w:t>1</w:t>
      </w:r>
      <w:r w:rsidR="00B36C4D">
        <w:t>9</w:t>
      </w:r>
      <w:r w:rsidRPr="009F7851">
        <w:t>.</w:t>
      </w:r>
      <w:r w:rsidRPr="009F7851">
        <w:tab/>
        <w:t xml:space="preserve">je přesvědčen o tom, že petiční síť je užitečným nástrojem pro usnadnění opatření navazujících na petice v rámci parlamentní a legislativní činnosti; domnívá se, že pravidelné schůze petiční sítě jsou zásadní pro zajištění větší viditelnosti činnosti Petičního výboru a lepšího porozumění jeho práci a poslání, jakož i pro posílení spolupráce s ostatními parlamentními výbory; </w:t>
      </w:r>
    </w:p>
    <w:p w14:paraId="38A7BC25" w14:textId="77777777" w:rsidR="00556361" w:rsidRPr="009F7851" w:rsidRDefault="00B36C4D" w:rsidP="00556361">
      <w:pPr>
        <w:pStyle w:val="NormalHanging12a"/>
      </w:pPr>
      <w:r>
        <w:t>20</w:t>
      </w:r>
      <w:r w:rsidR="00556361" w:rsidRPr="009F7851">
        <w:t>.</w:t>
      </w:r>
      <w:r w:rsidR="00556361" w:rsidRPr="009F7851">
        <w:tab/>
        <w:t>zdůrazňuje, že Petiční výbor vyjádřil svůj postoj k důležitým otázkám vzneseným v peticích přijetím zprávy o výsledcích jednání Petičního výboru v průběhu roku 2022</w:t>
      </w:r>
      <w:r w:rsidR="00556361" w:rsidRPr="009F7851">
        <w:rPr>
          <w:rStyle w:val="FootnoteReference"/>
        </w:rPr>
        <w:footnoteReference w:id="5"/>
      </w:r>
      <w:r w:rsidR="00556361" w:rsidRPr="009F7851">
        <w:t>;</w:t>
      </w:r>
    </w:p>
    <w:p w14:paraId="15E99A35" w14:textId="77777777" w:rsidR="00556361" w:rsidRPr="009F7851" w:rsidRDefault="00B36C4D" w:rsidP="00556361">
      <w:pPr>
        <w:pStyle w:val="NormalHanging12a"/>
      </w:pPr>
      <w:r>
        <w:t>21</w:t>
      </w:r>
      <w:r w:rsidR="00556361" w:rsidRPr="009F7851">
        <w:t>.</w:t>
      </w:r>
      <w:r w:rsidR="00556361" w:rsidRPr="009F7851">
        <w:tab/>
        <w:t xml:space="preserve">zdůrazňuje, že oproti roku 2022 došlo k mírnému poklesu v počtu předložených petic, </w:t>
      </w:r>
      <w:r w:rsidR="00556361" w:rsidRPr="009F7851">
        <w:lastRenderedPageBreak/>
        <w:t>které se týkají otázek vnějších vztahů; konstatuje, že to lze vysvětlit novým geopolitickým kontextem v roce 2023, zejména poklesem počtu petic týkajících se války na Ukrajině a výrazným nárůstem petic týkajících se nových konfliktů na Blízkém východě; konstatuje, že Petiční výbor vzal v úvahu obavy občanů týkající se mimo jiné sankcí, bezpečnosti, řešení konfliktů, vízové politiky, pokroku kandidátských zemí EU a že na pořad jednání zařadil řadu petic, které se zabývají zejména otázkami souvisejícími se situací uprchlíků, především dětí, a situací venezuelských uprchlíků v EU; uznává úsilí výborů, které se těmito otázkami již aktivně zabývají, a zdůrazňuje, že Výbor pro zahraniční věci a Výbor pro občanské svobody, spravedlnost a vnitřní věci by měly tyto petice zohlednit při svých jednáních;</w:t>
      </w:r>
    </w:p>
    <w:p w14:paraId="3DCD90A9" w14:textId="77777777" w:rsidR="00556361" w:rsidRPr="009F7851" w:rsidRDefault="00B36C4D" w:rsidP="00556361">
      <w:pPr>
        <w:pStyle w:val="NormalHanging12a"/>
      </w:pPr>
      <w:r>
        <w:t>22</w:t>
      </w:r>
      <w:r w:rsidR="00556361" w:rsidRPr="009F7851">
        <w:t>.</w:t>
      </w:r>
      <w:r w:rsidR="00556361" w:rsidRPr="009F7851">
        <w:tab/>
        <w:t>bere na vědomí, že zdraví, které bylo jednou z hlavních oblastí zájmu předkladatelů petic v roce 2022, zjevně hrálo důležitou roli i v roce 2023; bere na vědomí zejména to, že Petiční výbor posoudil a projednal petice týkající se zákazu chemických látek a těžkých kovů v dětských hračkách, podpory zdravých a ekologických potravinových systémů a životního stylu a provádění nařízení EU o přidaných cukrech v potravinách určených pro kojence a malé děti;</w:t>
      </w:r>
    </w:p>
    <w:p w14:paraId="12338015" w14:textId="77777777" w:rsidR="00556361" w:rsidRPr="00D82FA1" w:rsidRDefault="00556361" w:rsidP="00556361">
      <w:pPr>
        <w:pStyle w:val="NormalHanging12a"/>
      </w:pPr>
      <w:r w:rsidRPr="009F7851">
        <w:t>2</w:t>
      </w:r>
      <w:r w:rsidR="00B36C4D">
        <w:t>3</w:t>
      </w:r>
      <w:r w:rsidRPr="009F7851">
        <w:t>.</w:t>
      </w:r>
      <w:r w:rsidRPr="009F7851">
        <w:tab/>
      </w:r>
      <w:r w:rsidR="00AB6D55" w:rsidRPr="003737CA">
        <w:t>upozorňuje na značný počet petic předložených a projednávaných v souvislosti s obavami občanů ohledně znovuzavedení hraničních kontrol mezi některými členskými státy, které upozorňují na problematický aspekt omezení volného pohybu osob v rámci EU a na další aspekty, jako jsou silné a slabé stránky rozšíření schengenského prostoru</w:t>
      </w:r>
      <w:r w:rsidR="00AB6D55" w:rsidRPr="003737CA">
        <w:rPr>
          <w:b/>
          <w:i/>
        </w:rPr>
        <w:t>;</w:t>
      </w:r>
      <w:r w:rsidR="00AB6D55" w:rsidRPr="003737CA">
        <w:t xml:space="preserve"> </w:t>
      </w:r>
      <w:r w:rsidR="00AB6D55" w:rsidRPr="00524C5E">
        <w:t>připomíná</w:t>
      </w:r>
      <w:r w:rsidR="00AB6D55" w:rsidRPr="00D82FA1">
        <w:t xml:space="preserve">, </w:t>
      </w:r>
      <w:r w:rsidR="00AB6D55" w:rsidRPr="00524C5E">
        <w:t>že členské státy mohou znovu zavést hraniční kontroly</w:t>
      </w:r>
      <w:r w:rsidR="00AB6D55" w:rsidRPr="00524C5E">
        <w:rPr>
          <w:rStyle w:val="FootnoteReference"/>
        </w:rPr>
        <w:footnoteReference w:id="6"/>
      </w:r>
      <w:r w:rsidR="00AB6D55" w:rsidRPr="00524C5E">
        <w:t xml:space="preserve"> v případě vážného ohrožení veřejného pořádku nebo vnitřní bezpečnosti nebo za mimořádných okolností</w:t>
      </w:r>
      <w:r w:rsidR="00AB6D55" w:rsidRPr="00D82FA1">
        <w:t xml:space="preserve">, </w:t>
      </w:r>
      <w:r w:rsidR="00AB6D55" w:rsidRPr="00524C5E">
        <w:t>kdy je ohroženo celkové fungování</w:t>
      </w:r>
      <w:r w:rsidR="00AB6D55" w:rsidRPr="003737CA">
        <w:t xml:space="preserve"> schengenského prostoru; oceňuje významnou úlohu Petičního výboru, zejména řadu prováděných činností, přijetí stručného návrhu usnesení o přistoupení k schengenskému prostoru dne 27. června 2023 a souvisejícího usnesení Parlamentu výborem, silnou podporu rozšíření schengenského prostoru s cílem zahrnout Rumunsko a Bulharsko, uspořádání veřejného slyšení o schengenských hranicích dne 18. července 2023 společně s Výborem pro občanské svobody, spravedlnost a vnitřní věci; vítá jednomyslné rozhodnutí Rady o plném přistoupení obou zemí k schengenskému prostoru s platností od 1. ledna 2025, což umožňuje plně vykonávat základní svobody jednotného trhu EU;</w:t>
      </w:r>
      <w:r w:rsidRPr="009F7851">
        <w:rPr>
          <w:b/>
          <w:i/>
        </w:rPr>
        <w:t> </w:t>
      </w:r>
      <w:r w:rsidR="00AB6D55" w:rsidRPr="00524C5E">
        <w:t>zdůrazňuje, že bránění členským státům v přistoupení k schengenskému prostoru navzdory splnění všech nezbytných požadavků bylo diskriminačním rozhodnutím, které postrádalo právní odůvodnění a vážně zasáhlo mnoho občanů EU;</w:t>
      </w:r>
    </w:p>
    <w:p w14:paraId="5CC5738E" w14:textId="77777777" w:rsidR="00556361" w:rsidRPr="00524C5E" w:rsidRDefault="00556361" w:rsidP="00556361">
      <w:pPr>
        <w:pStyle w:val="NormalHanging12a"/>
      </w:pPr>
      <w:r w:rsidRPr="009F7851">
        <w:t>2</w:t>
      </w:r>
      <w:r w:rsidR="00B36C4D">
        <w:t>4</w:t>
      </w:r>
      <w:r w:rsidRPr="009F7851">
        <w:t>.</w:t>
      </w:r>
      <w:r w:rsidRPr="009F7851">
        <w:rPr>
          <w:b/>
          <w:i/>
        </w:rPr>
        <w:tab/>
      </w:r>
      <w:r w:rsidRPr="009F7851">
        <w:t>všímá si náhlého nárůstu petic španělského původu ve druhé polovině roku 2023, jež se týkaly rizik pro právní stát ve Španělsku v důsledku záměru španělské vlády přijmout zákon o amnestii, který je v rozporu s ústavním a evropským právem;</w:t>
      </w:r>
      <w:r w:rsidR="00AB6D55">
        <w:t xml:space="preserve"> </w:t>
      </w:r>
      <w:r w:rsidR="00AB6D55" w:rsidRPr="00524C5E">
        <w:t>vyjadřuje politování nad útoky na právní stát a na dělbu moci ze strany španělské vlády;</w:t>
      </w:r>
    </w:p>
    <w:p w14:paraId="1DEEE4D5" w14:textId="77777777" w:rsidR="00556361" w:rsidRPr="009F7851" w:rsidRDefault="00556361" w:rsidP="00556361">
      <w:pPr>
        <w:pStyle w:val="NormalHanging12a"/>
      </w:pPr>
      <w:r w:rsidRPr="009F7851">
        <w:t>2</w:t>
      </w:r>
      <w:r w:rsidR="00B36C4D">
        <w:t>5</w:t>
      </w:r>
      <w:r w:rsidRPr="009F7851">
        <w:t>.</w:t>
      </w:r>
      <w:r w:rsidRPr="009F7851">
        <w:tab/>
        <w:t xml:space="preserve">poukazuje na práci Petičního výboru v souvislosti s peticemi týkajícími se společných pravidel pro jednotnou normu pro rozměry příručních zavazadel a podtrhuje obavy občanů z nepříjemností a nepohodlí způsobených nejednotnými pravidly pro příruční zavazadla leteckých společností a z toho plynoucích skrytých nákladů; zdůrazňuje svou </w:t>
      </w:r>
      <w:r w:rsidRPr="009F7851">
        <w:lastRenderedPageBreak/>
        <w:t>výzvu k dodržování příslušného rozhodnutí Evropského soudního dvora v souvislosti s revizí právních předpisů EU o leteckých službách; v této souvislosti poukazuje na stručný návrh usnesení o standardizovaných rozměrech příručních zavazadel přijatý Petičním výborem dne 20. září 2023, po němž následovalo přijetí usnesení jediným hlasováním Evropského parlamentu dne 4. října 2023; vítá skutečnost, že Komise v listopadu 2023 předložila revizi rámce práv cestujících a řadu návrhů, které mají zlepšit zkušenosti cestujících, včetně požadavku na omezený počet jednotných velikostí a hmotností, aby se snížily nejasnosti; s politováním konstatuje, že cestující se zdravotním postižením při cestování stále čelí příliš mnoha překážkám, zejména v případě multimodálních cest; vyjadřuje politování nad tím, že systémy veřejné dopravy mnoha členských států nesplňují požadavky Úmluvy OSN o právech osob se zdravotním postižením;</w:t>
      </w:r>
    </w:p>
    <w:p w14:paraId="70CD7579" w14:textId="77777777" w:rsidR="00556361" w:rsidRPr="009F7851" w:rsidRDefault="00556361" w:rsidP="00556361">
      <w:pPr>
        <w:pStyle w:val="NormalHanging12a"/>
      </w:pPr>
      <w:r w:rsidRPr="009F7851">
        <w:t>2</w:t>
      </w:r>
      <w:r w:rsidR="00B36C4D">
        <w:t>6</w:t>
      </w:r>
      <w:r w:rsidRPr="009F7851">
        <w:t>.</w:t>
      </w:r>
      <w:r w:rsidRPr="009F7851">
        <w:tab/>
        <w:t>konstatuje, že i v roce 2023 byly zdrojem vážných obav předkladatelů petic otázky životního prostředí, když se environmentálních záležitostí týkalo více než 21 % petic; vyjadřuje politování nad tím, že některé z těchto petic poukazovaly na nesprávné provádění právních předpisů EU členskými státy s tím, že některé členské státy již z důvodu porušení právních předpisů EU v oblasti životního prostředí čelí řízení o nesplnění povinnosti; konstatuje, že četné petice popisují stížnosti na kvalitu ovzduší, hlukové znečištění, nakládání s odpady, zhoršování stavu přírodních ekosystémů a porušování směrnice o přírodních stanovištích v různých členských státech; upozorňuje na veřejné slyšení o stavu provádění směrnice o přírodních stanovištích, které se konalo 24. května 2023; bere na vědomí, že Petiční výbor pokračoval v roce 2023 v práci týkající se dopadů změny klimatu v různých oblastech, a to nejen v oblasti životního prostředí, ale také v oblasti využívání půdy, a zařadil na pořad jednání řadu petic, které k těmto tématům obdržel; poukazuje na seminář o dopadu změny klimatu na sociální zabezpečení a nejzranitelnější skupiny, který byl uspořádán 22. března 2023, a také na prezentaci studie o odškodnění obětí katastrof způsobených změnou klimatu, jež se uskutečnila dne 18. července 2023;</w:t>
      </w:r>
    </w:p>
    <w:p w14:paraId="1520A8B5" w14:textId="77777777" w:rsidR="00556361" w:rsidRPr="009F7851" w:rsidRDefault="00556361" w:rsidP="00556361">
      <w:pPr>
        <w:pStyle w:val="NormalHanging12a"/>
      </w:pPr>
      <w:r w:rsidRPr="009F7851">
        <w:t>2</w:t>
      </w:r>
      <w:r w:rsidR="00B36C4D">
        <w:t>7</w:t>
      </w:r>
      <w:r w:rsidRPr="009F7851">
        <w:t>.</w:t>
      </w:r>
      <w:r w:rsidRPr="009F7851">
        <w:tab/>
        <w:t>upozorňuje na seminář uspořádaný Petičním výborem dne 25. ledna 2023 o transparentnosti tvorby cen a úhrad léčivých přípravků, na němž se diskutovalo o transparentnosti z pohledu pacientů a spotřebitelů, výrobců léčivých přípravků a akademického výzkumu; konstatuje, že příslušná diskuse se soustředila na náklady společností na výzkum a vývoj a na dostupné informace o cenách placených za léky, a zdůrazňuje význam transparentnosti v těchto otázkách;</w:t>
      </w:r>
    </w:p>
    <w:p w14:paraId="20F4E413" w14:textId="77777777" w:rsidR="00556361" w:rsidRPr="009F7851" w:rsidRDefault="00556361" w:rsidP="00556361">
      <w:pPr>
        <w:pStyle w:val="NormalHanging12a"/>
      </w:pPr>
      <w:r w:rsidRPr="009F7851">
        <w:t>2</w:t>
      </w:r>
      <w:r w:rsidR="00B36C4D">
        <w:t>8</w:t>
      </w:r>
      <w:r w:rsidRPr="009F7851">
        <w:t>.</w:t>
      </w:r>
      <w:r w:rsidRPr="009F7851">
        <w:tab/>
        <w:t>zdůrazňuje, že je důležité naplňovat očekávání občanů EU ohledně ochrany životního prostředí, a naléhavě vyzývá Komisi spolu s členskými státy, aby zajistily řádné provádění unijních právních předpisů v oblasti životního prostředí, obzvláště v oblasti nezákonné těžby dřeva; poukazuje na petice týkající se otázek životního prostředí, které odrážejí rostoucí obavy veřejnosti ohledně důsledků změny klimatu a vyžadují důsledné prosazování stávajících právních předpisů EU v oblasti životního prostředí jak ze strany Komise, tak ze strany členských států;</w:t>
      </w:r>
      <w:r w:rsidR="00AB6D55">
        <w:t xml:space="preserve"> </w:t>
      </w:r>
      <w:r w:rsidR="00AB6D55" w:rsidRPr="00AB6D55">
        <w:t>zdůrazňuje, že řešení očekávání občanů EU, pokud jde o ochranu životního prostředí, by mělo být považováno za stejně důležité jako zohledňování hospodářské reality každého členského státu; poukazuje na to, že nadměrná regulace má negativní dopad na rozvíjející se ekonomiky; proto trvá na tom, že každý členský stát by měl mít možnost rozhodovat o procesu transformace a že právní předpisy v oblasti životního prostředí by neměly bránit hospodářské konkurenceschopnosti;</w:t>
      </w:r>
    </w:p>
    <w:p w14:paraId="6DDE68D8" w14:textId="77777777" w:rsidR="00556361" w:rsidRPr="009F7851" w:rsidRDefault="00556361" w:rsidP="00556361">
      <w:pPr>
        <w:pStyle w:val="NormalHanging12a"/>
        <w:rPr>
          <w:b/>
          <w:i/>
        </w:rPr>
      </w:pPr>
      <w:r w:rsidRPr="009F7851">
        <w:lastRenderedPageBreak/>
        <w:t>2</w:t>
      </w:r>
      <w:r w:rsidR="00B36C4D">
        <w:t>9</w:t>
      </w:r>
      <w:r w:rsidRPr="009F7851">
        <w:t>.</w:t>
      </w:r>
      <w:r w:rsidRPr="009F7851">
        <w:rPr>
          <w:b/>
          <w:i/>
        </w:rPr>
        <w:tab/>
      </w:r>
      <w:r w:rsidRPr="009F7851">
        <w:t>uznává pozitivní dopady cesty ke zjištění potřebných údajů do Rumunska, jež se uskutečnila ve dnech 15. až 18. května 2023, na řízení a ochranu populace medvěda hnědého; s politováním však konstatuje, že stále dochází k přílišnému počtu smrtelných nehod způsobených hnědými medvědy v souvislosti s lidmi a hospodářskými zvířaty, což vyžaduje další monitorování a spolupráci s vnitrostátními orgány;</w:t>
      </w:r>
      <w:r w:rsidR="00AB6D55">
        <w:t xml:space="preserve"> </w:t>
      </w:r>
      <w:r w:rsidR="00AB6D55" w:rsidRPr="00AB6D55">
        <w:t>zdůrazňuje, že prioritou by vždy měla být ochrana lidských životů a bezpečnost;</w:t>
      </w:r>
    </w:p>
    <w:p w14:paraId="08690C4D" w14:textId="77777777" w:rsidR="00556361" w:rsidRPr="009F7851" w:rsidRDefault="00B36C4D" w:rsidP="00556361">
      <w:pPr>
        <w:pStyle w:val="NormalHanging12a"/>
        <w:rPr>
          <w:b/>
          <w:i/>
        </w:rPr>
      </w:pPr>
      <w:r>
        <w:t>30</w:t>
      </w:r>
      <w:r w:rsidR="00556361" w:rsidRPr="009F7851">
        <w:t>.</w:t>
      </w:r>
      <w:r w:rsidR="00556361" w:rsidRPr="009F7851">
        <w:rPr>
          <w:b/>
          <w:i/>
        </w:rPr>
        <w:tab/>
      </w:r>
      <w:r w:rsidR="00556361" w:rsidRPr="009F7851">
        <w:t>v návaznosti na uvedenou cestu ke zjištění potřebných údajů do Rumunska zdůrazňuje potřebu rovnováhy mezi ochranou volně žijících druhů a bezpečností občanů; zdůrazňuje, že každý členský stát by měl mít možnost přijímat opatření s cílem zabránit ohrožení životů a majetku svých občanů, a to včetně kontroly populace daného druhu;</w:t>
      </w:r>
    </w:p>
    <w:p w14:paraId="410993C1" w14:textId="77777777" w:rsidR="00556361" w:rsidRPr="009F7851" w:rsidRDefault="00B36C4D" w:rsidP="00556361">
      <w:pPr>
        <w:pStyle w:val="NormalHanging12a"/>
      </w:pPr>
      <w:r>
        <w:t>31</w:t>
      </w:r>
      <w:r w:rsidR="00556361" w:rsidRPr="009F7851">
        <w:t>.</w:t>
      </w:r>
      <w:r w:rsidR="00556361" w:rsidRPr="009F7851">
        <w:tab/>
      </w:r>
      <w:r w:rsidR="00AB6D55" w:rsidRPr="003737CA">
        <w:t xml:space="preserve">zdůrazňuje závazek Petičního výboru chránit práva osob se zdravotním postižením; připomíná výroční seminář o právech osob se zdravotním postižením, jejž Petiční výbor uspořádal dne 29. listopadu 2023; připomíná, že jeho první část se zaměřila na to, jak se osoby se zdravotním postižením vypořádaly s nedávnými krizemi (náklady na energie, válka, vysoká inflace atd.) a jak opatření EU pomohla tyto překážky překonat, zatímco druhá část se zabývala otázkou, jak evropské orgány navázaly inkluzivní komunikaci s občany se zdravotním postižením; v této souvislosti rovněž zdůrazňuje, že výbor přijal stanovisko ve formě dopisu k zavedení evropského průkazu osob se zdravotním postižením a evropské parkovací karty pro osoby se zdravotním postižením dne 29. listopadu 2023; </w:t>
      </w:r>
      <w:r w:rsidR="00AB6D55" w:rsidRPr="00524C5E">
        <w:t>zdůrazňuje</w:t>
      </w:r>
      <w:r w:rsidR="00AB6D55" w:rsidRPr="00D82FA1">
        <w:t xml:space="preserve">, že </w:t>
      </w:r>
      <w:r w:rsidR="00AB6D55" w:rsidRPr="00524C5E">
        <w:t>přístup osob</w:t>
      </w:r>
      <w:r w:rsidR="00AB6D55" w:rsidRPr="00D82FA1">
        <w:t xml:space="preserve"> se </w:t>
      </w:r>
      <w:r w:rsidR="00AB6D55" w:rsidRPr="00524C5E">
        <w:t>zdravotním postižením k dávkám sociálního zabezpečení je v kompetenci členských států a národních systémů pro koordinaci</w:t>
      </w:r>
      <w:r w:rsidR="00AB6D55" w:rsidRPr="00D82FA1">
        <w:t xml:space="preserve"> sociálního zabezpečení a </w:t>
      </w:r>
      <w:r w:rsidR="00AB6D55" w:rsidRPr="00524C5E">
        <w:t>že také spory by měly být řešeny místními justičními systémy a že by měly být respektovány</w:t>
      </w:r>
      <w:r w:rsidR="00AB6D55" w:rsidRPr="00D82FA1">
        <w:t xml:space="preserve"> jejich </w:t>
      </w:r>
      <w:r w:rsidR="00AB6D55" w:rsidRPr="00524C5E">
        <w:t>pravomoci tím, že v souladu se zásadou subsidiarity bude namísto přímých zásahů Komise spíše uplatňována povinnost vyčerpat opravné prostředky</w:t>
      </w:r>
      <w:r w:rsidR="00AB6D55" w:rsidRPr="00D82FA1">
        <w:t>;</w:t>
      </w:r>
      <w:r w:rsidR="00AB6D55" w:rsidRPr="003737CA">
        <w:t xml:space="preserve"> zdůrazňuje v této souvislosti, že je nezbytně nutné úplně a důsledně provést evropský akt o přístupnosti, a vyzývá členské státy, aby zabránily dalším prodlevám, které ohrožují práva osob se zdravotním postižením; připomíná, že akt o přístupnosti má za cíl zlepšit život nejméně 87 milionů osob se zdravotním postižením tím, že jim usnadní přístup mimo jiné k veřejné dopravě, bankovním službám, počítačovým a televizním zařízením, elektronickým knihám, internetovým obchodům;</w:t>
      </w:r>
    </w:p>
    <w:p w14:paraId="27762C48" w14:textId="77777777" w:rsidR="00556361" w:rsidRPr="009F7851" w:rsidRDefault="00B36C4D" w:rsidP="00556361">
      <w:pPr>
        <w:pStyle w:val="NormalHanging12a"/>
      </w:pPr>
      <w:r>
        <w:t>32</w:t>
      </w:r>
      <w:r w:rsidR="00556361" w:rsidRPr="009F7851">
        <w:t>.</w:t>
      </w:r>
      <w:r w:rsidR="00556361" w:rsidRPr="009F7851">
        <w:tab/>
      </w:r>
      <w:r w:rsidR="00AB6D55" w:rsidRPr="003737CA">
        <w:t xml:space="preserve">zdůrazňuje, že Petiční výbor významně přispívá k ochraně práv osob se zdravotním postižením, jak dokládá vyřízení celé řady petic týkajících se tohoto citlivého tématu; uznává v této souvislosti úsilí útvarů Parlamentu a konstatuje, že je třeba nalézt nejen nejlepší technické, ale i nejpřístupnější řešení pro neslyšící občany, aby bylo možné s nimi komunikovat v jejich mateřském jazyce a v národních znakových jazycích; požaduje, aby byla v úzké spolupráci s Výborem pro ústavní záležitosti (AFCO) přijata změna jednacího řádu s cílem odstranit </w:t>
      </w:r>
      <w:r w:rsidR="00AB6D55" w:rsidRPr="00524C5E">
        <w:t xml:space="preserve">povinnou výlučně </w:t>
      </w:r>
      <w:r w:rsidR="00AB6D55" w:rsidRPr="00D82FA1">
        <w:t xml:space="preserve">písemnou komunikaci s neslyšícími </w:t>
      </w:r>
      <w:r w:rsidR="00AB6D55" w:rsidRPr="00524C5E">
        <w:t xml:space="preserve">nebo nedoslýchavými </w:t>
      </w:r>
      <w:r w:rsidR="00AB6D55" w:rsidRPr="00D82FA1">
        <w:t>občany</w:t>
      </w:r>
      <w:r w:rsidR="00AB6D55" w:rsidRPr="00524C5E">
        <w:t>, kteří používají znakový jazyk, a zavést možnost, že by tito občané mohli na žádost používat během řízení svůj znakový jazyk</w:t>
      </w:r>
      <w:r w:rsidR="00AB6D55" w:rsidRPr="00D82FA1">
        <w:t>;</w:t>
      </w:r>
      <w:r w:rsidR="00AB6D55" w:rsidRPr="003737CA">
        <w:t xml:space="preserve"> v této souvislosti rovněž zdůrazňuje, že výbor přijal stanovisko ve formě dopisu k zavedení evropského průkazu osob se zdravotním postižením a evropské parkovací karty pro osoby se zdravotním postižením dne 29. listopadu 2023;</w:t>
      </w:r>
    </w:p>
    <w:p w14:paraId="7B8D7F79" w14:textId="77777777" w:rsidR="00556361" w:rsidRPr="009F7851" w:rsidRDefault="00556361" w:rsidP="00556361">
      <w:pPr>
        <w:pStyle w:val="NormalHanging12a"/>
      </w:pPr>
      <w:r w:rsidRPr="009F7851">
        <w:t>3</w:t>
      </w:r>
      <w:r w:rsidR="00B36C4D">
        <w:t>3</w:t>
      </w:r>
      <w:r w:rsidRPr="009F7851">
        <w:t>.</w:t>
      </w:r>
      <w:r w:rsidRPr="009F7851">
        <w:tab/>
        <w:t xml:space="preserve">zdůrazňuje dále zvláštní ochrannou úlohu, kterou v EU Petiční výbor zastává v rámci Úmluvy OSN o právech osob se zdravotním postižením díky své způsobilosti k projednávání petic, a zdůrazňuje důležitou probíhající činnost výboru v souvislosti s peticemi, které se týkají problematiky zdravotního postižení; zatímco v roce 2023 </w:t>
      </w:r>
      <w:r w:rsidRPr="009F7851">
        <w:lastRenderedPageBreak/>
        <w:t>počet petic v oblasti zdravotního postižení ve srovnání s rokem 2022 mírně poklesl, zdůrazňuje, že ve srovnání s rokem 2021 se jejich počet téměř zdvojnásobil; dále zdůrazňuje, že mezi hlavní výzvy, jimž čelí osoby se zdravotním postižením, patří i nadále diskriminace a přístup k veřejné dopravě a zaměstnání a zdůrazňuje zvláštní pozornost věnovanou výborem požadavku, aby Evropský statut osob se zdravotním postižením uznal práva osob s autismem; vítá přijetí stručného návrhu usnesení o harmonizaci práv osob s autismem, který zdůrazňuje potřebu zlepšit přístup k diagnostice, zdravotní péči, vzdělávání, zaměstnání, přístupnosti a poskytování přiměřeného ubytování, právní způsobilosti a celoživotní komunitní podpory, pokud jde o kulturu a sport; dále upozorňuje na specifickou úlohu Petičního výboru při ochraně práv dětí a jejich rodičů a bere na vědomí řadu petic obdržených v souvislosti s právy dětí, které vyžadují zvláštní pozornost a opatření; připomíná v této souvislosti ustanovení Listiny základních práv EU, a zejména článek 24 této listiny týkající se práv dítěte, podle kterého má každé dítě právo udržovat pravidelné osobní vztahy a přímý styk s oběma rodiči, ledaže by to bylo v rozporu s jeho zájmy; znovu upozorňuje na nebezpečí související s tím, že rodinám s autistickými dětmi jsou nabízeny neprokázané a potenciálně škodlivé a nezákonné terapie a intervence, které mohou způsobit závažné fyzické zneužívání dětí;</w:t>
      </w:r>
    </w:p>
    <w:p w14:paraId="7E60436F" w14:textId="77777777" w:rsidR="00556361" w:rsidRPr="009F7851" w:rsidRDefault="00556361" w:rsidP="00556361">
      <w:pPr>
        <w:pStyle w:val="NormalHanging12a"/>
        <w:rPr>
          <w:rFonts w:eastAsia="Calibri"/>
        </w:rPr>
      </w:pPr>
      <w:r w:rsidRPr="009F7851">
        <w:t>3</w:t>
      </w:r>
      <w:r w:rsidR="00B36C4D">
        <w:t>4</w:t>
      </w:r>
      <w:r w:rsidRPr="009F7851">
        <w:t>.</w:t>
      </w:r>
      <w:r w:rsidRPr="009F7851">
        <w:tab/>
        <w:t>připomíná, že jednu z povinností, jež jsou petičnímu výboru svěřeny jednacím řádem Parlamentu, představují vztahy s úřadem evropského veřejného ochránce práv; vítá konstruktivní spolupráci Parlamentu s evropskou veřejnou ochránkyní práv, s níž Petiční výbor sdílí cíle zajistit transparentnost, profesionalitu a integritu orgánů EU vůči evropským občanům, jakož i její zapojení do Evropské sítě veřejných ochránců práv;</w:t>
      </w:r>
      <w:r w:rsidR="00AB6D55">
        <w:t xml:space="preserve"> </w:t>
      </w:r>
      <w:r w:rsidR="00AB6D55" w:rsidRPr="00AB6D55">
        <w:t>zdůrazňuje, že je nutné s úřadem evropského veřejného ochránce práv zintenzivnit spolupráci, aby se zajistila rychlá, nezávislá a transparentní reakce na stížnosti občanů na jakékoli správní nedostatky v orgánech a institucích EU;</w:t>
      </w:r>
    </w:p>
    <w:p w14:paraId="4E07EA8A" w14:textId="77777777" w:rsidR="00556361" w:rsidRPr="009F7851" w:rsidRDefault="00556361" w:rsidP="00556361">
      <w:pPr>
        <w:pStyle w:val="NormalHanging12a"/>
        <w:rPr>
          <w:b/>
          <w:i/>
        </w:rPr>
      </w:pPr>
      <w:r w:rsidRPr="009F7851">
        <w:t>3</w:t>
      </w:r>
      <w:r w:rsidR="00B36C4D">
        <w:t>5</w:t>
      </w:r>
      <w:r w:rsidRPr="009F7851">
        <w:t>.</w:t>
      </w:r>
      <w:r w:rsidRPr="009F7851">
        <w:rPr>
          <w:b/>
          <w:i/>
        </w:rPr>
        <w:tab/>
      </w:r>
      <w:r w:rsidRPr="009F7851">
        <w:t>zdůrazňuje klíčovou činnost Petičního výboru v souvislosti s ochranou práv pracovníků; zdůrazňuje, že na několik peticí, které byly v této souvislosti předloženy, navázala další opatření, jako byla rozprava o využívání smluv na dobu určitou nebo rozprava o petici o evropské občanské iniciativě „Kvalitní oblečení, důstojné mzdy“, která se zaměřila na znepokojivou situaci pracovníků v oděvním a obuvnickém průmyslu na celosvětové úrovni, nebo otázka k ústnímu zodpovězení s rozpravou o pracovních podmínkách učitelů v Evropské unii, jež se rovněž zakládala na petici obdržené na toto téma; opakuje, že je důležité zajistit spravedlivé pracovní podmínky a vyšší ochranu pracovníků v EU, a vyzývá členské státy a Komisi, aby efektivním způsobem řešily obavy vyjádřené v peticích týkajících se pracovních práv a odborů;</w:t>
      </w:r>
      <w:r w:rsidRPr="009F7851">
        <w:rPr>
          <w:b/>
          <w:i/>
        </w:rPr>
        <w:t> </w:t>
      </w:r>
    </w:p>
    <w:p w14:paraId="20BD9BA8" w14:textId="77777777" w:rsidR="00556361" w:rsidRPr="009F7851" w:rsidRDefault="00556361" w:rsidP="00556361">
      <w:pPr>
        <w:pStyle w:val="NormalHanging12a"/>
        <w:rPr>
          <w:b/>
          <w:i/>
        </w:rPr>
      </w:pPr>
      <w:r w:rsidRPr="009F7851">
        <w:t>3</w:t>
      </w:r>
      <w:r w:rsidR="00B36C4D">
        <w:t>6</w:t>
      </w:r>
      <w:r w:rsidRPr="009F7851">
        <w:t>.</w:t>
      </w:r>
      <w:r w:rsidRPr="009F7851">
        <w:rPr>
          <w:b/>
          <w:i/>
        </w:rPr>
        <w:tab/>
      </w:r>
      <w:r w:rsidRPr="009F7851">
        <w:t>připomíná studii Evropského parlamentu o bezdomovectví v EU, již zadal Petiční výbor a která byla představena na jeho schůzi v listopadu 2023; konstatuje, že uvedená studie významně přispěla k práci na tomto naléhavém sociálním a hospodářském problému, jenž představuje jednu z nejzávažnějších forem sociálního vyloučení, a zdůraznila potřebu změny veřejné politiky se zaměřením na předcházení bezdomovectví na prvním místě, a to mimo jiné poskytováním bezpečného a cenově dostupného bydlení;</w:t>
      </w:r>
      <w:r w:rsidR="00AB6D55">
        <w:t xml:space="preserve"> </w:t>
      </w:r>
      <w:r w:rsidR="00AB6D55" w:rsidRPr="00AB6D55">
        <w:t>připomíná, že nezákonný squatting nelze považovat za řešení bezdomovectví, protože právo na vlastnictví je zakotveno v článku 17 Listiny základních práv EU; zdůrazňuje, že členské státy by měly místo podpory nezákonného squattingu hledat skutečná řešení, protože bytová politika spadá do výlučné pravomoci členských států;</w:t>
      </w:r>
    </w:p>
    <w:p w14:paraId="2509489C" w14:textId="77777777" w:rsidR="00556361" w:rsidRPr="009F7851" w:rsidRDefault="00556361" w:rsidP="00556361">
      <w:pPr>
        <w:pStyle w:val="NormalHanging12a"/>
        <w:rPr>
          <w:rFonts w:eastAsia="Calibri"/>
        </w:rPr>
      </w:pPr>
      <w:r w:rsidRPr="009F7851">
        <w:t>3</w:t>
      </w:r>
      <w:r w:rsidR="00B36C4D">
        <w:t>7</w:t>
      </w:r>
      <w:r w:rsidRPr="009F7851">
        <w:t>.</w:t>
      </w:r>
      <w:r w:rsidRPr="009F7851">
        <w:tab/>
        <w:t xml:space="preserve">uznává význam, který mají pravidelné příspěvky evropské veřejné ochránkyně práv </w:t>
      </w:r>
      <w:r w:rsidRPr="009F7851">
        <w:lastRenderedPageBreak/>
        <w:t>k činnosti Petičního výboru během celého roku; je pevně přesvědčen, že orgány, instituce a jiné subjekty Unie musí zajistit, aby kroky navazující na doporučení veřejné ochránkyně práv byly prováděny uceleně a účinně;</w:t>
      </w:r>
    </w:p>
    <w:p w14:paraId="68D61C26" w14:textId="77777777" w:rsidR="00474188" w:rsidRDefault="00556361" w:rsidP="00524C5E">
      <w:pPr>
        <w:pStyle w:val="NormalHanging12a"/>
        <w:spacing w:before="120" w:after="120"/>
      </w:pPr>
      <w:r w:rsidRPr="009F7851">
        <w:t>3</w:t>
      </w:r>
      <w:r w:rsidR="00B36C4D">
        <w:t>8</w:t>
      </w:r>
      <w:r w:rsidRPr="009F7851">
        <w:t>.</w:t>
      </w:r>
      <w:r w:rsidRPr="009F7851">
        <w:tab/>
        <w:t>zdůrazňuje, že evropské občanské iniciativy představují důležitý nástroj aktivního občanství a účasti veřejnosti; vítá diskuse na některých schůzích o neúspěšných evropských občanských iniciativách, které byly někdy následně přeformulovány do podoby petic, což dalo občanům příležitost prezentovat své myšlenky a vést konstruktivní debatu a také to přispělo k jejich zapojení do demokratických procesů EU; bere na vědomí vysoký počet nově předložených evropských občanských iniciativ registrovaných Komisí v roce 2023, což ukazuje, že občané příležitosti, které skýtají participativní nástroje, využívají k tomu, aby se vyslovili k procesům vytváření politik a právních předpisů; vyzývá Komisi, aby se lépe zapojila do spolupráce s občany a na úspěšné evropské občanské iniciativy odpovídajícím způsobem navázala; vítá významné úsilí, které bylo vynaloženo na uspořádání čtyř veřejných slyšení o úspěšných evropských občanských iniciativách ve spolupráci s dalšími výbory, což organizátorům umožnilo představit cíle iniciativ a navázat kontakt s poslanci Evropského parlamentu a zástupci Evropské komise; zdůrazňuje, že závazek Komise reagovat na platné evropské občanské iniciativy má zásadní význam pro udržení důvěry občanů v evropskou občanskou iniciativu coby nejvýznamnější nástroj participativní demokracie</w:t>
      </w:r>
      <w:r w:rsidR="00F64492">
        <w:t>;</w:t>
      </w:r>
    </w:p>
    <w:p w14:paraId="70335492" w14:textId="4958A59C" w:rsidR="00556361" w:rsidRPr="009F7851" w:rsidRDefault="00556361" w:rsidP="00524C5E">
      <w:pPr>
        <w:pStyle w:val="NormalHanging12a"/>
        <w:spacing w:before="120" w:after="120"/>
        <w:rPr>
          <w:b/>
          <w:i/>
        </w:rPr>
      </w:pPr>
      <w:r w:rsidRPr="009F7851">
        <w:t>3</w:t>
      </w:r>
      <w:r w:rsidR="00B36C4D">
        <w:t>9</w:t>
      </w:r>
      <w:r w:rsidRPr="009F7851">
        <w:t>.</w:t>
      </w:r>
      <w:r w:rsidRPr="009F7851">
        <w:rPr>
          <w:b/>
          <w:i/>
        </w:rPr>
        <w:tab/>
      </w:r>
      <w:r w:rsidRPr="009F7851">
        <w:t>naléhavě vyzývá Komisi, aby náležitě zohledňovala přijatá parlamentní usnesení, jež se týkají evropských občanských iniciativ, a aby posílila svou spolupráci s občany, zejména tím, že zajistí vhodná a účinná opatření navazující na úspěšné evropské občanské iniciativy, čímž posílí demokratický proces a zajistí, aby byly názory občanů při tvorbě politik EU odpovídajícím způsobem zohledňovány;</w:t>
      </w:r>
    </w:p>
    <w:p w14:paraId="7C406550" w14:textId="77777777" w:rsidR="00556361" w:rsidRPr="009F7851" w:rsidRDefault="00B36C4D" w:rsidP="00556361">
      <w:pPr>
        <w:pStyle w:val="NormalHanging12a"/>
        <w:rPr>
          <w:rFonts w:eastAsia="Calibri"/>
        </w:rPr>
      </w:pPr>
      <w:r>
        <w:t>40</w:t>
      </w:r>
      <w:r w:rsidR="00556361" w:rsidRPr="009F7851">
        <w:t>.</w:t>
      </w:r>
      <w:r w:rsidR="00556361" w:rsidRPr="009F7851">
        <w:tab/>
        <w:t>zdůrazňuje, že internetový portál pro předkládání petic je zásadním nástrojem pro zajištění hladkého, účinného a transparentního předkládání petic; vítá v tomto ohledu zlepšení v oblasti ochrany údajů a bezpečnostních funkcí, díky nimž se stal portál pro občany uživatelsky vstřícnějším a bezpečnějším; zdůrazňuje, že je třeba pokračovat v úsilí o lepší přístupnost portálu, včetně jeho zpřístupnění uživatelům znakového jazyka a osobám se zdravotním postižením; konstatuje, že internetový portál pro předkládání petic je jednou z nejnavštěvovanějších internetových stránek Evropského parlamentu, a tudíž mnoha občanům EU slouží jako první místo kontaktu s Parlamentem;</w:t>
      </w:r>
    </w:p>
    <w:p w14:paraId="4D7BAD11" w14:textId="77777777" w:rsidR="00556361" w:rsidRPr="009F7851" w:rsidRDefault="00B36C4D" w:rsidP="00556361">
      <w:pPr>
        <w:pStyle w:val="NormalHanging12a"/>
      </w:pPr>
      <w:r>
        <w:t>41</w:t>
      </w:r>
      <w:r w:rsidR="00556361" w:rsidRPr="009F7851">
        <w:t>.</w:t>
      </w:r>
      <w:r w:rsidR="00556361" w:rsidRPr="009F7851">
        <w:rPr>
          <w:b/>
          <w:i/>
        </w:rPr>
        <w:tab/>
      </w:r>
      <w:r w:rsidR="00556361" w:rsidRPr="009F7851">
        <w:t xml:space="preserve">připomíná evropský rozměr Petičního výboru, na který se mohou obracet občané ze všech 27 členských států v otázkách, které spadají do oblasti působnosti činnosti Unie; domnívá se, že je zvláštní odpovědností výboru tento evropský rozměr prosazovat a ukázat občanům přidanou hodnotu evropské jednoty a integrace a dále řešit záležitosti týkající se porušování práva EU, jakož i mezery a nedostatky v ustanoveních stávajících právních předpisů EU; domnívá se, že včasné předcházení peticím, které jsou jasně v pravomoci členských států, a případné vyčerpávající informace a pokyny týkající se alternativních postupů by mohly přispět ke konstruktivnějšímu přístupu a větší angažovanosti občanů; v této souvislosti se domnívá, že by Evropský parlament měl zintenzivnit své úsilí, pokud jde o propagaci úlohy a činnosti Petičního výboru a zvýšit povědomí občanů EU o možnosti předložit Evropskému parlamentu petici; připomíná, že s ohledem na omezenou dobu vyhrazenou pro schůze výboru je většina petic projednávána písemným postupem; v této souvislosti připomíná, že všechny přípustné petice, včetně petic týkajících se oblasti mezinárodních záležitostí, by měly být </w:t>
      </w:r>
      <w:r w:rsidR="00556361" w:rsidRPr="009F7851">
        <w:lastRenderedPageBreak/>
        <w:t>projednávány nezbytně transparentním a nestranným způsobem; domnívá se, že petice vybrané pro projednání ve výboru by měly odrážet zeměpisnou a politickou rovnováhu předložených petic; dále se domnívá, že by zeměpisná rovnováha měla být zohledňována rovněž při organizaci cest výboru ke zjištění potřebných údajů, a to jak v rámci kalendářního roku, tak i volebního období;</w:t>
      </w:r>
    </w:p>
    <w:p w14:paraId="1CAB3A86" w14:textId="77777777" w:rsidR="00556361" w:rsidRPr="009F7851" w:rsidRDefault="00B36C4D" w:rsidP="00556361">
      <w:pPr>
        <w:pStyle w:val="NormalHanging12a"/>
      </w:pPr>
      <w:r>
        <w:t>42</w:t>
      </w:r>
      <w:r w:rsidR="00556361" w:rsidRPr="009F7851">
        <w:t>.</w:t>
      </w:r>
      <w:r w:rsidR="00556361" w:rsidRPr="009F7851">
        <w:tab/>
        <w:t>vítá přijetí stručného návrhu usnesení o vytvoření Evropského hlavního města místního obchodu</w:t>
      </w:r>
      <w:r w:rsidR="00556361" w:rsidRPr="009F7851">
        <w:rPr>
          <w:rStyle w:val="FootnoteReference"/>
        </w:rPr>
        <w:footnoteReference w:id="7"/>
      </w:r>
      <w:r w:rsidR="00556361" w:rsidRPr="009F7851">
        <w:t xml:space="preserve"> na plenárním zasedání v lednu 2023; zdůrazňuje, že tento úspěch je pro Petiční výbor vynikajícím výsledkem, a konstatuje, že uvedený projekt byl úspěšně zařazen jako přípravná akce do rozpočtu na rok 2024 s celkovým rozpočtem 3 miliony EUR; připomíná, že  projekt vytvoření Evropského hlavního města drobného maloobchodu Komise oficiálně představila v Barceloně v prosinci 2023;</w:t>
      </w:r>
    </w:p>
    <w:p w14:paraId="6FF0D5E2" w14:textId="77777777" w:rsidR="009F7851" w:rsidRPr="009F7851" w:rsidRDefault="00556361" w:rsidP="009F7851">
      <w:pPr>
        <w:pStyle w:val="NormalHanging12a"/>
      </w:pPr>
      <w:r w:rsidRPr="009F7851">
        <w:t>4</w:t>
      </w:r>
      <w:r w:rsidR="00B36C4D">
        <w:t>3</w:t>
      </w:r>
      <w:r w:rsidRPr="009F7851">
        <w:t>.</w:t>
      </w:r>
      <w:r w:rsidRPr="009F7851">
        <w:tab/>
        <w:t>pověřuje svou předsedkyni, aby předala toto usnesení a zprávu Petičního výboru Radě, Komisi, evropské veřejné ochránkyni práv, vládám a parlamentům členských států a jejich petičním výborům a veřejným ochráncům práv nebo obdobným příslušným orgánům.</w:t>
      </w:r>
    </w:p>
    <w:p w14:paraId="054A2994" w14:textId="77777777" w:rsidR="00E365E1" w:rsidRPr="009F7851" w:rsidRDefault="00E365E1" w:rsidP="00D14B26"/>
    <w:sectPr w:rsidR="00E365E1" w:rsidRPr="009F7851" w:rsidSect="009F78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06071" w14:textId="77777777" w:rsidR="00D14B26" w:rsidRPr="009F7851" w:rsidRDefault="00D14B26">
      <w:r w:rsidRPr="009F7851">
        <w:separator/>
      </w:r>
    </w:p>
  </w:endnote>
  <w:endnote w:type="continuationSeparator" w:id="0">
    <w:p w14:paraId="26FBCA56" w14:textId="77777777" w:rsidR="00D14B26" w:rsidRPr="009F7851" w:rsidRDefault="00D14B26">
      <w:r w:rsidRPr="009F78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E9155" w14:textId="77777777" w:rsidR="00064002" w:rsidRPr="009F78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10CA6" w14:textId="77777777" w:rsidR="00064002" w:rsidRPr="009F78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E04CC" w14:textId="77777777" w:rsidR="00064002" w:rsidRPr="009F78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2B693" w14:textId="77777777" w:rsidR="00D14B26" w:rsidRPr="009F7851" w:rsidRDefault="00D14B26">
      <w:r w:rsidRPr="009F7851">
        <w:separator/>
      </w:r>
    </w:p>
  </w:footnote>
  <w:footnote w:type="continuationSeparator" w:id="0">
    <w:p w14:paraId="69F2ECB7" w14:textId="77777777" w:rsidR="00D14B26" w:rsidRPr="009F7851" w:rsidRDefault="00D14B26">
      <w:r w:rsidRPr="009F7851">
        <w:continuationSeparator/>
      </w:r>
    </w:p>
  </w:footnote>
  <w:footnote w:id="1">
    <w:p w14:paraId="633342D4" w14:textId="77777777" w:rsidR="00AB6D55" w:rsidRPr="00524C5E" w:rsidRDefault="00AB6D55" w:rsidP="00524C5E">
      <w:pPr>
        <w:pStyle w:val="FootnoteText"/>
        <w:ind w:left="567" w:hanging="567"/>
        <w:rPr>
          <w:sz w:val="24"/>
          <w:szCs w:val="24"/>
          <w:lang w:val="fi-FI"/>
        </w:rPr>
      </w:pPr>
      <w:r w:rsidRPr="00524C5E">
        <w:rPr>
          <w:rStyle w:val="FootnoteReference"/>
          <w:sz w:val="24"/>
          <w:szCs w:val="24"/>
        </w:rPr>
        <w:footnoteRef/>
      </w:r>
      <w:r w:rsidRPr="00524C5E">
        <w:rPr>
          <w:sz w:val="24"/>
          <w:szCs w:val="24"/>
          <w:lang w:val="fi-FI"/>
        </w:rPr>
        <w:t xml:space="preserve"> </w:t>
      </w:r>
      <w:r w:rsidRPr="00524C5E">
        <w:rPr>
          <w:sz w:val="24"/>
          <w:szCs w:val="24"/>
          <w:lang w:val="cs-CZ"/>
        </w:rPr>
        <w:tab/>
      </w:r>
      <w:r w:rsidRPr="00524C5E">
        <w:rPr>
          <w:sz w:val="24"/>
          <w:szCs w:val="24"/>
          <w:lang w:val="fi-FI"/>
        </w:rPr>
        <w:t xml:space="preserve">Úř. věst. C, C/2024/3999, 17.7.2024, ELI: </w:t>
      </w:r>
      <w:hyperlink r:id="rId1" w:history="1">
        <w:r w:rsidRPr="00524C5E">
          <w:rPr>
            <w:rStyle w:val="Hyperlink"/>
            <w:sz w:val="24"/>
            <w:szCs w:val="24"/>
            <w:lang w:val="fi-FI"/>
          </w:rPr>
          <w:t>http://data.europa.eu/eli/C/2024/3999/oj</w:t>
        </w:r>
      </w:hyperlink>
      <w:r w:rsidRPr="00524C5E">
        <w:rPr>
          <w:sz w:val="24"/>
          <w:szCs w:val="24"/>
          <w:lang w:val="fi-FI"/>
        </w:rPr>
        <w:t xml:space="preserve">. </w:t>
      </w:r>
    </w:p>
  </w:footnote>
  <w:footnote w:id="2">
    <w:p w14:paraId="4097BA7F" w14:textId="77777777" w:rsidR="00D82FA1" w:rsidRPr="00C20FBF" w:rsidRDefault="00D82FA1" w:rsidP="00D82FA1">
      <w:pPr>
        <w:pStyle w:val="FootnoteText"/>
        <w:ind w:left="567" w:hanging="567"/>
        <w:rPr>
          <w:sz w:val="24"/>
          <w:szCs w:val="24"/>
          <w:lang w:val="cs-CZ"/>
        </w:rPr>
      </w:pPr>
      <w:r w:rsidRPr="00524C5E">
        <w:rPr>
          <w:rStyle w:val="FootnoteReference"/>
          <w:sz w:val="24"/>
          <w:szCs w:val="24"/>
        </w:rPr>
        <w:footnoteRef/>
      </w:r>
      <w:r w:rsidRPr="00524C5E">
        <w:rPr>
          <w:sz w:val="24"/>
          <w:szCs w:val="24"/>
          <w:lang w:val="fi-FI"/>
        </w:rPr>
        <w:t xml:space="preserve"> </w:t>
      </w:r>
      <w:r w:rsidRPr="00524C5E">
        <w:rPr>
          <w:sz w:val="24"/>
          <w:szCs w:val="24"/>
          <w:lang w:val="fi-FI"/>
        </w:rPr>
        <w:tab/>
      </w:r>
      <w:r w:rsidRPr="00C20FBF">
        <w:rPr>
          <w:sz w:val="24"/>
          <w:szCs w:val="24"/>
          <w:lang w:val="cs-CZ"/>
        </w:rPr>
        <w:t xml:space="preserve">Směrnice Rady 92/43/EHS ze dne 21. května 1992 o ochraně přírodních stanovišť, volně žijících živočichů a planě rostoucích rostlin (Úř. věst. L 206, 22.7.1992, s. 7, ELI: </w:t>
      </w:r>
      <w:hyperlink r:id="rId2" w:history="1">
        <w:r w:rsidRPr="00C20FBF">
          <w:rPr>
            <w:rStyle w:val="Hyperlink"/>
            <w:sz w:val="24"/>
            <w:szCs w:val="24"/>
            <w:lang w:val="cs-CZ"/>
          </w:rPr>
          <w:t>http://data.europa.eu/eli/dir/1992/43/oj</w:t>
        </w:r>
      </w:hyperlink>
      <w:r w:rsidRPr="00C20FBF">
        <w:rPr>
          <w:sz w:val="24"/>
          <w:szCs w:val="24"/>
          <w:lang w:val="cs-CZ"/>
        </w:rPr>
        <w:t>).</w:t>
      </w:r>
    </w:p>
  </w:footnote>
  <w:footnote w:id="3">
    <w:p w14:paraId="17DA812A" w14:textId="77777777" w:rsidR="00D82FA1" w:rsidRPr="00C20FBF" w:rsidRDefault="00D82FA1" w:rsidP="00D82FA1">
      <w:pPr>
        <w:pStyle w:val="FootnoteText"/>
        <w:ind w:left="567" w:hanging="567"/>
        <w:rPr>
          <w:sz w:val="24"/>
          <w:szCs w:val="24"/>
          <w:lang w:val="cs-CZ"/>
        </w:rPr>
      </w:pPr>
      <w:r w:rsidRPr="00C20FBF">
        <w:rPr>
          <w:rStyle w:val="FootnoteReference"/>
          <w:sz w:val="24"/>
          <w:szCs w:val="24"/>
          <w:lang w:val="cs-CZ"/>
        </w:rPr>
        <w:footnoteRef/>
      </w:r>
      <w:r w:rsidRPr="00C20FBF">
        <w:rPr>
          <w:sz w:val="24"/>
          <w:szCs w:val="24"/>
          <w:lang w:val="cs-CZ"/>
        </w:rPr>
        <w:t xml:space="preserve"> </w:t>
      </w:r>
      <w:r w:rsidRPr="00C20FBF">
        <w:rPr>
          <w:sz w:val="24"/>
          <w:szCs w:val="24"/>
          <w:lang w:val="cs-CZ"/>
        </w:rPr>
        <w:tab/>
        <w:t>Směrnice Evropského parlamentu a Rady 2009/147/ES ze dne 30. listopadu 2009 o ochraně volně žijících ptáků (Úř. věst. L 20, 26.1.2010, s. 7, ELI: </w:t>
      </w:r>
      <w:hyperlink r:id="rId3" w:history="1">
        <w:r w:rsidRPr="00C20FBF">
          <w:rPr>
            <w:rStyle w:val="Hyperlink"/>
            <w:sz w:val="24"/>
            <w:szCs w:val="24"/>
            <w:lang w:val="cs-CZ"/>
          </w:rPr>
          <w:t>http://data.europa.eu/eli/dir/2009/147/oj</w:t>
        </w:r>
      </w:hyperlink>
      <w:r w:rsidRPr="00C20FBF">
        <w:rPr>
          <w:sz w:val="24"/>
          <w:szCs w:val="24"/>
          <w:lang w:val="cs-CZ"/>
        </w:rPr>
        <w:t>).</w:t>
      </w:r>
    </w:p>
  </w:footnote>
  <w:footnote w:id="4">
    <w:p w14:paraId="3499F8BB" w14:textId="77777777" w:rsidR="00B26CF5" w:rsidRPr="00524C5E" w:rsidRDefault="00B26CF5" w:rsidP="00524C5E">
      <w:pPr>
        <w:pStyle w:val="FootnoteText"/>
        <w:ind w:left="567" w:hanging="567"/>
        <w:rPr>
          <w:sz w:val="24"/>
          <w:szCs w:val="24"/>
          <w:lang w:val="fi-FI"/>
        </w:rPr>
      </w:pPr>
      <w:r w:rsidRPr="00524C5E">
        <w:rPr>
          <w:rStyle w:val="FootnoteReference"/>
          <w:sz w:val="24"/>
          <w:szCs w:val="24"/>
        </w:rPr>
        <w:footnoteRef/>
      </w:r>
      <w:r w:rsidRPr="00524C5E">
        <w:rPr>
          <w:sz w:val="24"/>
          <w:szCs w:val="24"/>
          <w:lang w:val="fi-FI"/>
        </w:rPr>
        <w:t xml:space="preserve"> </w:t>
      </w:r>
      <w:r w:rsidRPr="00524C5E">
        <w:rPr>
          <w:sz w:val="24"/>
          <w:szCs w:val="24"/>
          <w:lang w:val="fi-FI"/>
        </w:rPr>
        <w:tab/>
        <w:t xml:space="preserve">Úř. věst. C, C/2024/6559, 12.11.2024, ELI: </w:t>
      </w:r>
      <w:hyperlink r:id="rId4" w:history="1">
        <w:r w:rsidRPr="00524C5E">
          <w:rPr>
            <w:rStyle w:val="Hyperlink"/>
            <w:sz w:val="24"/>
            <w:szCs w:val="24"/>
            <w:lang w:val="fi-FI"/>
          </w:rPr>
          <w:t>http://data.europa.eu/eli/C/2024/6559/oj</w:t>
        </w:r>
      </w:hyperlink>
      <w:r w:rsidRPr="00524C5E">
        <w:rPr>
          <w:sz w:val="24"/>
          <w:szCs w:val="24"/>
          <w:lang w:val="fi-FI"/>
        </w:rPr>
        <w:t>.</w:t>
      </w:r>
    </w:p>
  </w:footnote>
  <w:footnote w:id="5">
    <w:p w14:paraId="11E7FAEC" w14:textId="77777777" w:rsidR="00556361" w:rsidRPr="00524C5E" w:rsidRDefault="00556361" w:rsidP="009F7851">
      <w:pPr>
        <w:pStyle w:val="FootnoteText"/>
        <w:ind w:left="567" w:hanging="567"/>
        <w:rPr>
          <w:sz w:val="24"/>
          <w:szCs w:val="24"/>
          <w:lang w:val="cs-CZ"/>
        </w:rPr>
      </w:pPr>
      <w:r w:rsidRPr="00524C5E">
        <w:rPr>
          <w:rStyle w:val="FootnoteReference"/>
          <w:sz w:val="24"/>
          <w:szCs w:val="24"/>
          <w:lang w:val="cs-CZ"/>
        </w:rPr>
        <w:footnoteRef/>
      </w:r>
      <w:r w:rsidR="009F7851" w:rsidRPr="00524C5E">
        <w:rPr>
          <w:sz w:val="24"/>
          <w:szCs w:val="24"/>
          <w:lang w:val="cs-CZ"/>
        </w:rPr>
        <w:t xml:space="preserve"> </w:t>
      </w:r>
      <w:r w:rsidR="009F7851" w:rsidRPr="00524C5E">
        <w:rPr>
          <w:sz w:val="24"/>
          <w:szCs w:val="24"/>
          <w:lang w:val="cs-CZ"/>
        </w:rPr>
        <w:tab/>
      </w:r>
      <w:r w:rsidRPr="00524C5E">
        <w:rPr>
          <w:sz w:val="24"/>
          <w:szCs w:val="24"/>
          <w:lang w:val="cs-CZ"/>
        </w:rPr>
        <w:t xml:space="preserve">Přijato Parlamentem jako usnesení ze dne 23. listopadu 2023 o výsledcích jednání Petičního výboru v průběhu roku 2022 </w:t>
      </w:r>
      <w:r w:rsidR="00D500C8" w:rsidRPr="00524C5E">
        <w:rPr>
          <w:sz w:val="24"/>
          <w:szCs w:val="24"/>
          <w:lang w:val="cs-CZ"/>
        </w:rPr>
        <w:t>(</w:t>
      </w:r>
      <w:r w:rsidRPr="00524C5E">
        <w:rPr>
          <w:sz w:val="24"/>
          <w:szCs w:val="24"/>
          <w:lang w:val="cs-CZ"/>
        </w:rPr>
        <w:t xml:space="preserve">Úř. věst. C, C/2024/4220, 24.7.2024, ELI: </w:t>
      </w:r>
      <w:hyperlink r:id="rId5" w:history="1">
        <w:r w:rsidRPr="00524C5E">
          <w:rPr>
            <w:rStyle w:val="Hyperlink"/>
            <w:sz w:val="24"/>
            <w:szCs w:val="24"/>
            <w:lang w:val="cs-CZ"/>
          </w:rPr>
          <w:t>http://data.europa.eu/eli/C/2024/4220/oj</w:t>
        </w:r>
      </w:hyperlink>
      <w:r w:rsidR="00D500C8" w:rsidRPr="00524C5E">
        <w:rPr>
          <w:sz w:val="24"/>
          <w:szCs w:val="24"/>
          <w:lang w:val="cs-CZ"/>
        </w:rPr>
        <w:t>)</w:t>
      </w:r>
      <w:r w:rsidRPr="00524C5E">
        <w:rPr>
          <w:sz w:val="24"/>
          <w:szCs w:val="24"/>
          <w:lang w:val="cs-CZ"/>
        </w:rPr>
        <w:t>.</w:t>
      </w:r>
    </w:p>
  </w:footnote>
  <w:footnote w:id="6">
    <w:p w14:paraId="0B91F32C" w14:textId="77777777" w:rsidR="00AB6D55" w:rsidRPr="00524C5E" w:rsidRDefault="00AB6D55" w:rsidP="00524C5E">
      <w:pPr>
        <w:pStyle w:val="FootnoteText"/>
        <w:ind w:left="567" w:hanging="567"/>
        <w:rPr>
          <w:sz w:val="24"/>
          <w:szCs w:val="24"/>
          <w:lang w:val="fi-FI"/>
        </w:rPr>
      </w:pPr>
      <w:r w:rsidRPr="00524C5E">
        <w:rPr>
          <w:rStyle w:val="FootnoteReference"/>
          <w:sz w:val="24"/>
          <w:szCs w:val="24"/>
        </w:rPr>
        <w:footnoteRef/>
      </w:r>
      <w:r w:rsidRPr="00524C5E">
        <w:rPr>
          <w:sz w:val="24"/>
          <w:szCs w:val="24"/>
          <w:lang w:val="cs-CZ"/>
        </w:rPr>
        <w:t xml:space="preserve"> </w:t>
      </w:r>
      <w:r w:rsidRPr="00524C5E">
        <w:rPr>
          <w:sz w:val="24"/>
          <w:szCs w:val="24"/>
          <w:lang w:val="cs-CZ"/>
        </w:rPr>
        <w:tab/>
      </w:r>
      <w:r w:rsidRPr="00524C5E">
        <w:rPr>
          <w:sz w:val="24"/>
          <w:szCs w:val="24"/>
          <w:lang w:val="cs-CZ" w:eastAsia="en-GB"/>
        </w:rPr>
        <w:t>Články 25 až 30 nařízení Evropského parlamentu a Rady (EU) 2016/399 ze dne 9. března 2016, kterým se stanoví kodex Unie o pravidlech upravujících přeshraniční pohyb os</w:t>
      </w:r>
      <w:r w:rsidR="00D82FA1" w:rsidRPr="00524C5E">
        <w:rPr>
          <w:sz w:val="24"/>
          <w:szCs w:val="24"/>
          <w:lang w:val="cs-CZ" w:eastAsia="en-GB"/>
        </w:rPr>
        <w:t>ob (Schengenský hraniční kodex)</w:t>
      </w:r>
      <w:r w:rsidRPr="00524C5E">
        <w:rPr>
          <w:sz w:val="24"/>
          <w:szCs w:val="24"/>
          <w:lang w:val="cs-CZ" w:eastAsia="en-GB"/>
        </w:rPr>
        <w:t xml:space="preserve"> (Úř. věst. L 77, 23.3.2016, s. 1, ELI: </w:t>
      </w:r>
      <w:hyperlink r:id="rId6" w:history="1">
        <w:r w:rsidRPr="00B321A7">
          <w:rPr>
            <w:rStyle w:val="Hyperlink"/>
            <w:sz w:val="24"/>
            <w:szCs w:val="24"/>
            <w:lang w:val="fi-FI"/>
          </w:rPr>
          <w:t>http://data.europa.eu/eli/reg/2016/399/oj</w:t>
        </w:r>
      </w:hyperlink>
      <w:r w:rsidRPr="00524C5E">
        <w:rPr>
          <w:sz w:val="24"/>
          <w:szCs w:val="24"/>
          <w:lang w:val="cs-CZ" w:eastAsia="en-GB"/>
        </w:rPr>
        <w:t>).</w:t>
      </w:r>
    </w:p>
  </w:footnote>
  <w:footnote w:id="7">
    <w:p w14:paraId="792AA4BD" w14:textId="77777777" w:rsidR="00556361" w:rsidRPr="00524C5E" w:rsidRDefault="00556361" w:rsidP="009F7851">
      <w:pPr>
        <w:pStyle w:val="FootnoteText"/>
        <w:ind w:left="567" w:hanging="567"/>
        <w:rPr>
          <w:sz w:val="24"/>
          <w:szCs w:val="24"/>
          <w:lang w:val="cs-CZ"/>
        </w:rPr>
      </w:pPr>
      <w:r w:rsidRPr="00524C5E">
        <w:rPr>
          <w:rStyle w:val="FootnoteReference"/>
          <w:sz w:val="24"/>
          <w:szCs w:val="24"/>
          <w:lang w:val="cs-CZ"/>
        </w:rPr>
        <w:footnoteRef/>
      </w:r>
      <w:r w:rsidR="009F7851" w:rsidRPr="00524C5E">
        <w:rPr>
          <w:sz w:val="24"/>
          <w:szCs w:val="24"/>
          <w:lang w:val="cs-CZ"/>
        </w:rPr>
        <w:t xml:space="preserve"> </w:t>
      </w:r>
      <w:r w:rsidR="009F7851" w:rsidRPr="00524C5E">
        <w:rPr>
          <w:sz w:val="24"/>
          <w:szCs w:val="24"/>
          <w:lang w:val="cs-CZ"/>
        </w:rPr>
        <w:tab/>
      </w:r>
      <w:r w:rsidR="00D500C8" w:rsidRPr="00524C5E">
        <w:rPr>
          <w:sz w:val="24"/>
          <w:szCs w:val="24"/>
        </w:rPr>
        <w:t>Úř. věst. C 214, 16.6.2023, s. 2</w:t>
      </w:r>
      <w:r w:rsidRPr="00524C5E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B3A4C" w14:textId="77777777" w:rsidR="00064002" w:rsidRPr="009F78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B3F16" w14:textId="77777777" w:rsidR="00064002" w:rsidRPr="009F78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8DDE" w14:textId="77777777" w:rsidR="00064002" w:rsidRPr="009F78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8410311">
    <w:abstractNumId w:val="9"/>
  </w:num>
  <w:num w:numId="2" w16cid:durableId="164368253">
    <w:abstractNumId w:val="9"/>
  </w:num>
  <w:num w:numId="3" w16cid:durableId="182523332">
    <w:abstractNumId w:val="7"/>
  </w:num>
  <w:num w:numId="4" w16cid:durableId="1220478712">
    <w:abstractNumId w:val="7"/>
  </w:num>
  <w:num w:numId="5" w16cid:durableId="384181787">
    <w:abstractNumId w:val="6"/>
  </w:num>
  <w:num w:numId="6" w16cid:durableId="1225800501">
    <w:abstractNumId w:val="6"/>
  </w:num>
  <w:num w:numId="7" w16cid:durableId="796610332">
    <w:abstractNumId w:val="5"/>
  </w:num>
  <w:num w:numId="8" w16cid:durableId="603459071">
    <w:abstractNumId w:val="5"/>
  </w:num>
  <w:num w:numId="9" w16cid:durableId="1973096193">
    <w:abstractNumId w:val="4"/>
  </w:num>
  <w:num w:numId="10" w16cid:durableId="1468359572">
    <w:abstractNumId w:val="4"/>
  </w:num>
  <w:num w:numId="11" w16cid:durableId="487211553">
    <w:abstractNumId w:val="8"/>
  </w:num>
  <w:num w:numId="12" w16cid:durableId="684988901">
    <w:abstractNumId w:val="8"/>
  </w:num>
  <w:num w:numId="13" w16cid:durableId="535965293">
    <w:abstractNumId w:val="3"/>
  </w:num>
  <w:num w:numId="14" w16cid:durableId="1000813235">
    <w:abstractNumId w:val="3"/>
  </w:num>
  <w:num w:numId="15" w16cid:durableId="344720853">
    <w:abstractNumId w:val="2"/>
  </w:num>
  <w:num w:numId="16" w16cid:durableId="1492479156">
    <w:abstractNumId w:val="2"/>
  </w:num>
  <w:num w:numId="17" w16cid:durableId="61832734">
    <w:abstractNumId w:val="1"/>
  </w:num>
  <w:num w:numId="18" w16cid:durableId="1815217925">
    <w:abstractNumId w:val="1"/>
  </w:num>
  <w:num w:numId="19" w16cid:durableId="901217284">
    <w:abstractNumId w:val="0"/>
  </w:num>
  <w:num w:numId="20" w16cid:durableId="1461150713">
    <w:abstractNumId w:val="0"/>
  </w:num>
  <w:num w:numId="21" w16cid:durableId="6762250">
    <w:abstractNumId w:val="9"/>
  </w:num>
  <w:num w:numId="22" w16cid:durableId="1471753978">
    <w:abstractNumId w:val="7"/>
  </w:num>
  <w:num w:numId="23" w16cid:durableId="832766221">
    <w:abstractNumId w:val="6"/>
  </w:num>
  <w:num w:numId="24" w16cid:durableId="906569938">
    <w:abstractNumId w:val="5"/>
  </w:num>
  <w:num w:numId="25" w16cid:durableId="1543244376">
    <w:abstractNumId w:val="4"/>
  </w:num>
  <w:num w:numId="26" w16cid:durableId="928153536">
    <w:abstractNumId w:val="8"/>
  </w:num>
  <w:num w:numId="27" w16cid:durableId="1998416022">
    <w:abstractNumId w:val="3"/>
  </w:num>
  <w:num w:numId="28" w16cid:durableId="568878855">
    <w:abstractNumId w:val="2"/>
  </w:num>
  <w:num w:numId="29" w16cid:durableId="718869417">
    <w:abstractNumId w:val="1"/>
  </w:num>
  <w:num w:numId="30" w16cid:durableId="1882663787">
    <w:abstractNumId w:val="0"/>
  </w:num>
  <w:num w:numId="31" w16cid:durableId="795680973">
    <w:abstractNumId w:val="9"/>
  </w:num>
  <w:num w:numId="32" w16cid:durableId="2088530291">
    <w:abstractNumId w:val="7"/>
  </w:num>
  <w:num w:numId="33" w16cid:durableId="1057245175">
    <w:abstractNumId w:val="6"/>
  </w:num>
  <w:num w:numId="34" w16cid:durableId="2066099887">
    <w:abstractNumId w:val="5"/>
  </w:num>
  <w:num w:numId="35" w16cid:durableId="249391905">
    <w:abstractNumId w:val="4"/>
  </w:num>
  <w:num w:numId="36" w16cid:durableId="1273317197">
    <w:abstractNumId w:val="8"/>
  </w:num>
  <w:num w:numId="37" w16cid:durableId="755634129">
    <w:abstractNumId w:val="3"/>
  </w:num>
  <w:num w:numId="38" w16cid:durableId="2002536828">
    <w:abstractNumId w:val="2"/>
  </w:num>
  <w:num w:numId="39" w16cid:durableId="1781609022">
    <w:abstractNumId w:val="1"/>
  </w:num>
  <w:num w:numId="40" w16cid:durableId="678318058">
    <w:abstractNumId w:val="0"/>
  </w:num>
  <w:num w:numId="41" w16cid:durableId="110437416">
    <w:abstractNumId w:val="10"/>
  </w:num>
  <w:num w:numId="42" w16cid:durableId="206453273">
    <w:abstractNumId w:val="10"/>
  </w:num>
  <w:num w:numId="43" w16cid:durableId="2028213584">
    <w:abstractNumId w:val="10"/>
  </w:num>
  <w:num w:numId="44" w16cid:durableId="2480847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3/2025"/>
    <w:docVar w:name="dvlangue" w:val="CS"/>
    <w:docVar w:name="dvnumam" w:val="0"/>
    <w:docVar w:name="dvpe" w:val="768.068"/>
    <w:docVar w:name="dvrapporteur" w:val="Zpravodaj: "/>
    <w:docVar w:name="dvtitre" w:val="Usnesení Evropského parlamentu ze dne.... 2025 o výsledcích jednání Petičního výboru v průběhu roku 2023(2025/2027(INI))"/>
  </w:docVars>
  <w:rsids>
    <w:rsidRoot w:val="00D14B26"/>
    <w:rsid w:val="000002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DD0"/>
    <w:rsid w:val="00471C19"/>
    <w:rsid w:val="00474188"/>
    <w:rsid w:val="004867E3"/>
    <w:rsid w:val="00494A28"/>
    <w:rsid w:val="004C0004"/>
    <w:rsid w:val="004C5D52"/>
    <w:rsid w:val="0050519A"/>
    <w:rsid w:val="005072A1"/>
    <w:rsid w:val="00514517"/>
    <w:rsid w:val="00524C5E"/>
    <w:rsid w:val="00545827"/>
    <w:rsid w:val="00556361"/>
    <w:rsid w:val="00560270"/>
    <w:rsid w:val="005C1A2E"/>
    <w:rsid w:val="005C2568"/>
    <w:rsid w:val="005F1B17"/>
    <w:rsid w:val="006037C0"/>
    <w:rsid w:val="006631B6"/>
    <w:rsid w:val="00680577"/>
    <w:rsid w:val="00680A24"/>
    <w:rsid w:val="00695E1E"/>
    <w:rsid w:val="006A33A2"/>
    <w:rsid w:val="006E636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7851"/>
    <w:rsid w:val="00A1687D"/>
    <w:rsid w:val="00A43E52"/>
    <w:rsid w:val="00A4678D"/>
    <w:rsid w:val="00A778C7"/>
    <w:rsid w:val="00AB441E"/>
    <w:rsid w:val="00AB6293"/>
    <w:rsid w:val="00AB6D55"/>
    <w:rsid w:val="00AE0928"/>
    <w:rsid w:val="00AF3B82"/>
    <w:rsid w:val="00B12E95"/>
    <w:rsid w:val="00B22876"/>
    <w:rsid w:val="00B26CF5"/>
    <w:rsid w:val="00B321A7"/>
    <w:rsid w:val="00B36C4D"/>
    <w:rsid w:val="00B558F0"/>
    <w:rsid w:val="00BD48FE"/>
    <w:rsid w:val="00BD7BD8"/>
    <w:rsid w:val="00BE6ADC"/>
    <w:rsid w:val="00C02B84"/>
    <w:rsid w:val="00C05BFE"/>
    <w:rsid w:val="00C20FBF"/>
    <w:rsid w:val="00C23CD4"/>
    <w:rsid w:val="00C61C0C"/>
    <w:rsid w:val="00C941CB"/>
    <w:rsid w:val="00CC2357"/>
    <w:rsid w:val="00CF071A"/>
    <w:rsid w:val="00D058B8"/>
    <w:rsid w:val="00D14B26"/>
    <w:rsid w:val="00D500C8"/>
    <w:rsid w:val="00D56C11"/>
    <w:rsid w:val="00D82FA1"/>
    <w:rsid w:val="00D834A0"/>
    <w:rsid w:val="00D872DF"/>
    <w:rsid w:val="00D91E21"/>
    <w:rsid w:val="00DA7FCD"/>
    <w:rsid w:val="00DE67C1"/>
    <w:rsid w:val="00E365E1"/>
    <w:rsid w:val="00E63D5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49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27932"/>
  <w15:chartTrackingRefBased/>
  <w15:docId w15:val="{3A50475C-AF20-4018-9445-DE609D94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5636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36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36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36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36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361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361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361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361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55636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uiPriority w:val="99"/>
    <w:rsid w:val="0055636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uiPriority w:val="99"/>
    <w:rsid w:val="00556361"/>
    <w:pPr>
      <w:spacing w:after="240"/>
    </w:pPr>
  </w:style>
  <w:style w:type="paragraph" w:customStyle="1" w:styleId="TOCPage">
    <w:name w:val="TOC Page"/>
    <w:basedOn w:val="Normal"/>
    <w:next w:val="TOC1"/>
    <w:uiPriority w:val="99"/>
    <w:rsid w:val="0055636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uiPriority w:val="99"/>
    <w:rsid w:val="0055636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uiPriority w:val="99"/>
    <w:rsid w:val="00556361"/>
    <w:rPr>
      <w:b/>
    </w:rPr>
  </w:style>
  <w:style w:type="paragraph" w:customStyle="1" w:styleId="NormalHanging12a">
    <w:name w:val="NormalHanging12a"/>
    <w:basedOn w:val="Normal"/>
    <w:link w:val="NormalHanging12aChar"/>
    <w:rsid w:val="00556361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556361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556361"/>
    <w:pPr>
      <w:ind w:left="1418"/>
    </w:pPr>
  </w:style>
  <w:style w:type="paragraph" w:customStyle="1" w:styleId="CoverReference">
    <w:name w:val="CoverReference"/>
    <w:basedOn w:val="Normal"/>
    <w:uiPriority w:val="99"/>
    <w:rsid w:val="00556361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uiPriority w:val="99"/>
    <w:rsid w:val="0055636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55636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563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361"/>
    <w:rPr>
      <w:sz w:val="24"/>
      <w:lang w:val="cs-CZ"/>
    </w:rPr>
  </w:style>
  <w:style w:type="paragraph" w:styleId="TOC4">
    <w:name w:val="toc 4"/>
    <w:basedOn w:val="Normal"/>
    <w:next w:val="Normal"/>
    <w:autoRedefine/>
    <w:rsid w:val="00556361"/>
    <w:pPr>
      <w:ind w:left="720"/>
    </w:pPr>
  </w:style>
  <w:style w:type="paragraph" w:styleId="TOC5">
    <w:name w:val="toc 5"/>
    <w:basedOn w:val="Normal"/>
    <w:next w:val="Normal"/>
    <w:autoRedefine/>
    <w:rsid w:val="00556361"/>
    <w:pPr>
      <w:ind w:left="960"/>
    </w:pPr>
  </w:style>
  <w:style w:type="paragraph" w:styleId="TOC6">
    <w:name w:val="toc 6"/>
    <w:basedOn w:val="Normal"/>
    <w:next w:val="Normal"/>
    <w:autoRedefine/>
    <w:rsid w:val="00556361"/>
    <w:pPr>
      <w:ind w:left="1200"/>
    </w:pPr>
  </w:style>
  <w:style w:type="paragraph" w:styleId="TOC7">
    <w:name w:val="toc 7"/>
    <w:basedOn w:val="Normal"/>
    <w:next w:val="Normal"/>
    <w:autoRedefine/>
    <w:rsid w:val="00556361"/>
    <w:pPr>
      <w:ind w:left="1440"/>
    </w:pPr>
  </w:style>
  <w:style w:type="paragraph" w:styleId="TOC8">
    <w:name w:val="toc 8"/>
    <w:basedOn w:val="Normal"/>
    <w:next w:val="Normal"/>
    <w:autoRedefine/>
    <w:rsid w:val="00556361"/>
    <w:pPr>
      <w:ind w:left="1680"/>
    </w:pPr>
  </w:style>
  <w:style w:type="paragraph" w:styleId="TOC9">
    <w:name w:val="toc 9"/>
    <w:basedOn w:val="Normal"/>
    <w:next w:val="Normal"/>
    <w:autoRedefine/>
    <w:rsid w:val="00556361"/>
    <w:pPr>
      <w:ind w:left="1920"/>
    </w:pPr>
  </w:style>
  <w:style w:type="paragraph" w:customStyle="1" w:styleId="EPBody">
    <w:name w:val="EPBody"/>
    <w:basedOn w:val="Normal"/>
    <w:uiPriority w:val="99"/>
    <w:rsid w:val="0055636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uiPriority w:val="99"/>
    <w:rsid w:val="0055636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556361"/>
    <w:pPr>
      <w:spacing w:before="480" w:after="240"/>
    </w:pPr>
  </w:style>
  <w:style w:type="character" w:styleId="Emphasis">
    <w:name w:val="Emphasis"/>
    <w:uiPriority w:val="20"/>
    <w:qFormat/>
    <w:rsid w:val="00556361"/>
    <w:rPr>
      <w:rFonts w:ascii="Calibri" w:hAnsi="Calibri" w:cs="Calibri" w:hint="default"/>
      <w:b/>
      <w:bCs w:val="0"/>
      <w:i/>
      <w:iCs/>
    </w:rPr>
  </w:style>
  <w:style w:type="paragraph" w:customStyle="1" w:styleId="msonormal0">
    <w:name w:val="msonormal"/>
    <w:basedOn w:val="Normal"/>
    <w:uiPriority w:val="99"/>
    <w:semiHidden/>
    <w:rsid w:val="00556361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556361"/>
    <w:pPr>
      <w:widowControl/>
      <w:spacing w:before="100" w:beforeAutospacing="1" w:after="100" w:afterAutospacing="1"/>
    </w:pPr>
    <w:rPr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556361"/>
    <w:pPr>
      <w:widowControl/>
      <w:jc w:val="both"/>
    </w:pPr>
    <w:rPr>
      <w:rFonts w:eastAsia="Calibr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6361"/>
    <w:rPr>
      <w:rFonts w:eastAsia="Calibri"/>
      <w:lang w:val="cs-CZ"/>
    </w:rPr>
  </w:style>
  <w:style w:type="paragraph" w:styleId="Footer">
    <w:name w:val="footer"/>
    <w:basedOn w:val="Normal"/>
    <w:link w:val="FooterChar"/>
    <w:uiPriority w:val="99"/>
    <w:unhideWhenUsed/>
    <w:rsid w:val="005563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361"/>
    <w:rPr>
      <w:sz w:val="24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556361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56361"/>
    <w:rPr>
      <w:rFonts w:ascii="Arial" w:hAnsi="Arial" w:cs="Arial"/>
      <w:b/>
      <w:bCs/>
      <w:kern w:val="28"/>
      <w:sz w:val="32"/>
      <w:szCs w:val="32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361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56361"/>
    <w:rPr>
      <w:rFonts w:ascii="Arial" w:hAnsi="Arial" w:cs="Arial"/>
      <w:sz w:val="24"/>
      <w:szCs w:val="24"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563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56361"/>
    <w:rPr>
      <w:rFonts w:eastAsia="Calibri"/>
      <w:b/>
      <w:bCs/>
      <w:lang w:val="cs-CZ"/>
    </w:rPr>
  </w:style>
  <w:style w:type="paragraph" w:styleId="BalloonText">
    <w:name w:val="Balloon Text"/>
    <w:basedOn w:val="Normal"/>
    <w:link w:val="BalloonTextChar"/>
    <w:uiPriority w:val="99"/>
    <w:unhideWhenUsed/>
    <w:rsid w:val="00556361"/>
    <w:pPr>
      <w:widowControl/>
      <w:jc w:val="both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56361"/>
    <w:rPr>
      <w:rFonts w:ascii="Segoe UI" w:eastAsia="Calibri" w:hAnsi="Segoe UI" w:cs="Segoe UI"/>
      <w:sz w:val="18"/>
      <w:szCs w:val="18"/>
      <w:lang w:val="cs-CZ"/>
    </w:rPr>
  </w:style>
  <w:style w:type="paragraph" w:styleId="NoSpacing">
    <w:name w:val="No Spacing"/>
    <w:basedOn w:val="Normal"/>
    <w:uiPriority w:val="1"/>
    <w:qFormat/>
    <w:rsid w:val="00556361"/>
    <w:pPr>
      <w:widowControl/>
      <w:jc w:val="both"/>
    </w:pPr>
    <w:rPr>
      <w:rFonts w:eastAsia="Calibr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56361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556361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56361"/>
    <w:rPr>
      <w:rFonts w:eastAsia="Calibr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361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361"/>
    <w:rPr>
      <w:rFonts w:eastAsia="Calibri"/>
      <w:b/>
      <w:i/>
      <w:sz w:val="24"/>
      <w:szCs w:val="22"/>
      <w:lang w:val="cs-CZ" w:eastAsia="en-US"/>
    </w:rPr>
  </w:style>
  <w:style w:type="paragraph" w:customStyle="1" w:styleId="Normal12">
    <w:name w:val="Normal12"/>
    <w:basedOn w:val="Normal"/>
    <w:uiPriority w:val="99"/>
    <w:semiHidden/>
    <w:rsid w:val="00556361"/>
    <w:pPr>
      <w:spacing w:after="240"/>
    </w:pPr>
  </w:style>
  <w:style w:type="paragraph" w:customStyle="1" w:styleId="Cover24">
    <w:name w:val="Cover24"/>
    <w:basedOn w:val="Normal"/>
    <w:uiPriority w:val="99"/>
    <w:semiHidden/>
    <w:rsid w:val="00556361"/>
    <w:pPr>
      <w:spacing w:after="480"/>
      <w:ind w:left="1418"/>
    </w:pPr>
  </w:style>
  <w:style w:type="paragraph" w:customStyle="1" w:styleId="TypeDoc">
    <w:name w:val="TypeDoc"/>
    <w:basedOn w:val="Normal"/>
    <w:uiPriority w:val="99"/>
    <w:semiHidden/>
    <w:rsid w:val="00556361"/>
    <w:pPr>
      <w:spacing w:after="480"/>
      <w:ind w:left="1418"/>
    </w:pPr>
    <w:rPr>
      <w:rFonts w:ascii="Arial" w:hAnsi="Arial"/>
      <w:b/>
      <w:sz w:val="48"/>
    </w:rPr>
  </w:style>
  <w:style w:type="paragraph" w:customStyle="1" w:styleId="ZDate">
    <w:name w:val="ZDate"/>
    <w:basedOn w:val="Normal"/>
    <w:uiPriority w:val="99"/>
    <w:semiHidden/>
    <w:rsid w:val="00556361"/>
    <w:pPr>
      <w:spacing w:after="1200"/>
    </w:pPr>
  </w:style>
  <w:style w:type="paragraph" w:customStyle="1" w:styleId="ZCommittee">
    <w:name w:val="ZCommittee"/>
    <w:basedOn w:val="Normal"/>
    <w:next w:val="Normal"/>
    <w:uiPriority w:val="99"/>
    <w:semiHidden/>
    <w:rsid w:val="0055636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PELeft">
    <w:name w:val="PELeft"/>
    <w:basedOn w:val="Normal"/>
    <w:uiPriority w:val="99"/>
    <w:semiHidden/>
    <w:rsid w:val="0055636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uiPriority w:val="99"/>
    <w:semiHidden/>
    <w:rsid w:val="00556361"/>
    <w:pPr>
      <w:jc w:val="right"/>
    </w:pPr>
    <w:rPr>
      <w:rFonts w:ascii="Arial" w:hAnsi="Arial" w:cs="Arial"/>
      <w:sz w:val="22"/>
      <w:szCs w:val="22"/>
    </w:rPr>
  </w:style>
  <w:style w:type="character" w:styleId="CommentReference">
    <w:name w:val="annotation reference"/>
    <w:uiPriority w:val="99"/>
    <w:unhideWhenUsed/>
    <w:rsid w:val="00556361"/>
    <w:rPr>
      <w:sz w:val="16"/>
      <w:szCs w:val="16"/>
    </w:rPr>
  </w:style>
  <w:style w:type="character" w:styleId="SubtleEmphasis">
    <w:name w:val="Subtle Emphasis"/>
    <w:uiPriority w:val="19"/>
    <w:qFormat/>
    <w:rsid w:val="00556361"/>
    <w:rPr>
      <w:i/>
      <w:iCs w:val="0"/>
      <w:color w:val="5A5A5A"/>
    </w:rPr>
  </w:style>
  <w:style w:type="character" w:styleId="IntenseEmphasis">
    <w:name w:val="Intense Emphasis"/>
    <w:uiPriority w:val="21"/>
    <w:qFormat/>
    <w:rsid w:val="00556361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uiPriority w:val="31"/>
    <w:qFormat/>
    <w:rsid w:val="00556361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556361"/>
    <w:rPr>
      <w:b/>
      <w:bCs w:val="0"/>
      <w:sz w:val="24"/>
      <w:u w:val="single"/>
    </w:rPr>
  </w:style>
  <w:style w:type="character" w:styleId="BookTitle">
    <w:name w:val="Book Title"/>
    <w:uiPriority w:val="33"/>
    <w:qFormat/>
    <w:rsid w:val="00556361"/>
    <w:rPr>
      <w:rFonts w:ascii="Calibri Light" w:eastAsia="Times New Roman" w:hAnsi="Calibri Light" w:cs="Calibri Light" w:hint="default"/>
      <w:b/>
      <w:bCs w:val="0"/>
      <w:i/>
      <w:iCs w:val="0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556361"/>
    <w:rPr>
      <w:rFonts w:ascii="Times New Roman" w:hAnsi="Times New Roman" w:cs="Times New Roman" w:hint="default"/>
      <w:sz w:val="24"/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semiHidden/>
    <w:rsid w:val="00556361"/>
    <w:rPr>
      <w:rFonts w:ascii="Times New Roman" w:hAnsi="Times New Roman" w:cs="Times New Roman" w:hint="default"/>
      <w:sz w:val="24"/>
      <w:szCs w:val="24"/>
      <w:lang w:eastAsia="en-US"/>
    </w:rPr>
  </w:style>
  <w:style w:type="character" w:customStyle="1" w:styleId="CommentSubjectChar1">
    <w:name w:val="Comment Subject Char1"/>
    <w:basedOn w:val="CommentTextChar"/>
    <w:uiPriority w:val="99"/>
    <w:semiHidden/>
    <w:rsid w:val="00556361"/>
    <w:rPr>
      <w:rFonts w:ascii="Times New Roman" w:eastAsia="Calibri" w:hAnsi="Times New Roman" w:cs="Times New Roman" w:hint="default"/>
      <w:b/>
      <w:bCs/>
      <w:lang w:val="cs-CZ"/>
    </w:rPr>
  </w:style>
  <w:style w:type="character" w:customStyle="1" w:styleId="BalloonTextChar1">
    <w:name w:val="Balloon Text Char1"/>
    <w:basedOn w:val="DefaultParagraphFont"/>
    <w:uiPriority w:val="99"/>
    <w:semiHidden/>
    <w:rsid w:val="00556361"/>
    <w:rPr>
      <w:rFonts w:ascii="Segoe UI" w:hAnsi="Segoe UI" w:cs="Segoe UI" w:hint="default"/>
      <w:sz w:val="18"/>
      <w:szCs w:val="18"/>
      <w:lang w:eastAsia="en-US"/>
    </w:rPr>
  </w:style>
  <w:style w:type="character" w:styleId="Hyperlink">
    <w:name w:val="Hyperlink"/>
    <w:basedOn w:val="DefaultParagraphFont"/>
    <w:unhideWhenUsed/>
    <w:rsid w:val="0055636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56361"/>
    <w:rPr>
      <w:sz w:val="24"/>
      <w:lang w:val="cs-CZ"/>
    </w:rPr>
  </w:style>
  <w:style w:type="paragraph" w:customStyle="1" w:styleId="Normal24a">
    <w:name w:val="Normal24a"/>
    <w:basedOn w:val="Normal"/>
    <w:rsid w:val="00556361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556361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556361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556361"/>
    <w:rPr>
      <w:szCs w:val="24"/>
      <w:lang w:val="en-GB"/>
    </w:rPr>
  </w:style>
  <w:style w:type="paragraph" w:customStyle="1" w:styleId="RollCallVotes">
    <w:name w:val="RollCallVotes"/>
    <w:basedOn w:val="Normal"/>
    <w:uiPriority w:val="99"/>
    <w:rsid w:val="00556361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556361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uiPriority w:val="99"/>
    <w:rsid w:val="00556361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uiPriority w:val="99"/>
    <w:rsid w:val="00556361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Normal6a">
    <w:name w:val="Normal6a"/>
    <w:basedOn w:val="Normal"/>
    <w:rsid w:val="00B26CF5"/>
    <w:pPr>
      <w:spacing w:after="12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147/oj" TargetMode="External"/><Relationship Id="rId2" Type="http://schemas.openxmlformats.org/officeDocument/2006/relationships/hyperlink" Target="http://data.europa.eu/eli/dir/1992/43/oj" TargetMode="External"/><Relationship Id="rId1" Type="http://schemas.openxmlformats.org/officeDocument/2006/relationships/hyperlink" Target="http://data.europa.eu/eli/C/2024/3999/oj" TargetMode="External"/><Relationship Id="rId6" Type="http://schemas.openxmlformats.org/officeDocument/2006/relationships/hyperlink" Target="http://data.europa.eu/eli/reg/2016/399/oj" TargetMode="External"/><Relationship Id="rId5" Type="http://schemas.openxmlformats.org/officeDocument/2006/relationships/hyperlink" Target="http://data.europa.eu/eli/C/2024/4220/oj" TargetMode="External"/><Relationship Id="rId4" Type="http://schemas.openxmlformats.org/officeDocument/2006/relationships/hyperlink" Target="http://data.europa.eu/eli/C/2024/655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25275-CE37-4727-A698-C9DA0521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6572</Words>
  <Characters>38800</Characters>
  <Application>Microsoft Office Word</Application>
  <DocSecurity>0</DocSecurity>
  <Lines>323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BINKEVICIUTE Aurelija</cp:lastModifiedBy>
  <cp:revision>3</cp:revision>
  <cp:lastPrinted>2004-11-19T15:42:00Z</cp:lastPrinted>
  <dcterms:created xsi:type="dcterms:W3CDTF">2025-06-13T08:11:00Z</dcterms:created>
  <dcterms:modified xsi:type="dcterms:W3CDTF">2025-07-24T14:56:00Z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A10-0063/2025</vt:lpwstr>
  </property>
  <property fmtid="{D5CDD505-2E9C-101B-9397-08002B2CF9AE}" pid="4" name="&lt;Type&gt;">
    <vt:lpwstr>RR</vt:lpwstr>
  </property>
</Properties>
</file>