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75EB" w14:paraId="0C11EBA3" w14:textId="77777777" w:rsidTr="0010095E">
        <w:trPr>
          <w:trHeight w:hRule="exact" w:val="1418"/>
        </w:trPr>
        <w:tc>
          <w:tcPr>
            <w:tcW w:w="6804" w:type="dxa"/>
            <w:shd w:val="clear" w:color="auto" w:fill="auto"/>
            <w:vAlign w:val="center"/>
          </w:tcPr>
          <w:p w14:paraId="24CFB6A4" w14:textId="77777777" w:rsidR="00751A4A" w:rsidRPr="000A75EB" w:rsidRDefault="00693810" w:rsidP="0010095E">
            <w:pPr>
              <w:pStyle w:val="EPName"/>
            </w:pPr>
            <w:r w:rsidRPr="000A75EB">
              <w:t>Europa-Parlamentet</w:t>
            </w:r>
          </w:p>
          <w:p w14:paraId="4F9E856C" w14:textId="77777777" w:rsidR="00751A4A" w:rsidRPr="000A75EB" w:rsidRDefault="005F1B17" w:rsidP="005F1B17">
            <w:pPr>
              <w:pStyle w:val="EPTerm"/>
              <w:rPr>
                <w:rStyle w:val="HideTWBExt"/>
                <w:noProof w:val="0"/>
                <w:vanish w:val="0"/>
                <w:color w:val="auto"/>
              </w:rPr>
            </w:pPr>
            <w:r w:rsidRPr="000A75EB">
              <w:t>2024</w:t>
            </w:r>
            <w:r w:rsidR="00817416" w:rsidRPr="000A75EB">
              <w:t>-202</w:t>
            </w:r>
            <w:r w:rsidRPr="000A75EB">
              <w:t>9</w:t>
            </w:r>
          </w:p>
        </w:tc>
        <w:tc>
          <w:tcPr>
            <w:tcW w:w="2268" w:type="dxa"/>
            <w:shd w:val="clear" w:color="auto" w:fill="auto"/>
          </w:tcPr>
          <w:p w14:paraId="0F7163E4" w14:textId="77777777" w:rsidR="00751A4A" w:rsidRPr="000A75EB" w:rsidRDefault="00187494" w:rsidP="0010095E">
            <w:pPr>
              <w:pStyle w:val="EPLogo"/>
            </w:pPr>
            <w:r w:rsidRPr="000A75EB">
              <w:rPr>
                <w:noProof/>
                <w:lang w:eastAsia="da-DK"/>
              </w:rPr>
              <w:drawing>
                <wp:inline distT="0" distB="0" distL="0" distR="0" wp14:anchorId="56222393" wp14:editId="76BBB1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897C78" w14:textId="77777777" w:rsidR="00D058B8" w:rsidRPr="000A75EB" w:rsidRDefault="00D058B8" w:rsidP="004C5D52">
      <w:pPr>
        <w:pStyle w:val="LineTop"/>
      </w:pPr>
    </w:p>
    <w:p w14:paraId="0378E08A" w14:textId="77777777" w:rsidR="00680577" w:rsidRPr="000A75EB" w:rsidRDefault="00693810" w:rsidP="00680577">
      <w:pPr>
        <w:pStyle w:val="EPBodyTA1"/>
      </w:pPr>
      <w:r w:rsidRPr="000A75EB">
        <w:t>VEDTAGNE TEKSTER</w:t>
      </w:r>
    </w:p>
    <w:p w14:paraId="4F4AB28C" w14:textId="77777777" w:rsidR="00D058B8" w:rsidRPr="000A75EB" w:rsidRDefault="00D058B8" w:rsidP="00D058B8">
      <w:pPr>
        <w:pStyle w:val="LineBottom"/>
      </w:pPr>
    </w:p>
    <w:p w14:paraId="7FB08956" w14:textId="77777777" w:rsidR="00693810" w:rsidRPr="000A75EB" w:rsidRDefault="00693810" w:rsidP="00693810">
      <w:pPr>
        <w:pStyle w:val="ATHeading1"/>
      </w:pPr>
      <w:bookmarkStart w:id="0" w:name="TANumber"/>
      <w:r w:rsidRPr="000A75EB">
        <w:t>P10_</w:t>
      </w:r>
      <w:proofErr w:type="gramStart"/>
      <w:r w:rsidRPr="000A75EB">
        <w:t>TA(</w:t>
      </w:r>
      <w:proofErr w:type="gramEnd"/>
      <w:r w:rsidRPr="000A75EB">
        <w:t>2025)0</w:t>
      </w:r>
      <w:bookmarkEnd w:id="0"/>
      <w:r w:rsidR="006C18B1">
        <w:t>114</w:t>
      </w:r>
    </w:p>
    <w:p w14:paraId="32919856" w14:textId="77777777" w:rsidR="00693810" w:rsidRPr="000A75EB" w:rsidRDefault="007672F5" w:rsidP="00693810">
      <w:pPr>
        <w:pStyle w:val="ATHeading2"/>
      </w:pPr>
      <w:r w:rsidRPr="007672F5">
        <w:t>Resultatet af arbejdet i Udvalget for Andragender i 2023</w:t>
      </w:r>
    </w:p>
    <w:p w14:paraId="168DEAE5" w14:textId="77777777" w:rsidR="00693810" w:rsidRPr="000A75EB" w:rsidRDefault="00693810" w:rsidP="00693810">
      <w:pPr>
        <w:rPr>
          <w:i/>
          <w:vanish/>
        </w:rPr>
      </w:pPr>
      <w:r w:rsidRPr="000A75EB">
        <w:rPr>
          <w:i/>
        </w:rPr>
        <w:fldChar w:fldCharType="begin"/>
      </w:r>
      <w:r w:rsidRPr="000A75EB">
        <w:rPr>
          <w:i/>
        </w:rPr>
        <w:instrText xml:space="preserve"> TC"(</w:instrText>
      </w:r>
      <w:bookmarkStart w:id="1" w:name="DocNumber"/>
      <w:r w:rsidRPr="000A75EB">
        <w:rPr>
          <w:i/>
        </w:rPr>
        <w:instrText>A10-0063/2025</w:instrText>
      </w:r>
      <w:bookmarkEnd w:id="1"/>
      <w:r w:rsidRPr="000A75EB">
        <w:rPr>
          <w:i/>
        </w:rPr>
        <w:instrText xml:space="preserve"> - Ordfører: Gheorghe Falcă)"\l3 \n&gt; \* MERGEFORMAT </w:instrText>
      </w:r>
      <w:r w:rsidRPr="000A75EB">
        <w:rPr>
          <w:i/>
        </w:rPr>
        <w:fldChar w:fldCharType="end"/>
      </w:r>
    </w:p>
    <w:p w14:paraId="5D7909E3" w14:textId="77777777" w:rsidR="00693810" w:rsidRPr="000A75EB" w:rsidRDefault="00693810" w:rsidP="00693810">
      <w:pPr>
        <w:rPr>
          <w:vanish/>
        </w:rPr>
      </w:pPr>
      <w:bookmarkStart w:id="2" w:name="Commission"/>
      <w:r w:rsidRPr="000A75EB">
        <w:rPr>
          <w:vanish/>
        </w:rPr>
        <w:t>Udvalget for Andragender</w:t>
      </w:r>
      <w:bookmarkEnd w:id="2"/>
    </w:p>
    <w:p w14:paraId="077D3A3C" w14:textId="77777777" w:rsidR="00693810" w:rsidRPr="000A75EB" w:rsidRDefault="00693810" w:rsidP="00693810">
      <w:pPr>
        <w:rPr>
          <w:vanish/>
        </w:rPr>
      </w:pPr>
      <w:bookmarkStart w:id="3" w:name="PE"/>
      <w:r w:rsidRPr="000A75EB">
        <w:rPr>
          <w:vanish/>
        </w:rPr>
        <w:t>PE768.068</w:t>
      </w:r>
      <w:bookmarkEnd w:id="3"/>
    </w:p>
    <w:p w14:paraId="6A2FD16F" w14:textId="77777777" w:rsidR="00693810" w:rsidRPr="000A75EB" w:rsidRDefault="00693810" w:rsidP="00693810">
      <w:pPr>
        <w:pStyle w:val="ATHeading3"/>
      </w:pPr>
      <w:bookmarkStart w:id="4" w:name="Sujet"/>
      <w:r w:rsidRPr="000A75EB">
        <w:t xml:space="preserve">Europa-Parlamentets beslutning af </w:t>
      </w:r>
      <w:r w:rsidR="007672F5">
        <w:t xml:space="preserve">22. maj </w:t>
      </w:r>
      <w:r w:rsidRPr="000A75EB">
        <w:t>2025 om resultatet af arbejdet i Udvalget for Andragender i 2023</w:t>
      </w:r>
      <w:bookmarkEnd w:id="4"/>
      <w:r w:rsidRPr="000A75EB">
        <w:t xml:space="preserve"> </w:t>
      </w:r>
      <w:bookmarkStart w:id="5" w:name="References"/>
      <w:r w:rsidRPr="000A75EB">
        <w:t>(2025/2027(INI))</w:t>
      </w:r>
      <w:bookmarkEnd w:id="5"/>
    </w:p>
    <w:p w14:paraId="47826DA9" w14:textId="77777777" w:rsidR="008616EA" w:rsidRPr="000A75EB" w:rsidRDefault="008616EA" w:rsidP="008616EA">
      <w:pPr>
        <w:pStyle w:val="EPComma"/>
      </w:pPr>
      <w:r w:rsidRPr="000A75EB">
        <w:rPr>
          <w:i/>
        </w:rPr>
        <w:t>Europa-Parlamentet</w:t>
      </w:r>
      <w:r w:rsidRPr="000A75EB">
        <w:t>,</w:t>
      </w:r>
    </w:p>
    <w:p w14:paraId="71B5BA2B" w14:textId="77777777" w:rsidR="008616EA" w:rsidRPr="000A75EB" w:rsidRDefault="008616EA" w:rsidP="008616EA">
      <w:pPr>
        <w:pStyle w:val="NormalHanging12a"/>
      </w:pPr>
      <w:r w:rsidRPr="000A75EB">
        <w:t>–</w:t>
      </w:r>
      <w:r w:rsidRPr="000A75EB">
        <w:tab/>
        <w:t>der henviser til sine tidligere beslutninger om resultatet af arbejdet i Udvalget for Andragender,</w:t>
      </w:r>
    </w:p>
    <w:p w14:paraId="63B3F24A" w14:textId="77777777" w:rsidR="008616EA" w:rsidRPr="000A75EB" w:rsidRDefault="008616EA" w:rsidP="008616EA">
      <w:pPr>
        <w:pStyle w:val="NormalHanging12a"/>
      </w:pPr>
      <w:r w:rsidRPr="000A75EB">
        <w:t>–</w:t>
      </w:r>
      <w:r w:rsidRPr="000A75EB">
        <w:tab/>
        <w:t>der henviser til artikel 10 og 11 i traktaten om Den Europæiske Union (TEU),</w:t>
      </w:r>
    </w:p>
    <w:p w14:paraId="0962E5AA" w14:textId="77777777" w:rsidR="008616EA" w:rsidRPr="000A75EB" w:rsidRDefault="008616EA" w:rsidP="008616EA">
      <w:pPr>
        <w:pStyle w:val="NormalHanging12a"/>
      </w:pPr>
      <w:r w:rsidRPr="000A75EB">
        <w:t>–</w:t>
      </w:r>
      <w:r w:rsidRPr="000A75EB">
        <w:tab/>
        <w:t>der henviser til artikel 20, 24 og 227 i traktaten om Den Europæiske Unions funktionsmåde (TEUF) om EU-borgeres og -indbyggeres ret til at gøre Parlamentet opmærksomt på deres bekymringer,</w:t>
      </w:r>
    </w:p>
    <w:p w14:paraId="32116A00" w14:textId="77777777" w:rsidR="008616EA" w:rsidRPr="000A75EB" w:rsidRDefault="008616EA" w:rsidP="008616EA">
      <w:pPr>
        <w:pStyle w:val="NormalHanging12a"/>
      </w:pPr>
      <w:r w:rsidRPr="000A75EB">
        <w:t>–</w:t>
      </w:r>
      <w:r w:rsidRPr="000A75EB">
        <w:tab/>
        <w:t>der henviser til artikel 228 i TEUF om Den Europæiske Ombudsmands rolle og opgaver,</w:t>
      </w:r>
    </w:p>
    <w:p w14:paraId="611C412A" w14:textId="77777777" w:rsidR="008616EA" w:rsidRPr="000A75EB" w:rsidRDefault="008616EA" w:rsidP="008616EA">
      <w:pPr>
        <w:pStyle w:val="NormalHanging12a"/>
      </w:pPr>
      <w:r w:rsidRPr="000A75EB">
        <w:t>–</w:t>
      </w:r>
      <w:r w:rsidRPr="000A75EB">
        <w:tab/>
        <w:t xml:space="preserve">der henviser til artikel 44 i Den Europæiske Unions charter om grundlæggende rettigheder, som omhandler retten til at indgive </w:t>
      </w:r>
      <w:proofErr w:type="gramStart"/>
      <w:r w:rsidRPr="000A75EB">
        <w:t>andragender</w:t>
      </w:r>
      <w:proofErr w:type="gramEnd"/>
      <w:r w:rsidRPr="000A75EB">
        <w:t xml:space="preserve"> til Europa-Parlamentet,</w:t>
      </w:r>
    </w:p>
    <w:p w14:paraId="13FCC6D2" w14:textId="77777777" w:rsidR="008616EA" w:rsidRDefault="008616EA" w:rsidP="008616EA">
      <w:pPr>
        <w:pStyle w:val="NormalHanging12a"/>
      </w:pPr>
      <w:r w:rsidRPr="000A75EB">
        <w:t>–</w:t>
      </w:r>
      <w:r w:rsidRPr="000A75EB">
        <w:tab/>
        <w:t>der henviser til bestemmelserne i TEUF angående traktatkrænkelsesproceduren og særlig artikel 258 og 260,</w:t>
      </w:r>
    </w:p>
    <w:p w14:paraId="6364229B" w14:textId="77777777" w:rsidR="00595F06" w:rsidRPr="000A75EB" w:rsidRDefault="00595F06" w:rsidP="008616EA">
      <w:pPr>
        <w:pStyle w:val="NormalHanging12a"/>
      </w:pPr>
      <w:r w:rsidRPr="00595F06">
        <w:t>–</w:t>
      </w:r>
      <w:r w:rsidRPr="00595F06">
        <w:tab/>
        <w:t>der henviser til de afsluttende bemærkninger fra FN's komité for rettigheder for personer med handicap af 21. marts 2025 om Den Europæiske Unions kombinerede anden og tredje periodiske rapport,</w:t>
      </w:r>
    </w:p>
    <w:p w14:paraId="1390769E" w14:textId="77777777" w:rsidR="008616EA" w:rsidRPr="000A75EB" w:rsidRDefault="008616EA" w:rsidP="008616EA">
      <w:pPr>
        <w:pStyle w:val="NormalHanging12a"/>
      </w:pPr>
      <w:r w:rsidRPr="000A75EB">
        <w:t>–</w:t>
      </w:r>
      <w:r w:rsidRPr="000A75EB">
        <w:tab/>
        <w:t>der henviser til forretningsordenens artikel 55 og 233, stk. 7,</w:t>
      </w:r>
    </w:p>
    <w:p w14:paraId="28234ADD" w14:textId="77777777" w:rsidR="008616EA" w:rsidRPr="000A75EB" w:rsidRDefault="008616EA" w:rsidP="008616EA">
      <w:pPr>
        <w:pStyle w:val="NormalHanging12a"/>
      </w:pPr>
      <w:r w:rsidRPr="000A75EB">
        <w:t>–</w:t>
      </w:r>
      <w:r w:rsidRPr="000A75EB">
        <w:tab/>
        <w:t>der henviser til betænkning fra Udvalget for Andragender (A10-0063/2025),</w:t>
      </w:r>
    </w:p>
    <w:p w14:paraId="6CFBD45A" w14:textId="77777777" w:rsidR="008616EA" w:rsidRPr="000A75EB" w:rsidRDefault="008616EA" w:rsidP="008616EA">
      <w:pPr>
        <w:pStyle w:val="NormalHanging12a"/>
      </w:pPr>
      <w:r w:rsidRPr="000A75EB">
        <w:t>A.</w:t>
      </w:r>
      <w:r w:rsidRPr="000A75EB">
        <w:tab/>
        <w:t xml:space="preserve">der henviser til, at formålet med den årlige betænkning om resultatet af arbejdet i Udvalget for Andragender er at fremlægge en analyse af de </w:t>
      </w:r>
      <w:proofErr w:type="gramStart"/>
      <w:r w:rsidRPr="000A75EB">
        <w:t>andragender</w:t>
      </w:r>
      <w:proofErr w:type="gramEnd"/>
      <w:r w:rsidRPr="000A75EB">
        <w:t>, der blev modtaget i 2023, og af forbindelserne med andre institutioner samt at give et retvisende billede af de mål, der blev nået i 2023;</w:t>
      </w:r>
    </w:p>
    <w:p w14:paraId="140E7942" w14:textId="77777777" w:rsidR="008616EA" w:rsidRPr="000A75EB" w:rsidRDefault="008616EA" w:rsidP="008616EA">
      <w:pPr>
        <w:pStyle w:val="NormalHanging12a"/>
      </w:pPr>
      <w:r w:rsidRPr="000A75EB">
        <w:t>B.</w:t>
      </w:r>
      <w:r w:rsidRPr="000A75EB">
        <w:tab/>
        <w:t>der henviser til, at Europa-Parlamentet i 2023 modtog 1 452 </w:t>
      </w:r>
      <w:proofErr w:type="gramStart"/>
      <w:r w:rsidRPr="000A75EB">
        <w:t>andragender</w:t>
      </w:r>
      <w:proofErr w:type="gramEnd"/>
      <w:r w:rsidRPr="000A75EB">
        <w:t xml:space="preserve">, hvilket er et fald på 16,2 % sammenlignet med de 1 217 andragender, der blev indgivet i 2022, og på 4,0 % sammenlignet med de 1 392 andragender, der blev indgivet i 2021; der henviser </w:t>
      </w:r>
      <w:r w:rsidRPr="000A75EB">
        <w:lastRenderedPageBreak/>
        <w:t>til, at det samlede antal modtagne andragender fortsat er betydeligt lavere, end da antallet toppede i årene 2013 og 2014, hvor Parlamentet modtog henholdsvis 2 891 og 2 715 andragender;</w:t>
      </w:r>
    </w:p>
    <w:p w14:paraId="0A4E967F" w14:textId="77777777" w:rsidR="008616EA" w:rsidRPr="000A75EB" w:rsidRDefault="008616EA" w:rsidP="008616EA">
      <w:pPr>
        <w:pStyle w:val="NormalHanging12a"/>
      </w:pPr>
      <w:r w:rsidRPr="000A75EB">
        <w:t>C.</w:t>
      </w:r>
      <w:r w:rsidRPr="000A75EB">
        <w:tab/>
        <w:t>der henviser til, at antallet af brugere, der i 2023 støttede ét eller flere andragender på Europa-Parlamentets webportal for andragender, var 26 331, hvilket er en betydelig stigning sammenlignet med de 22 441 brugere, der blev registreret i 2022 (begge tal er væsentligt lavere end de 209 272 brugere, der blev registreret i 2021); der henviser til, at antallet af klik til støtte for andragender også steg en anelse i 2023 og nåede op på i alt 29 287 (sammenlignet med 27 927 i 2022 og 217 876 i 2021);</w:t>
      </w:r>
    </w:p>
    <w:p w14:paraId="03F03E7D" w14:textId="77777777" w:rsidR="008616EA" w:rsidRPr="000A75EB" w:rsidRDefault="008616EA" w:rsidP="008616EA">
      <w:pPr>
        <w:pStyle w:val="NormalHanging12a"/>
      </w:pPr>
      <w:r w:rsidRPr="000A75EB">
        <w:t>D.</w:t>
      </w:r>
      <w:r w:rsidRPr="000A75EB">
        <w:tab/>
        <w:t>der henviser til, at det samlede antal andragender dog fortsat er beskedent i forhold til EU's samlede befolkning, hvilket viser, at det stadig er nødvendigt at gøre en større indsats for at øge borgernes kendskab til deres ret til at indgive andragender og den potentielle nytte af andragender som et middel til at henlede institutionernes og medlemsstaternes opmærksomhed på forhold, der påvirker og berører borgerne direkte; der henviser til, at borgerne ved udøvelsen af deres ret til at indgive andragender forventer, at EU-institutionerne leverer en merværdi ved at finde en løsning på deres problemer;</w:t>
      </w:r>
    </w:p>
    <w:p w14:paraId="3299E54D" w14:textId="77777777" w:rsidR="008616EA" w:rsidRPr="000A75EB" w:rsidRDefault="008616EA" w:rsidP="008616EA">
      <w:pPr>
        <w:pStyle w:val="NormalHanging12a"/>
      </w:pPr>
      <w:r w:rsidRPr="000A75EB">
        <w:t>E.</w:t>
      </w:r>
      <w:r w:rsidRPr="000A75EB">
        <w:tab/>
        <w:t>der henviser til, at kriterierne for andragenders opfyldelse af betingelserne for behandling er fastsat i artikel 227 i TEUF og artikel </w:t>
      </w:r>
      <w:r w:rsidR="000B736E">
        <w:t xml:space="preserve">232, stk. </w:t>
      </w:r>
      <w:r w:rsidRPr="000A75EB">
        <w:t>1</w:t>
      </w:r>
      <w:r w:rsidR="000B736E">
        <w:t>,</w:t>
      </w:r>
      <w:r w:rsidRPr="000A75EB">
        <w:t xml:space="preserve"> i Europa-Parlamentets forretningsorden, i henhold til hvilke </w:t>
      </w:r>
      <w:proofErr w:type="gramStart"/>
      <w:r w:rsidRPr="000A75EB">
        <w:t>andragender</w:t>
      </w:r>
      <w:proofErr w:type="gramEnd"/>
      <w:r w:rsidRPr="000A75EB">
        <w:t xml:space="preserve"> skal indgives af en EU-borger eller en fysisk eller juridisk person, som har bopæl eller hjemsted i en medlemsstat, og som er direkte berørt af forhold, der henhører under EU's virksomhedsområde;</w:t>
      </w:r>
    </w:p>
    <w:p w14:paraId="54FE9509" w14:textId="77777777" w:rsidR="008616EA" w:rsidRDefault="008616EA" w:rsidP="008616EA">
      <w:pPr>
        <w:pStyle w:val="NormalHanging12a"/>
      </w:pPr>
      <w:r w:rsidRPr="000A75EB">
        <w:t>F.</w:t>
      </w:r>
      <w:r w:rsidRPr="000A75EB">
        <w:tab/>
        <w:t>der henviser til, at 429 af de 1 452 andragender, der blev indgivet i 2023, ikke opfyldte betingelserne for behandling, og at 13 blev trukket tilbage; der henviser til, at den høje procentandel af andragender i 2023, der ikke opfyldte betingelserne for behandling (29,55 %), bekræfter, at der stadig hersker en udbredt mangel på klarhed om omfanget af EU's ansvarsområde; der henviser til, at der for at reducere antallet af andragender, som ikke opfylder betingelserne for behandling, stadig skal gøres en indsats for at skabe yderligere klarhed om EU's virksomhedsområde;</w:t>
      </w:r>
    </w:p>
    <w:p w14:paraId="45A860D9" w14:textId="4033D95B" w:rsidR="00595F06" w:rsidRPr="000A75EB" w:rsidRDefault="00595F06" w:rsidP="008616EA">
      <w:pPr>
        <w:pStyle w:val="NormalHanging12a"/>
      </w:pPr>
      <w:r>
        <w:t>G.</w:t>
      </w:r>
      <w:r>
        <w:tab/>
      </w:r>
      <w:r w:rsidRPr="00595F06">
        <w:t>der henviser til, at Udvalget for Andragender (PETI) spillede en vigtig rolle i bekæmpelsen af forskelsbehandling af rumænske og bulgarske borgere i den periode, hvor deres lande endnu ikke havde tiltrådt Schengenområdet; der henviser til, at PETI ydede et vigtigt bidrag til at slå til lyd for ligebehandling og håndtere de uberettigede hindringer, som disse borgere st</w:t>
      </w:r>
      <w:r w:rsidR="001D095A">
        <w:t>od</w:t>
      </w:r>
      <w:r w:rsidRPr="00595F06">
        <w:t xml:space="preserve"> over for; der henviser til, at udgangspunktet var andragende 0004/2023 indgivet af </w:t>
      </w:r>
      <w:proofErr w:type="spellStart"/>
      <w:r w:rsidRPr="00595F06">
        <w:t>Răzvan</w:t>
      </w:r>
      <w:proofErr w:type="spellEnd"/>
      <w:r w:rsidRPr="00595F06">
        <w:t xml:space="preserve"> Eugen </w:t>
      </w:r>
      <w:proofErr w:type="spellStart"/>
      <w:r w:rsidRPr="00595F06">
        <w:t>Nicolescu</w:t>
      </w:r>
      <w:proofErr w:type="spellEnd"/>
      <w:r w:rsidRPr="00595F06">
        <w:t xml:space="preserve"> på vegne af "</w:t>
      </w:r>
      <w:proofErr w:type="spellStart"/>
      <w:r w:rsidRPr="00595F06">
        <w:t>Asociația</w:t>
      </w:r>
      <w:proofErr w:type="spellEnd"/>
      <w:r w:rsidRPr="00595F06">
        <w:t xml:space="preserve"> </w:t>
      </w:r>
      <w:proofErr w:type="spellStart"/>
      <w:r w:rsidRPr="00595F06">
        <w:t>pentru</w:t>
      </w:r>
      <w:proofErr w:type="spellEnd"/>
      <w:r w:rsidRPr="00595F06">
        <w:t xml:space="preserve"> </w:t>
      </w:r>
      <w:proofErr w:type="spellStart"/>
      <w:r w:rsidRPr="00595F06">
        <w:t>Energie</w:t>
      </w:r>
      <w:proofErr w:type="spellEnd"/>
      <w:r w:rsidRPr="00595F06">
        <w:t xml:space="preserve"> </w:t>
      </w:r>
      <w:proofErr w:type="spellStart"/>
      <w:r w:rsidRPr="00595F06">
        <w:t>Curată</w:t>
      </w:r>
      <w:proofErr w:type="spellEnd"/>
      <w:r w:rsidRPr="00595F06">
        <w:t xml:space="preserve"> </w:t>
      </w:r>
      <w:proofErr w:type="spellStart"/>
      <w:r w:rsidRPr="00595F06">
        <w:t>și</w:t>
      </w:r>
      <w:proofErr w:type="spellEnd"/>
      <w:r w:rsidRPr="00595F06">
        <w:t xml:space="preserve"> </w:t>
      </w:r>
      <w:proofErr w:type="spellStart"/>
      <w:r w:rsidRPr="00595F06">
        <w:t>Combaterea</w:t>
      </w:r>
      <w:proofErr w:type="spellEnd"/>
      <w:r w:rsidRPr="00595F06">
        <w:t xml:space="preserve"> </w:t>
      </w:r>
      <w:proofErr w:type="spellStart"/>
      <w:r w:rsidRPr="00595F06">
        <w:t>Schimbărilor</w:t>
      </w:r>
      <w:proofErr w:type="spellEnd"/>
      <w:r w:rsidRPr="00595F06">
        <w:t xml:space="preserve"> </w:t>
      </w:r>
      <w:proofErr w:type="spellStart"/>
      <w:r w:rsidRPr="00595F06">
        <w:t>Climatice</w:t>
      </w:r>
      <w:proofErr w:type="spellEnd"/>
      <w:r w:rsidRPr="00595F06">
        <w:t>" samt den efterfølgende plenarbeslutning om tiltrædelse af Schengenområdet, der blev vedtaget i henhold til forretnin</w:t>
      </w:r>
      <w:r>
        <w:t>gsordenens artikel 227, stk. 2</w:t>
      </w:r>
      <w:r>
        <w:rPr>
          <w:rStyle w:val="FootnoteReference"/>
        </w:rPr>
        <w:footnoteReference w:id="1"/>
      </w:r>
      <w:r w:rsidRPr="00595F06">
        <w:t>;</w:t>
      </w:r>
    </w:p>
    <w:p w14:paraId="679831DB" w14:textId="77777777" w:rsidR="008616EA" w:rsidRPr="000A75EB" w:rsidRDefault="005E113D" w:rsidP="008616EA">
      <w:pPr>
        <w:pStyle w:val="NormalHanging12a"/>
      </w:pPr>
      <w:r>
        <w:t>H</w:t>
      </w:r>
      <w:r w:rsidR="008616EA" w:rsidRPr="000A75EB">
        <w:t>.</w:t>
      </w:r>
      <w:r w:rsidR="008616EA" w:rsidRPr="000A75EB">
        <w:tab/>
        <w:t xml:space="preserve">der henviser til, at retten til at indgive andragender til Parlamentet for EU-borgere udgør en grundlæggende rettighed, som giver både borgere og indbyggere en åben, demokratisk og gennemsigtig måde, hvorpå de kan henvende sig direkte til deres valgte repræsentanter; der henviser til, at dette vigtige redskab sætter borgerne i stand til aktivt og effektivt at deltage i Unionens liv; der henviser til, at EU-borgerne via andragender kan klage over fejl i gennemførelsen af EU-retten og bidrage til at afsløre overtrædelser </w:t>
      </w:r>
      <w:r w:rsidR="008616EA" w:rsidRPr="000A75EB">
        <w:lastRenderedPageBreak/>
        <w:t>af den;</w:t>
      </w:r>
    </w:p>
    <w:p w14:paraId="54BD9445" w14:textId="77777777" w:rsidR="008616EA" w:rsidRPr="000A75EB" w:rsidRDefault="005E113D" w:rsidP="008616EA">
      <w:pPr>
        <w:pStyle w:val="NormalHanging12a"/>
      </w:pPr>
      <w:r>
        <w:t>I</w:t>
      </w:r>
      <w:r w:rsidR="008616EA" w:rsidRPr="000A75EB">
        <w:t>.</w:t>
      </w:r>
      <w:r w:rsidR="008616EA" w:rsidRPr="000A75EB">
        <w:tab/>
        <w:t xml:space="preserve">der henviser til, at Europa-Parlamentet er den eneste EU-institution, der vælges direkte af EU's borgere; der henviser til, at retten til at indgive andragender til Europa-Parlamentet er en af de grundlæggende rettigheder for EU-borgere og -indbyggere, og at den giver dem mulighed for at henvende sig direkte til deres valgte repræsentanter; </w:t>
      </w:r>
      <w:r w:rsidR="00595F06" w:rsidRPr="00595F06">
        <w:t xml:space="preserve">der henviser til, at mange personer med handicap mangler lige adgang til information og kommunikation på grund af den begrænsede tilgængelighed af tilgængelige formater, og grundet den omstændighed, at nationale tegnsprog ikke er anerkendt som en del af EU's </w:t>
      </w:r>
      <w:proofErr w:type="spellStart"/>
      <w:r w:rsidR="00595F06" w:rsidRPr="00595F06">
        <w:t>flersprogethed</w:t>
      </w:r>
      <w:proofErr w:type="spellEnd"/>
      <w:r w:rsidR="00595F06" w:rsidRPr="00595F06">
        <w:t xml:space="preserve">; </w:t>
      </w:r>
      <w:r w:rsidR="008616EA" w:rsidRPr="000A75EB">
        <w:t xml:space="preserve">der henviser til, at Parlamentet længe har været forløber i udviklingen af processen for andragender internationalt og har den mest åbne, demokratiske og gennemsigtige proces for andragender i Europa, hvilket giver </w:t>
      </w:r>
      <w:proofErr w:type="spellStart"/>
      <w:r w:rsidR="008616EA" w:rsidRPr="000A75EB">
        <w:t>andragerne</w:t>
      </w:r>
      <w:proofErr w:type="spellEnd"/>
      <w:r w:rsidR="008616EA" w:rsidRPr="000A75EB">
        <w:t xml:space="preserve"> mulighed for aktivt og effektivt at tage del i dets virksomhed, og der henviser til, at borgerne med hensyn til udøvelsen af retten til at indgive andragender forventer, at EU-institutionen samarbejder med Kommissionen og medlemsstaternes myndigheder og leverer en merværdi i forbindelse med løsningen af deres problemer;</w:t>
      </w:r>
    </w:p>
    <w:p w14:paraId="07EE029F" w14:textId="77777777" w:rsidR="008616EA" w:rsidRPr="000A75EB" w:rsidRDefault="005E113D" w:rsidP="008616EA">
      <w:pPr>
        <w:pStyle w:val="NormalHanging12a"/>
      </w:pPr>
      <w:r>
        <w:t>J</w:t>
      </w:r>
      <w:r w:rsidR="008616EA" w:rsidRPr="000A75EB">
        <w:t>.</w:t>
      </w:r>
      <w:r w:rsidR="008616EA" w:rsidRPr="000A75EB">
        <w:tab/>
        <w:t xml:space="preserve">der henviser til, at de oplysninger, som </w:t>
      </w:r>
      <w:proofErr w:type="spellStart"/>
      <w:r w:rsidR="008616EA" w:rsidRPr="000A75EB">
        <w:t>andragerne</w:t>
      </w:r>
      <w:proofErr w:type="spellEnd"/>
      <w:r w:rsidR="008616EA" w:rsidRPr="000A75EB">
        <w:t xml:space="preserve"> har meddelt i deres andragender og på udvalgsmøder, sammen med Kommissionens vurderinger og svarene fra medlemsstaterne og andre organer også giver værdifuldt input til arbejdet i andre af Parlamentets udvalg, eftersom andragender, der opfylder betingelserne for behandling, fremsendes til det relevante udvalg til udtalelse eller til orientering; der henviser til, at andragender derfor også kan spille en rolle i lovgivningsprocessen ved at levere konkret feedback om virkningen af EU's politikker og gøre det muligt med politikkerne at adressere nye behov;</w:t>
      </w:r>
    </w:p>
    <w:p w14:paraId="50E74249" w14:textId="77777777" w:rsidR="008616EA" w:rsidRPr="000A75EB" w:rsidRDefault="005E113D" w:rsidP="008616EA">
      <w:pPr>
        <w:pStyle w:val="NormalHanging12a"/>
      </w:pPr>
      <w:r>
        <w:t>K</w:t>
      </w:r>
      <w:r w:rsidR="008616EA" w:rsidRPr="000A75EB">
        <w:t>.</w:t>
      </w:r>
      <w:r w:rsidR="008616EA" w:rsidRPr="000A75EB">
        <w:tab/>
        <w:t xml:space="preserve">der henviser til, at Udvalget for Andragenders arbejde er baseret på input fra </w:t>
      </w:r>
      <w:proofErr w:type="spellStart"/>
      <w:r w:rsidR="008616EA" w:rsidRPr="000A75EB">
        <w:t>andragerne</w:t>
      </w:r>
      <w:proofErr w:type="spellEnd"/>
      <w:r w:rsidR="008616EA" w:rsidRPr="000A75EB">
        <w:t xml:space="preserve">, og at Parlamentet herved kan styrke sin lydhørhed over for klager og bekymringer vedrørende overholdelsen af grundlæggende EU-rettigheder og efterlevelsen af EU-retten i medlemsstaterne; der henviser til, at andragender derfor er en nyttig kilde til oplysninger om tilfælde, hvor EU-retten anvendes fejlagtigt eller overtrædes, og giver mulighed for at vurdere, hvordan EU-retten anvendes, og hvordan den indvirker på EU-borgeres og -indbyggeres rettigheder; der henviser til, at grundlæggende rettigheder i 2023 var blandt de tre vigtigste spørgsmål for alle </w:t>
      </w:r>
      <w:proofErr w:type="spellStart"/>
      <w:r w:rsidR="008616EA" w:rsidRPr="000A75EB">
        <w:t>andragere</w:t>
      </w:r>
      <w:proofErr w:type="spellEnd"/>
      <w:r w:rsidR="008616EA" w:rsidRPr="000A75EB">
        <w:t>; der henviser til, at Udvalget for Andragender i forbindelse med den strukturerede dialog med Kommissionen opfordrede denne til at bekæmpe forskelsbehandling i Den Europæiske Union, herunder gennem initiativer til at garantere lige rettigheder og styrke foranstaltningerne mod alle former for forskelsbehandling, herunder på grund af køn, race eller etnisk oprindelse, handicap, alder, religion eller tro og seksuel orientering;</w:t>
      </w:r>
    </w:p>
    <w:p w14:paraId="52E6D105" w14:textId="77777777" w:rsidR="008616EA" w:rsidRPr="000A75EB" w:rsidRDefault="005E113D" w:rsidP="008616EA">
      <w:pPr>
        <w:pStyle w:val="NormalHanging12a"/>
        <w:rPr>
          <w:b/>
          <w:i/>
        </w:rPr>
      </w:pPr>
      <w:r>
        <w:t>L</w:t>
      </w:r>
      <w:r w:rsidR="008616EA" w:rsidRPr="000A75EB">
        <w:t>.</w:t>
      </w:r>
      <w:r w:rsidR="008616EA" w:rsidRPr="000A75EB">
        <w:tab/>
        <w:t>der henviser til, at Kommissionen i henhold til artikel 17 i TEU bør drage omsorg for den korrekte gennemførelse af traktaterne og af de foranstaltninger, der vedtages på grundlag heraf; der henviser til, at Kommissionens strategiske tilgang til håndtering af spørgsmål, der tages op i andragender, skal være i fuld overensstemmelse med traktaterne for at sikre en så effektiv opfølgning på andragenderne som muligt med sigte på at sikre fuld og rettidig beskyttelse af borgernes rettigheder i henhold til EU-retten;</w:t>
      </w:r>
    </w:p>
    <w:p w14:paraId="7BED993C" w14:textId="77777777" w:rsidR="008616EA" w:rsidRPr="000A75EB" w:rsidRDefault="005E113D" w:rsidP="008616EA">
      <w:pPr>
        <w:pStyle w:val="NormalHanging12a"/>
      </w:pPr>
      <w:r>
        <w:t>M</w:t>
      </w:r>
      <w:r w:rsidR="008616EA" w:rsidRPr="000A75EB">
        <w:t>.</w:t>
      </w:r>
      <w:r w:rsidR="008616EA" w:rsidRPr="000A75EB">
        <w:tab/>
        <w:t xml:space="preserve">der henviser til, at det enkelte andragende skal undersøges og behandles omhyggeligt, effektivt, upartisk, retfærdigt og gennemsigtigt i overensstemmelse med de standarder, som er fastsat i artikel 41 i Den Europæiske Unions charter om grundlæggende rettigheder med hensyn til retten til god forvaltning; der henviser til, at alle </w:t>
      </w:r>
      <w:proofErr w:type="spellStart"/>
      <w:r w:rsidR="008616EA" w:rsidRPr="000A75EB">
        <w:t>andragere</w:t>
      </w:r>
      <w:proofErr w:type="spellEnd"/>
      <w:r w:rsidR="008616EA" w:rsidRPr="000A75EB">
        <w:t xml:space="preserve"> </w:t>
      </w:r>
      <w:r w:rsidR="008616EA" w:rsidRPr="000A75EB">
        <w:lastRenderedPageBreak/>
        <w:t>har ret til inden for en rimelig frist at modtage et svar med oplysninger om udvalgets afgørelse om, hvorvidt andragendet opfylder betingelserne for behandling, og om de opfølgende foranstaltninger på deres eget sprog eller på det sprog, der anvendes i andragendet; der henviser til, at rettidige og effektive svar fra Kommissionen og medlemsstaterne på de spørgsmål, der rejses i andragenderne, sammen med løsninger til klageadgang, hvis det er relevant, bidrager til at styrke den tillid, som borgerne nærer til Unionen og dens politikker;</w:t>
      </w:r>
    </w:p>
    <w:p w14:paraId="651C8CA1" w14:textId="77777777" w:rsidR="008616EA" w:rsidRPr="000A75EB" w:rsidRDefault="005E113D" w:rsidP="008616EA">
      <w:pPr>
        <w:pStyle w:val="NormalHanging12a"/>
      </w:pPr>
      <w:r>
        <w:t>N</w:t>
      </w:r>
      <w:r w:rsidR="008616EA" w:rsidRPr="000A75EB">
        <w:t>.</w:t>
      </w:r>
      <w:r w:rsidR="008616EA" w:rsidRPr="000A75EB">
        <w:tab/>
        <w:t xml:space="preserve">der henviser til, at Udvalget for Andragender tillægger det den allerstørste vigtighed at behandle andragender og drøfte dem offentligt på sine møder; der henviser til, at </w:t>
      </w:r>
      <w:proofErr w:type="spellStart"/>
      <w:r w:rsidR="008616EA" w:rsidRPr="000A75EB">
        <w:t>andragerne</w:t>
      </w:r>
      <w:proofErr w:type="spellEnd"/>
      <w:r w:rsidR="008616EA" w:rsidRPr="000A75EB">
        <w:t xml:space="preserve"> har ret til selv at forelægge deres andragender og hyppigt deltager i drøftelserne, hvorved de bidrager aktivt til udvalgets arbejde; der henviser til, at Udvalget for Andragender i 2023 afholdt 10 udvalgsmøder, hvor 191 andragender blev drøftet, og 114 </w:t>
      </w:r>
      <w:proofErr w:type="spellStart"/>
      <w:r w:rsidR="008616EA" w:rsidRPr="000A75EB">
        <w:t>andragere</w:t>
      </w:r>
      <w:proofErr w:type="spellEnd"/>
      <w:r w:rsidR="008616EA" w:rsidRPr="000A75EB">
        <w:t xml:space="preserve"> var til stede og deltog aktivt ved at tage ordet;</w:t>
      </w:r>
    </w:p>
    <w:p w14:paraId="134BE3D1" w14:textId="77777777" w:rsidR="008616EA" w:rsidRPr="000A75EB" w:rsidRDefault="005E113D" w:rsidP="008616EA">
      <w:pPr>
        <w:pStyle w:val="NormalHanging12a"/>
      </w:pPr>
      <w:r>
        <w:t>O</w:t>
      </w:r>
      <w:r w:rsidR="008616EA" w:rsidRPr="000A75EB">
        <w:t>.</w:t>
      </w:r>
      <w:r w:rsidR="008616EA" w:rsidRPr="000A75EB">
        <w:tab/>
        <w:t xml:space="preserve">der henviser til, at de bekymringer, som hyppigst blev rejst i de </w:t>
      </w:r>
      <w:proofErr w:type="gramStart"/>
      <w:r w:rsidR="008616EA" w:rsidRPr="000A75EB">
        <w:t>andragender</w:t>
      </w:r>
      <w:proofErr w:type="gramEnd"/>
      <w:r w:rsidR="008616EA" w:rsidRPr="000A75EB">
        <w:t>, der blev indgivet i 2023, drejede sig om miljøet, grundlæggende rettigheder, personlige anliggender og retlige anliggender;</w:t>
      </w:r>
    </w:p>
    <w:p w14:paraId="616F8EE8" w14:textId="77777777" w:rsidR="008616EA" w:rsidRPr="000A75EB" w:rsidRDefault="005E113D" w:rsidP="008616EA">
      <w:pPr>
        <w:pStyle w:val="NormalHanging12a"/>
      </w:pPr>
      <w:r>
        <w:t>P</w:t>
      </w:r>
      <w:r w:rsidR="008616EA" w:rsidRPr="000A75EB">
        <w:t>.</w:t>
      </w:r>
      <w:r w:rsidR="008616EA" w:rsidRPr="000A75EB">
        <w:rPr>
          <w:color w:val="FF0000"/>
        </w:rPr>
        <w:t xml:space="preserve"> </w:t>
      </w:r>
      <w:r w:rsidR="008616EA" w:rsidRPr="000A75EB">
        <w:rPr>
          <w:color w:val="FF0000"/>
        </w:rPr>
        <w:tab/>
      </w:r>
      <w:r w:rsidR="008616EA" w:rsidRPr="000A75EB">
        <w:t xml:space="preserve">der henviser til, at Udvalget for Andragender ved vedtagelsen af sin mødedagsorden tager hensyn til </w:t>
      </w:r>
      <w:proofErr w:type="gramStart"/>
      <w:r w:rsidR="008616EA" w:rsidRPr="000A75EB">
        <w:t>andragender</w:t>
      </w:r>
      <w:proofErr w:type="gramEnd"/>
      <w:r w:rsidR="008616EA" w:rsidRPr="000A75EB">
        <w:t xml:space="preserve"> og emner med en høj grad af relevans for drøftelser på EU-plan og til behovet for at fastholde en afbalanceret geografisk dækning af emner i overensstemmelse med de andragender, der modtages;</w:t>
      </w:r>
    </w:p>
    <w:p w14:paraId="0FCA4D26" w14:textId="77777777" w:rsidR="008616EA" w:rsidRPr="000A75EB" w:rsidRDefault="005E113D" w:rsidP="008616EA">
      <w:pPr>
        <w:pStyle w:val="NormalHanging12a"/>
      </w:pPr>
      <w:r>
        <w:t>Q</w:t>
      </w:r>
      <w:r w:rsidR="008616EA" w:rsidRPr="000A75EB">
        <w:t>.</w:t>
      </w:r>
      <w:r w:rsidR="008616EA" w:rsidRPr="000A75EB">
        <w:tab/>
        <w:t xml:space="preserve">der henviser til, at 82,4 % af de </w:t>
      </w:r>
      <w:proofErr w:type="gramStart"/>
      <w:r w:rsidR="008616EA" w:rsidRPr="000A75EB">
        <w:t>andragender</w:t>
      </w:r>
      <w:proofErr w:type="gramEnd"/>
      <w:r w:rsidR="008616EA" w:rsidRPr="000A75EB">
        <w:t>, der blev modtaget i 2023, blev indgivet via Parlamentets webportal for andragender, hvilket udgør en mindre stigning sammenlignet med 2022 (79,05 %), hvilket bekræfter portalens status som den langt hyppigst benyttede kanal for borgernes indgivelse af andragender til Parlamentet;</w:t>
      </w:r>
    </w:p>
    <w:p w14:paraId="5EFE6FBD" w14:textId="77777777" w:rsidR="008616EA" w:rsidRPr="000A75EB" w:rsidRDefault="005E113D" w:rsidP="008616EA">
      <w:pPr>
        <w:pStyle w:val="NormalHanging12a"/>
      </w:pPr>
      <w:r>
        <w:t>R</w:t>
      </w:r>
      <w:r w:rsidR="008616EA" w:rsidRPr="000A75EB">
        <w:t>.</w:t>
      </w:r>
      <w:r w:rsidR="008616EA" w:rsidRPr="000A75EB">
        <w:tab/>
        <w:t xml:space="preserve">der henviser til, at webportalen for andragender i februar 2023 blev moderniseret og relanceret for at tilpasse den til de aktuelle forventninger og gøre det lettere for medlemsstaternes indbyggere at udøve deres ret til at indgive andragender til Parlamentet; der henviser til, at den opdaterede portal for andragender 2.0 er blevet integreret gnidningsløst i Parlamentets weboffentliggørelsesværktøj, hvorved det er blevet enklere og hurtigere at foretage indholdsopdateringer og nye funktioner (herunder syv "Quick Start Guides", der giver klare, trinvise anvisninger på indgivelse og sporing af og støtte til andragender); der henviser til, at en ny </w:t>
      </w:r>
      <w:proofErr w:type="spellStart"/>
      <w:r w:rsidR="008616EA" w:rsidRPr="000A75EB">
        <w:t>Elasticsearch</w:t>
      </w:r>
      <w:proofErr w:type="spellEnd"/>
      <w:r w:rsidR="008616EA" w:rsidRPr="000A75EB">
        <w:t>-drevet søgemaskine har forbedret brugeroplevelsen ved at levere mere nøjagtige resultater effektivt og har ført til prioriteringen af en virkelig borgercentreret tilgang på den nye portal; der henviser til, at alle andragender i løbet af 2023 blev forberedt og offentliggjort rettidigt få dage efter antagelsen til behandling, og at alle interne og eksterne støtteanmodninger vedrørende brugen af og indholdet på webportalen for andragender blev besvaret med succes, rettidigt og på alle sprog;</w:t>
      </w:r>
    </w:p>
    <w:p w14:paraId="621183B2" w14:textId="77777777" w:rsidR="008616EA" w:rsidRPr="000A75EB" w:rsidRDefault="005E113D" w:rsidP="008616EA">
      <w:pPr>
        <w:pStyle w:val="NormalHanging12a"/>
      </w:pPr>
      <w:r>
        <w:t>S</w:t>
      </w:r>
      <w:r w:rsidR="008616EA" w:rsidRPr="000A75EB">
        <w:t>.</w:t>
      </w:r>
      <w:r w:rsidR="008616EA" w:rsidRPr="000A75EB">
        <w:tab/>
        <w:t xml:space="preserve">der henviser til, at Udvalget for Andragender (PETI) i 2023 arrangerede fire undersøgelsesrejser, i forbindelse med hvilke medlemmerne rejste til Rumænien for at undersøge forvaltningen og beskyttelsen af bestanden af brune bjørne og ulovlig skovhugst, til Donegal (Irland) for at undersøge brugen af defekte </w:t>
      </w:r>
      <w:proofErr w:type="spellStart"/>
      <w:r w:rsidR="008616EA" w:rsidRPr="000A75EB">
        <w:t>mica</w:t>
      </w:r>
      <w:proofErr w:type="spellEnd"/>
      <w:r w:rsidR="008616EA" w:rsidRPr="000A75EB">
        <w:t xml:space="preserve">-blokke i byggeriet i Irland og til Catalonien (Spanien) for på stedet at vurdere sprogfordybelsesmodellen i Catalonien. der henviser til, at medlemmer af PETI også deltog i en fælles delegation fra Udvalget om Beskæftigelse og Sociale Anliggender, Udvalget om Borgernes Rettigheder og Retlige og Indre Anliggender og PETI, der </w:t>
      </w:r>
      <w:r w:rsidR="008616EA" w:rsidRPr="000A75EB">
        <w:lastRenderedPageBreak/>
        <w:t>rejste til New York for at deltage i den 16. samling i Konferencen af Deltagende Stater under Konventionen om Rettigheder for Personer med Handicap (CRPD COSP);</w:t>
      </w:r>
    </w:p>
    <w:p w14:paraId="54F61BEE" w14:textId="77777777" w:rsidR="008616EA" w:rsidRPr="000A75EB" w:rsidRDefault="005E113D" w:rsidP="008616EA">
      <w:pPr>
        <w:pStyle w:val="NormalHanging12a"/>
      </w:pPr>
      <w:r>
        <w:t>T</w:t>
      </w:r>
      <w:r w:rsidR="008616EA" w:rsidRPr="000A75EB">
        <w:t>.</w:t>
      </w:r>
      <w:r w:rsidR="008616EA" w:rsidRPr="000A75EB">
        <w:tab/>
        <w:t xml:space="preserve">der henviser til, at Udvalget for Andragender i henhold til Europa-Parlamentets forretningsorden også er ansvarligt for forbindelserne med Den Europæiske Ombudsmand, som undersøger klager over fejl eller forsømmelser i EU's institutioner og organer; der henviser til, at den tidligere Europæiske Ombudsmand, Emily </w:t>
      </w:r>
      <w:proofErr w:type="spellStart"/>
      <w:r w:rsidR="008616EA" w:rsidRPr="000A75EB">
        <w:t>O'Reilly</w:t>
      </w:r>
      <w:proofErr w:type="spellEnd"/>
      <w:r w:rsidR="008616EA" w:rsidRPr="000A75EB">
        <w:t>, forelagde sin årsberetning for 2022 for Udvalget for Andragender på dettes møde den 27. juni 2023;</w:t>
      </w:r>
    </w:p>
    <w:p w14:paraId="009A5241" w14:textId="77777777" w:rsidR="008616EA" w:rsidRPr="000A75EB" w:rsidRDefault="005E113D" w:rsidP="008616EA">
      <w:pPr>
        <w:pStyle w:val="NormalHanging12a"/>
      </w:pPr>
      <w:r>
        <w:t>U</w:t>
      </w:r>
      <w:r w:rsidR="008616EA" w:rsidRPr="000A75EB">
        <w:t>.</w:t>
      </w:r>
      <w:r w:rsidR="008616EA" w:rsidRPr="000A75EB">
        <w:tab/>
        <w:t>der henviser til, at Udvalget for Andragender er medlem af det europæiske netværk af ombudsmænd, som også omfatter Den Europæiske Ombudsmand samt nationale og regionale ombudsmænd og tilsvarende organer i medlemsstaterne, kandidatlandene og andre lande i Det Europæiske Økonomiske Samarbejdsområde, og som har til formål at fremme udveksling af oplysninger om EU-ret og EU-politik og dele bedste praksis;</w:t>
      </w:r>
    </w:p>
    <w:p w14:paraId="3B524475" w14:textId="77777777" w:rsidR="008616EA" w:rsidRPr="000A75EB" w:rsidRDefault="008616EA" w:rsidP="008616EA">
      <w:pPr>
        <w:pStyle w:val="NormalHanging12a"/>
      </w:pPr>
      <w:r w:rsidRPr="000A75EB">
        <w:t>1.</w:t>
      </w:r>
      <w:r w:rsidRPr="000A75EB">
        <w:tab/>
        <w:t xml:space="preserve">understreger Udvalget for Andragenders afgørende rolle i at beskytte og fremme rettighederne for EU-borgere og personer med bopæl i EU ved at sikre, at </w:t>
      </w:r>
      <w:proofErr w:type="spellStart"/>
      <w:r w:rsidRPr="000A75EB">
        <w:t>andragernes</w:t>
      </w:r>
      <w:proofErr w:type="spellEnd"/>
      <w:r w:rsidRPr="000A75EB">
        <w:t xml:space="preserve"> bekymringer og klager behandles rettidigt og effektivt, og at </w:t>
      </w:r>
      <w:proofErr w:type="spellStart"/>
      <w:r w:rsidRPr="000A75EB">
        <w:t>andragerne</w:t>
      </w:r>
      <w:proofErr w:type="spellEnd"/>
      <w:r w:rsidRPr="000A75EB">
        <w:t xml:space="preserve"> oplyses om de foranstaltninger, som træffes, og om fremskridt med hensyn til deres </w:t>
      </w:r>
      <w:proofErr w:type="gramStart"/>
      <w:r w:rsidRPr="000A75EB">
        <w:t>andragender</w:t>
      </w:r>
      <w:proofErr w:type="gramEnd"/>
      <w:r w:rsidRPr="000A75EB">
        <w:t>; minder om, at alle andragender behandles gennem en åben, demokratisk og gennemsigtig procedure for andragender;</w:t>
      </w:r>
    </w:p>
    <w:p w14:paraId="5E1902DC" w14:textId="77777777" w:rsidR="00AF2D20" w:rsidRDefault="00AF2D20" w:rsidP="008616EA">
      <w:pPr>
        <w:pStyle w:val="NormalHanging12a"/>
      </w:pPr>
      <w:r>
        <w:t>2.</w:t>
      </w:r>
      <w:r>
        <w:tab/>
      </w:r>
      <w:r w:rsidRPr="00AF2D20">
        <w:t xml:space="preserve">roser det væsentlige arbejde, som Udvalget for Andragender har udført i forbindelse med andragender vedrørende </w:t>
      </w:r>
      <w:proofErr w:type="spellStart"/>
      <w:r w:rsidRPr="00AF2D20">
        <w:t>Akamas</w:t>
      </w:r>
      <w:proofErr w:type="spellEnd"/>
      <w:r w:rsidRPr="00AF2D20">
        <w:t>-halvøen, som er det område i Cypern, der rummer den rigeste biodiversitet, men hvor der gennem årtier har været gentagne systemiske overtrædelser af habitatdirektivet</w:t>
      </w:r>
      <w:r>
        <w:rPr>
          <w:rStyle w:val="FootnoteReference"/>
        </w:rPr>
        <w:footnoteReference w:id="2"/>
      </w:r>
      <w:r w:rsidRPr="00AF2D20">
        <w:t xml:space="preserve"> og fugledirektivet</w:t>
      </w:r>
      <w:r>
        <w:rPr>
          <w:rStyle w:val="FootnoteReference"/>
        </w:rPr>
        <w:footnoteReference w:id="3"/>
      </w:r>
      <w:r w:rsidRPr="00AF2D20">
        <w:t>, i en overordnet kontekst, hvor der mangler effektive og juridisk bindende foranstaltninger til beskyttelse af dette område, og i lyset af de cypriotiske kompetente myndigheders seneste fremlagt planer, som vil få ødelæggende konsekvenser for områdets meget skrøbelige naturlige økosystemer, og som er i strid med EU</w:t>
      </w:r>
      <w:r w:rsidR="00360BFC">
        <w:t>-</w:t>
      </w:r>
      <w:r w:rsidRPr="00AF2D20">
        <w:t>miljølovgivning</w:t>
      </w:r>
      <w:r w:rsidR="00360BFC">
        <w:t>en</w:t>
      </w:r>
      <w:r w:rsidRPr="00AF2D20">
        <w:t xml:space="preserve">; understreger, at Kommissionen, efter Udvalget for Andragenders arbejde med dette spørgsmål, den 13. marts 2024 besluttede at indbringe Cypern for EU-Domstolen som følge af de cypriotiske myndigheders manglende overholdelse af habitatdirektivet; beklager, at Kommissionen i den tid, der er gået siden denne afgørelse – over </w:t>
      </w:r>
      <w:r w:rsidR="00360BFC">
        <w:t>é</w:t>
      </w:r>
      <w:r w:rsidRPr="00AF2D20">
        <w:t xml:space="preserve">t år – ikke har anlagt noget søgsmål for EU-Domstolen og dermed ikke officielt har indledt </w:t>
      </w:r>
      <w:r w:rsidR="00360BFC">
        <w:t xml:space="preserve">en </w:t>
      </w:r>
      <w:r w:rsidRPr="00AF2D20">
        <w:t>retssag;</w:t>
      </w:r>
    </w:p>
    <w:p w14:paraId="008FACBC" w14:textId="77777777" w:rsidR="00AF2D20" w:rsidRDefault="00AF2D20" w:rsidP="008616EA">
      <w:pPr>
        <w:pStyle w:val="NormalHanging12a"/>
      </w:pPr>
      <w:r>
        <w:t>3.</w:t>
      </w:r>
      <w:r>
        <w:tab/>
      </w:r>
      <w:r w:rsidRPr="00AF2D20">
        <w:t xml:space="preserve">understreger det vigtige arbejde, som Udvalget for Andragender har udført med hensyn til beskyttelse af arbejdstagerne mod forskelsbehandling og misbrug af tidsbegrænsede kontrakter i den offentlige sektor i Italien; glæder sig over, at Kommissionen tog behørigt hensyn til de meget solide juridiske dokumenter fra </w:t>
      </w:r>
      <w:proofErr w:type="spellStart"/>
      <w:r w:rsidRPr="00AF2D20">
        <w:t>andragerne</w:t>
      </w:r>
      <w:proofErr w:type="spellEnd"/>
      <w:r w:rsidRPr="00AF2D20">
        <w:t xml:space="preserve">, som blev nøje vurderet på forskellige møder i Udvalget for Andragender, da den besluttede at indbringe Italien for EU-Domstolen for </w:t>
      </w:r>
      <w:r w:rsidR="00360BFC" w:rsidRPr="00AF2D20">
        <w:t xml:space="preserve">i strid med Rådets direktiv 1999/70/EF </w:t>
      </w:r>
      <w:r w:rsidRPr="00AF2D20">
        <w:t>ikke at have bragt misbruget af tidsbegrænsede kontrakter og diskriminerende ansættelsesvilkår til ophør;</w:t>
      </w:r>
    </w:p>
    <w:p w14:paraId="22E2509C" w14:textId="6CA1C5EC" w:rsidR="000933C8" w:rsidRDefault="000933C8" w:rsidP="008616EA">
      <w:pPr>
        <w:pStyle w:val="NormalHanging12a"/>
      </w:pPr>
      <w:r>
        <w:lastRenderedPageBreak/>
        <w:t>4.</w:t>
      </w:r>
      <w:r>
        <w:tab/>
      </w:r>
      <w:r w:rsidRPr="000933C8">
        <w:t xml:space="preserve">roser PETI-udvalget for at behandle andragende 1168/2023, indgivet af </w:t>
      </w:r>
      <w:proofErr w:type="spellStart"/>
      <w:r w:rsidRPr="000933C8">
        <w:t>Mihai</w:t>
      </w:r>
      <w:proofErr w:type="spellEnd"/>
      <w:r w:rsidRPr="000933C8">
        <w:t xml:space="preserve"> </w:t>
      </w:r>
      <w:proofErr w:type="spellStart"/>
      <w:r w:rsidRPr="000933C8">
        <w:t>Igna</w:t>
      </w:r>
      <w:proofErr w:type="spellEnd"/>
      <w:r w:rsidRPr="000933C8">
        <w:t xml:space="preserve"> på vegne af foreningen "Sammen bringer vi velstand", hvori der rejses krav om tilbagelevering af rumænske nationale skatte og historiske arkiver, som i øjeblikket befinder sig i Rusland; understreger den dybtgående historiske betydning af denne debat for alle medlemsstater, der historisk set er blevet påvirket af Ruslands plyndringer, navnlig i forbindelse med den igangværende krig i Ukraine, da den fremhæver de bredere udfordringer i forbindelse med kulturel bevarelse og beskyttelse af den nationale kulturarv i tider med geopolitiske konflikter; fremhæver, at PETI-udvalgets beskæftigelse med dette spørgsmål viser dets engagement i at værne om EU-borgeres og medlemsstaternes rettigheder og beskytte Rumæniens historiske arv og støtte dets retmæssige krav på den internationale scene; minder om den efterfølgende plenarbeslutning om tilbagelevering af rumænske nationale skatte, som Rusland</w:t>
      </w:r>
      <w:r>
        <w:t xml:space="preserve"> uretmæssigt har tilegnet sig</w:t>
      </w:r>
      <w:r>
        <w:rPr>
          <w:rStyle w:val="FootnoteReference"/>
        </w:rPr>
        <w:footnoteReference w:id="4"/>
      </w:r>
      <w:r>
        <w:t>;</w:t>
      </w:r>
    </w:p>
    <w:p w14:paraId="5F3B3FDF" w14:textId="77777777" w:rsidR="008616EA" w:rsidRPr="000A75EB" w:rsidRDefault="00553C88" w:rsidP="008616EA">
      <w:pPr>
        <w:pStyle w:val="NormalHanging12a"/>
      </w:pPr>
      <w:r>
        <w:t>5</w:t>
      </w:r>
      <w:r w:rsidR="008616EA" w:rsidRPr="000A75EB">
        <w:t>.</w:t>
      </w:r>
      <w:r w:rsidR="008616EA" w:rsidRPr="000A75EB">
        <w:tab/>
        <w:t xml:space="preserve">gentager, at en løbende offentlig debat om EU's virksomhedsområde er vigtig for at sikre, at borgerne orienteres ordentligt om omfanget af EU's kompetencer og de forskellige niveauer af beslutningstagning; opfordrer til en EU-dækkende og styrket struktureret oplysnings- og kommunikationskampagne </w:t>
      </w:r>
      <w:r w:rsidR="004E1509" w:rsidRPr="004E1509">
        <w:t>uden yderligere omkostninger (dvs. ved at anvende de nuværende ressourcer i Europa-Parlamentets forbindelseskontorer)</w:t>
      </w:r>
      <w:r w:rsidR="004E1509">
        <w:t xml:space="preserve"> </w:t>
      </w:r>
      <w:r w:rsidR="008616EA" w:rsidRPr="000A75EB">
        <w:t xml:space="preserve">på alle officielle EU-sprog i samarbejde med nationale og regionale ombudsmænd, NGO'er og uddannelsesinstitutioner for at øge bevidstheden hos borgere fra alle medlemsstater om retten til at indgive andragender, og som især er rettet mod landdistrikter og ugunstigt stillede samfund, marginaliserede grupper og fjerntliggende øer og regioner; foreslår en øget opsøgende indsats </w:t>
      </w:r>
      <w:r w:rsidR="004E1509" w:rsidRPr="004E1509">
        <w:t>uden yderligere omkostninger</w:t>
      </w:r>
      <w:r w:rsidR="004E1509">
        <w:t xml:space="preserve"> </w:t>
      </w:r>
      <w:r w:rsidR="008616EA" w:rsidRPr="000A75EB">
        <w:t>ved hjælp af sociale medier og arrangementer i lokalsamfundene</w:t>
      </w:r>
      <w:r w:rsidR="00C1754E">
        <w:t>;</w:t>
      </w:r>
      <w:r w:rsidR="008616EA" w:rsidRPr="000A75EB">
        <w:t xml:space="preserve"> understreger behovet for bredere </w:t>
      </w:r>
      <w:r w:rsidR="004E1509" w:rsidRPr="004E1509">
        <w:t xml:space="preserve">oplysnings- og bevidstgørelseskampagner </w:t>
      </w:r>
      <w:r w:rsidR="008616EA" w:rsidRPr="000A75EB">
        <w:t>gennem aktiv inddragelse af kommunikationstjenester med henblik på at bidrage til at øge borgernes kendskab til deres ret til at indgive andragender og til omfanget af EU's ansvarsområder og Udvalget for Andragenders beføjelser med henblik på at reducere antallet af andragender, som ikke opfylder betingelserne for behandling, og styrke borgernes inddragelse i beslutningsprocessen; anbefaler at forbedre den digitale tilgængelighed til portalen for andragender, herunder gennem tilpasninger til personer med handicap og oversættelser af bedre kvalitet til alle officielle EU-sprog; anbefaler at undersøge de eksisterende IT-værktøjers potentiale med henblik på at øge støtten til borgerne på portalen, herunder ved at henvise til relevante klagemekanismer;</w:t>
      </w:r>
    </w:p>
    <w:p w14:paraId="7F0E3320" w14:textId="77777777" w:rsidR="008616EA" w:rsidRPr="000A75EB" w:rsidRDefault="00553C88" w:rsidP="008616EA">
      <w:pPr>
        <w:pStyle w:val="NormalHanging12a"/>
      </w:pPr>
      <w:r>
        <w:t>6</w:t>
      </w:r>
      <w:r w:rsidR="008616EA" w:rsidRPr="000A75EB">
        <w:t>.</w:t>
      </w:r>
      <w:r w:rsidR="008616EA" w:rsidRPr="000A75EB">
        <w:tab/>
        <w:t>minder om den europæiske dimension af Udvalget for Andragender, som borgere fra alle 27 medlemsstater kan henvende sig til med spørgsmål, der ligger inden for EU-traktaternes og EU-rettens anvendelsesområde; mener, at udvalget har et særligt ansvar for at værne om denne europæiske dimension og vise borgerne merværdien af den europæiske enhed og integration;</w:t>
      </w:r>
      <w:r w:rsidR="000871C6">
        <w:t xml:space="preserve"> </w:t>
      </w:r>
      <w:r w:rsidR="000871C6" w:rsidRPr="000871C6">
        <w:t>understreger, at den europæiske dimension skal være baseret på solidaritet, fremme af sociale og økonomiske rettigheder, beskyttelse af mindretalssprog og -kulturer og aktiv bekæmpelse af klimaændringer;</w:t>
      </w:r>
    </w:p>
    <w:p w14:paraId="5ECC445D" w14:textId="77777777" w:rsidR="008616EA" w:rsidRPr="000A75EB" w:rsidRDefault="00553C88" w:rsidP="008616EA">
      <w:pPr>
        <w:pStyle w:val="NormalHanging12a"/>
      </w:pPr>
      <w:r>
        <w:t>7</w:t>
      </w:r>
      <w:r w:rsidR="008616EA" w:rsidRPr="000A75EB">
        <w:t>.</w:t>
      </w:r>
      <w:r w:rsidR="008616EA" w:rsidRPr="000A75EB">
        <w:tab/>
        <w:t xml:space="preserve">påpeger, at andragender udgør en unik mulighed for Europa-Parlamentet og de øvrige EU-institutioner til at kommunikere direkte med EU-borgerne og føre en løbende dialog med dem, især i tilfælde hvor de er påvirket af en forkert anvendelse af eller brud på EU-retten; understreger behovet for øget samarbejde mellem EU-institutionerne og de nationale, regionale og lokale myndigheder om undersøgelser vedrørende gennemførelsen og overholdelsen af EU-retten; mener, at et sådant samarbejde er </w:t>
      </w:r>
      <w:r w:rsidR="008616EA" w:rsidRPr="000A75EB">
        <w:lastRenderedPageBreak/>
        <w:t>afgørende for at behandle og afhjælpe borgernes bekymringer over anvendelsen af EU-retten og bidrager til at styrke EU's demokratiske legitimitet og ansvarlighed; opfordrer derfor til, at medlemsstaternes repræsentanter deltager i udvalgsmøder, og slår til lyd for rettidige og detaljerede svar på anmodninger om præcisering eller oplysninger, som Udvalget for Andragender sender til de nationale myndigheder;</w:t>
      </w:r>
      <w:r w:rsidR="000871C6">
        <w:t xml:space="preserve"> </w:t>
      </w:r>
      <w:r w:rsidR="000871C6" w:rsidRPr="000871C6">
        <w:t>noterer sig blandt de andragender, der blev modtaget i 2023, et stigende antal, som omhandler strukturelle forskelle, herunder hvad angår løn- og pensionsindkomst blandt befolkningsgrupper; opfordrer til systematisk analyse og håndtering af disse bekymringer gennem koordinerede tiltag med de relevante udvalg og Kommissionen; opfordrer endvidere til øget beskyttelse af og støtte til personer, der udsættes for misbrug eller udstødelse, og som oplever forhindringer med hensyn til at få adgang til passende støttemekanismer og retsmidler;</w:t>
      </w:r>
    </w:p>
    <w:p w14:paraId="5D6799CC" w14:textId="77777777" w:rsidR="008616EA" w:rsidRPr="000A75EB" w:rsidRDefault="00553C88" w:rsidP="008616EA">
      <w:pPr>
        <w:pStyle w:val="NormalHanging12a"/>
      </w:pPr>
      <w:r>
        <w:t>8</w:t>
      </w:r>
      <w:r w:rsidR="008616EA" w:rsidRPr="000A75EB">
        <w:t>.</w:t>
      </w:r>
      <w:r w:rsidR="008616EA" w:rsidRPr="000A75EB">
        <w:tab/>
        <w:t>minder om, at andragender udgør et væsentligt bidrag til Kommissionens udøvelse af sin rolle som traktaternes vogter ved at give borgerne en yderligere mulighed for at anmelde påståede overtrædelser af EU-retten; understreger, at konstruktivt samarbejde mellem Udvalget for Andragender og Kommissionen gennem rettidige og detaljerede svar fra Kommissionen, som er baseret på en grundig behandling af de spørgsmål, der rejses i andragenderne, er vigtigt for en succesrig behandling af andragenderne;</w:t>
      </w:r>
    </w:p>
    <w:p w14:paraId="6A84042B" w14:textId="77777777" w:rsidR="008616EA" w:rsidRPr="000A75EB" w:rsidRDefault="00553C88" w:rsidP="008616EA">
      <w:pPr>
        <w:pStyle w:val="NormalHanging12a"/>
      </w:pPr>
      <w:r>
        <w:t>9</w:t>
      </w:r>
      <w:r w:rsidR="008616EA" w:rsidRPr="000A75EB">
        <w:t>.</w:t>
      </w:r>
      <w:r w:rsidR="008616EA" w:rsidRPr="000A75EB">
        <w:tab/>
        <w:t>gentager sin opfordring til Kommissionen om at give juridiske præciseringer af de centrale kriterier, der ligger til grund for dens strategiske tilgang til håndhævelse af EU-retten, og om regelmæssigt at holde Udvalget for Andragender orienteret om udviklingen i traktatbrudsprocedurer og sikre, at Udvalget for Andragender får adgang til alle relevante dokumenter om EU Pilot- og traktatbrudsprocedurer og lovgivningsinitiativer, som er blevet indledt på grundlag af de modtagne andragender; er af den mening, at øget gennemsigtighed og regelmæssig feedback om Kommissionens håndtering af igangværende traktatbrudsprocedurer ville være gavnlig for udvalgets opfølgning på uafsluttede andragender; glæder sig over Kommissionens nylige initiativ om at medtage andragender i søgesystemet i Kommissionens register over traktatbrudssager; understreger, at det er vigtigt, at Kommissionen foretager rettidige undersøgelser af andragender og fremhæver krænkelser af rettigheder, der berører et stort antal borgere og indbyggere i EU, og at den, hvis det er relevant, rådfører sig med den relevante nationale ombudsmand; udtrykker bekymring over måden, hvorpå Kommissionen håndterer visse traktatbrudsprocedurer, der er indledt mod medlemsstaterne, herunder dem, som vedrører spørgsmål, der er taget op i mange andragender; opfordrer Kommissionen til at træffe alle nødvendige foranstaltninger for at forbedre gennemsigtigheden og effektiviteten af sin forvaltning af traktatbrudsprocedurer, som af borgerne kan opfattes som uigennemsigtig;</w:t>
      </w:r>
    </w:p>
    <w:p w14:paraId="65A0D663" w14:textId="77777777" w:rsidR="008616EA" w:rsidRDefault="00553C88" w:rsidP="008616EA">
      <w:pPr>
        <w:pStyle w:val="NormalHanging12a"/>
      </w:pPr>
      <w:r>
        <w:t>10</w:t>
      </w:r>
      <w:r w:rsidR="008616EA" w:rsidRPr="000A75EB">
        <w:t>.</w:t>
      </w:r>
      <w:r w:rsidR="008616EA" w:rsidRPr="000A75EB">
        <w:tab/>
        <w:t>opfordrer Kommissionen til at vurdere, hvorvidt de nationale myndigheder træffer de nødvendige foranstaltninger til at reagere på borgernes bekymringer som udtrykt i deres andragender i tilfælde af manglende overholdelse af EU-retten, samt til om nødvendigt at indlede traktatbrudssager; understreger, at en rettidig og proaktiv indsats fra Kommissionens side i tilfælde af overtrædelser af EU-retten er afgørende for at forhindre, at sådanne overtrædelser, der potentielt kan undergrave borgernes tillid til EU-institutionerne, antager systemisk karakter;</w:t>
      </w:r>
    </w:p>
    <w:p w14:paraId="664D7BF7" w14:textId="77777777" w:rsidR="000871C6" w:rsidRPr="000A75EB" w:rsidRDefault="00553C88" w:rsidP="008616EA">
      <w:pPr>
        <w:pStyle w:val="NormalHanging12a"/>
      </w:pPr>
      <w:r>
        <w:t>11</w:t>
      </w:r>
      <w:r w:rsidR="000871C6">
        <w:t>.</w:t>
      </w:r>
      <w:r w:rsidR="000871C6">
        <w:tab/>
      </w:r>
      <w:r w:rsidR="000871C6" w:rsidRPr="000871C6">
        <w:t xml:space="preserve">minder om, at ytringsfrihed er en grundlæggende søjle i det europæiske demokrati; fordømmer ethvert forsøg på at censurere, marginalisere eller intimidere borgere eller deres valgte repræsentanter på grundlag af deres politiske holdninger; understreger også, at respekt for valgresultaterne på nationalt og europæisk plan er afgørende for at </w:t>
      </w:r>
      <w:r w:rsidR="000871C6" w:rsidRPr="000871C6">
        <w:lastRenderedPageBreak/>
        <w:t>bevare borgernes tillid til den demokratiske proces;</w:t>
      </w:r>
    </w:p>
    <w:p w14:paraId="45999111" w14:textId="77777777" w:rsidR="008616EA" w:rsidRDefault="00553C88" w:rsidP="008616EA">
      <w:pPr>
        <w:pStyle w:val="NormalHanging12a"/>
      </w:pPr>
      <w:r>
        <w:t>12</w:t>
      </w:r>
      <w:r w:rsidR="008616EA" w:rsidRPr="000A75EB">
        <w:t>.</w:t>
      </w:r>
      <w:r w:rsidR="008616EA" w:rsidRPr="000A75EB">
        <w:tab/>
        <w:t>fremhæver, at der for at fjerne blokeringen af de andragender, der kræver hurtige svar og reaktioner fra de nationale myndigheders side, er behov for et styrket og mere aktivt samarbejde med medlemsstaterne; minder om, at forsinkede svar fra medlemsstaterne kan få konsekvenser for en rettidig afhjælpning af de spørgsmål, som borgerne har rejst, og negative konsekvenser for løsningen af overtrædelser af EU-retten; bemærker, at medlemsstaterne bør garantere, at spørgsmål om andragender besvares inden for den frist på tre måneder, som der anmodes om; understreger, at en forbedret koordinering og dialog ville fremme en mere effektiv håndtering af borgernes bekymringer, forhindre unødvendige forsinkelser og styrke effektiviteten af processen for andragender;</w:t>
      </w:r>
    </w:p>
    <w:p w14:paraId="2F5F06F4" w14:textId="77777777" w:rsidR="00C012FC" w:rsidRPr="000A75EB" w:rsidRDefault="00553C88" w:rsidP="008616EA">
      <w:pPr>
        <w:pStyle w:val="NormalHanging12a"/>
      </w:pPr>
      <w:r>
        <w:t>13</w:t>
      </w:r>
      <w:r w:rsidR="00C012FC">
        <w:t>.</w:t>
      </w:r>
      <w:r w:rsidR="00C012FC">
        <w:tab/>
      </w:r>
      <w:r w:rsidR="00C012FC" w:rsidRPr="00C012FC">
        <w:t>bemærker med bekymring, at de henstillinger, som Udvalget for Andragender fremsatte i sin rapport af 19. marts 2024 efter sin undersøgelsesrejse til Catalonien, navnlig henstillingerne vedrørende beskyttelse af alle studerendes og deres familiers sproglige rettigheder, endnu ikke er blevet gennemført fuldt ud af de relevante uddannelsesmyndigheder; udtrykker sin dybe beklagelse over de spændinger, som udvalgets medlemmer oplevede under deres besøg i Barcelona den 18.-20. december 2023, og opfordrer til respektfuld dialog og samarbejde mellem alle interessenter for at sikre, at demokratiske institutioner kan udføre deres opgaver i et klima af gensidig respekt og forståelse;</w:t>
      </w:r>
    </w:p>
    <w:p w14:paraId="6B9A86F2" w14:textId="77777777" w:rsidR="008616EA" w:rsidRPr="000A75EB" w:rsidRDefault="00553C88" w:rsidP="008616EA">
      <w:pPr>
        <w:pStyle w:val="NormalHanging12a"/>
        <w:rPr>
          <w:b/>
          <w:i/>
        </w:rPr>
      </w:pPr>
      <w:r>
        <w:t>14</w:t>
      </w:r>
      <w:r w:rsidR="008616EA" w:rsidRPr="000A75EB">
        <w:t>.</w:t>
      </w:r>
      <w:r w:rsidR="008616EA" w:rsidRPr="000A75EB">
        <w:rPr>
          <w:b/>
          <w:i/>
        </w:rPr>
        <w:tab/>
      </w:r>
      <w:r w:rsidR="008616EA" w:rsidRPr="000A75EB">
        <w:t xml:space="preserve">fordømmer på det kraftigste den chikane og intimidering, som de officielle medlemmer af Udvalget for Andragenders delegation blev udsat for under deres undersøgelsesrejse til Barcelona den 18.-20. december 2023 med henblik på </w:t>
      </w:r>
      <w:proofErr w:type="spellStart"/>
      <w:r w:rsidR="008616EA" w:rsidRPr="000A75EB">
        <w:t>på</w:t>
      </w:r>
      <w:proofErr w:type="spellEnd"/>
      <w:r w:rsidR="008616EA" w:rsidRPr="000A75EB">
        <w:t xml:space="preserve"> stedet at vurdere sprogfordybelsesmodellen i Catalonien, dens konsekvenser for de familier, som flytter til og bor i regionen, og for </w:t>
      </w:r>
      <w:proofErr w:type="spellStart"/>
      <w:r w:rsidR="008616EA" w:rsidRPr="000A75EB">
        <w:t>flersprogethed</w:t>
      </w:r>
      <w:proofErr w:type="spellEnd"/>
      <w:r w:rsidR="008616EA" w:rsidRPr="000A75EB">
        <w:t>, ikkeforskelsbehandling og retsstatsprincippet;</w:t>
      </w:r>
    </w:p>
    <w:p w14:paraId="2237D69F" w14:textId="77777777" w:rsidR="008616EA" w:rsidRPr="000A75EB" w:rsidRDefault="00553C88" w:rsidP="008616EA">
      <w:pPr>
        <w:pStyle w:val="NormalHanging12a"/>
        <w:rPr>
          <w:b/>
          <w:i/>
        </w:rPr>
      </w:pPr>
      <w:r>
        <w:t>15</w:t>
      </w:r>
      <w:r w:rsidR="008616EA" w:rsidRPr="000A75EB">
        <w:t>.</w:t>
      </w:r>
      <w:r w:rsidR="008616EA" w:rsidRPr="000A75EB">
        <w:tab/>
        <w:t>beklager, at de kompetente regionale uddannelsesmyndigheder ikke har iværksat de henstillinger om at beskytte skoleelevers og deres familiers sproglige rettigheder, som Udvalget for Andragender fremsatte efter missionen i sin rapport af 19. marts 2024;</w:t>
      </w:r>
    </w:p>
    <w:p w14:paraId="53314A08" w14:textId="77777777" w:rsidR="008616EA" w:rsidRPr="000A75EB" w:rsidRDefault="00553C88" w:rsidP="008616EA">
      <w:pPr>
        <w:pStyle w:val="NormalHanging12a"/>
      </w:pPr>
      <w:r>
        <w:t>16</w:t>
      </w:r>
      <w:r w:rsidR="008616EA" w:rsidRPr="000A75EB">
        <w:t>.</w:t>
      </w:r>
      <w:r w:rsidR="008616EA" w:rsidRPr="000A75EB">
        <w:tab/>
        <w:t xml:space="preserve">minder om, at den elektroniske database for </w:t>
      </w:r>
      <w:proofErr w:type="gramStart"/>
      <w:r w:rsidR="008616EA" w:rsidRPr="000A75EB">
        <w:t>andragender</w:t>
      </w:r>
      <w:proofErr w:type="gramEnd"/>
      <w:r w:rsidR="008616EA" w:rsidRPr="000A75EB">
        <w:t xml:space="preserve"> er et vigtigt internt redskab, som giver medlemmerne af Udvalget for Andragender mulighed for at få adgang til alle nødvendige oplysninger med henblik på at følge op på status for hvert enkelt andragende og for at træffe informerede beslutninger om behandlingen af andragenderne; bemærker, at den elektroniske database for andragender også spiller en vigtig rolle i kommunikationen med </w:t>
      </w:r>
      <w:proofErr w:type="spellStart"/>
      <w:r w:rsidR="008616EA" w:rsidRPr="000A75EB">
        <w:t>andragerne</w:t>
      </w:r>
      <w:proofErr w:type="spellEnd"/>
      <w:r w:rsidR="008616EA" w:rsidRPr="000A75EB">
        <w:t>;</w:t>
      </w:r>
    </w:p>
    <w:p w14:paraId="24F1FE8F" w14:textId="77777777" w:rsidR="008616EA" w:rsidRPr="000A75EB" w:rsidRDefault="00553C88" w:rsidP="008616EA">
      <w:pPr>
        <w:pStyle w:val="NormalHanging12a"/>
      </w:pPr>
      <w:r>
        <w:t>17</w:t>
      </w:r>
      <w:r w:rsidR="008616EA" w:rsidRPr="000A75EB">
        <w:t>.</w:t>
      </w:r>
      <w:r w:rsidR="008616EA" w:rsidRPr="000A75EB">
        <w:tab/>
        <w:t xml:space="preserve">minder om Kommissionens tilsagn om sammen med Europa-Parlamentet at oprette et </w:t>
      </w:r>
      <w:proofErr w:type="spellStart"/>
      <w:r w:rsidR="008616EA" w:rsidRPr="000A75EB">
        <w:t>interinstitutionelt</w:t>
      </w:r>
      <w:proofErr w:type="spellEnd"/>
      <w:r w:rsidR="008616EA" w:rsidRPr="000A75EB">
        <w:t xml:space="preserve"> IT-værktøj til deling af oplysninger og dokumenter vedrørende alle opfølgende tiltag, der træffes i relation til andragender, såsom traktatbrudsprocedurer, lovgivningsforslag og svar fra nationale myndigheder og herigennem øge gennemsigtigheden og effektiviteten i behandlingen af andragender, hvilket mere overordnet vil bidrage til at øge borgernes tillid til EU-institutionerne og det europæiske projekt;</w:t>
      </w:r>
    </w:p>
    <w:p w14:paraId="72BF6BC5" w14:textId="77777777" w:rsidR="008616EA" w:rsidRPr="000A75EB" w:rsidRDefault="00553C88" w:rsidP="008616EA">
      <w:pPr>
        <w:pStyle w:val="NormalHanging12a"/>
      </w:pPr>
      <w:r>
        <w:t>18</w:t>
      </w:r>
      <w:r w:rsidR="008616EA" w:rsidRPr="000A75EB">
        <w:t>.</w:t>
      </w:r>
      <w:r w:rsidR="008616EA" w:rsidRPr="000A75EB">
        <w:tab/>
        <w:t>minder om, at samarbejdet med Europa-Parlamentets øvrige udvalg er afgørende for en omfattende behandling af andragender</w:t>
      </w:r>
      <w:r w:rsidR="005B026E" w:rsidRPr="005B026E">
        <w:t>, idet andragender om ligestilling mellem kønnene, familiemæssig mangfoldighed, miljømæssig retfærdighed og mindretals sproglige rettigheder bør vies særlig opmærksomhed</w:t>
      </w:r>
      <w:r w:rsidR="008616EA" w:rsidRPr="000A75EB">
        <w:t xml:space="preserve">; noterer sig, at der i 2023 blev </w:t>
      </w:r>
      <w:r w:rsidR="008616EA" w:rsidRPr="000A75EB">
        <w:lastRenderedPageBreak/>
        <w:t>afgivet 34 anmodninger om udtalelse (svarende til 31 andragender) og 223 anmodninger om oplysninger til andre udvalg; noterer sig, at der ved udgangen af 2023 kun var indgået 25 af de 34 udtalelser, som der var blev anmodet om (i 14 tilfælde blev der afgivet en udtalelse, mens udvalget i 10 tilfælde besluttede ikke at udarbejde en udtalelse; i 4 tilfælde blev der ikke meddelt nogen officiel afgørelse);</w:t>
      </w:r>
      <w:r w:rsidR="008616EA" w:rsidRPr="000A75EB">
        <w:rPr>
          <w:color w:val="FF0000"/>
        </w:rPr>
        <w:t xml:space="preserve"> </w:t>
      </w:r>
      <w:r w:rsidR="008616EA" w:rsidRPr="000A75EB">
        <w:t xml:space="preserve">minder om, at </w:t>
      </w:r>
      <w:proofErr w:type="spellStart"/>
      <w:r w:rsidR="008616EA" w:rsidRPr="000A75EB">
        <w:t>andragerne</w:t>
      </w:r>
      <w:proofErr w:type="spellEnd"/>
      <w:r w:rsidR="008616EA" w:rsidRPr="000A75EB">
        <w:t xml:space="preserve"> bliver informeret om beslutninger om at anmode om udtalelser fra andre udvalg i forbindelse med behandlingen af deres andragender; understreger, at Europa-Parlamentets udvalg bør gøre en større indsats for at bidrage aktivt til behandlingen af andragender ved at stille deres ekspertise til rådighed og på den måde gøre det muligt for Europa-Parlamentet at reagere hurtigere og grundigere på borgernes bekymringer;</w:t>
      </w:r>
    </w:p>
    <w:p w14:paraId="34964AC5" w14:textId="77777777" w:rsidR="008616EA" w:rsidRPr="000A75EB" w:rsidRDefault="00553C88" w:rsidP="008616EA">
      <w:pPr>
        <w:pStyle w:val="NormalHanging12a"/>
      </w:pPr>
      <w:r>
        <w:t>19</w:t>
      </w:r>
      <w:r w:rsidR="008616EA" w:rsidRPr="000A75EB">
        <w:t>.</w:t>
      </w:r>
      <w:r w:rsidR="008616EA" w:rsidRPr="000A75EB">
        <w:tab/>
        <w:t xml:space="preserve">mener, at netværket for </w:t>
      </w:r>
      <w:proofErr w:type="gramStart"/>
      <w:r w:rsidR="008616EA" w:rsidRPr="000A75EB">
        <w:t>andragender</w:t>
      </w:r>
      <w:proofErr w:type="gramEnd"/>
      <w:r w:rsidR="008616EA" w:rsidRPr="000A75EB">
        <w:t xml:space="preserve"> er et nyttigt redskab til at lette opfølgningen på andragender i det parlamentariske og lovgivningsmæssige arbejde; er sikker på, at regelmæssige møder i netværket for andragender er afgørende for at sikre mere synlighed for Udvalget for Andragenders aktiviteter og en bedre forståelse af dets arbejde og mission og for at styrke samarbejdet med de øvrige parlamentariske udvalg; </w:t>
      </w:r>
    </w:p>
    <w:p w14:paraId="04BF381E" w14:textId="77777777" w:rsidR="008616EA" w:rsidRPr="000A75EB" w:rsidRDefault="00553C88" w:rsidP="008616EA">
      <w:pPr>
        <w:pStyle w:val="NormalHanging12a"/>
      </w:pPr>
      <w:r>
        <w:t>20</w:t>
      </w:r>
      <w:r w:rsidR="008616EA" w:rsidRPr="000A75EB">
        <w:t>.</w:t>
      </w:r>
      <w:r w:rsidR="008616EA" w:rsidRPr="000A75EB">
        <w:tab/>
        <w:t xml:space="preserve">understreger, at Udvalget for Andragender gav udtryk for sin holdning til vigtige spørgsmål, der blev rejst i </w:t>
      </w:r>
      <w:proofErr w:type="gramStart"/>
      <w:r w:rsidR="008616EA" w:rsidRPr="000A75EB">
        <w:t>andragender</w:t>
      </w:r>
      <w:proofErr w:type="gramEnd"/>
      <w:r w:rsidR="008616EA" w:rsidRPr="000A75EB">
        <w:t>, ved at vedtage sin betænkning om resultatet af arbejdet i Udvalget for Andragender i 2022</w:t>
      </w:r>
      <w:r w:rsidR="008616EA" w:rsidRPr="000A75EB">
        <w:rPr>
          <w:rStyle w:val="FootnoteReference"/>
        </w:rPr>
        <w:footnoteReference w:id="5"/>
      </w:r>
      <w:r w:rsidR="008616EA" w:rsidRPr="000A75EB">
        <w:t>;</w:t>
      </w:r>
    </w:p>
    <w:p w14:paraId="36D8947E" w14:textId="77777777" w:rsidR="008616EA" w:rsidRPr="000A75EB" w:rsidRDefault="00553C88" w:rsidP="008616EA">
      <w:pPr>
        <w:pStyle w:val="NormalHanging12a"/>
      </w:pPr>
      <w:r>
        <w:t>21</w:t>
      </w:r>
      <w:r w:rsidR="008616EA" w:rsidRPr="000A75EB">
        <w:t>.</w:t>
      </w:r>
      <w:r w:rsidR="008616EA" w:rsidRPr="000A75EB">
        <w:tab/>
        <w:t>fremhæver en let stigning i antallet af andragender, der blev indgivet om eksterne forbindelser, sammenlignet med 2022; bemærker, at dette kunne skyldes den nye geopolitiske kontekst i 2023 og navnlig et fald i antallet af andragender om krigen i Ukraine og en betydelig stigning i antallet af andragender om de nye konflikter i Mellemøsten; bemærker, at Udvalget for Andragender bl.a. tog hensyn til borgernes bekymringer med hensyn til sanktioner, sikkerhed, konfliktløsning, visumpolitik og fremskridt i EU-kandidatlandene og satte en række andragender på dagsordenen, der navnlig omhandlede spørgsmål med hensyn til flygtninges situation, navnlig situationen for børn, og situationen for venezuelanske flygtninge i EU; anerkender bestræbelserne hos de udvalg, der allerede beskæftiger sig aktivt med disse spørgsmål, og understreger, at Udenrigsudvalget og Udvalget om Borgernes Rettigheder og Udvalget om Retlige og Indre Anliggender bør tage disse andragender til efterretning i deres drøftelser;</w:t>
      </w:r>
    </w:p>
    <w:p w14:paraId="2DC56517" w14:textId="77777777" w:rsidR="008616EA" w:rsidRPr="000A75EB" w:rsidRDefault="00553C88" w:rsidP="008616EA">
      <w:pPr>
        <w:pStyle w:val="NormalHanging12a"/>
      </w:pPr>
      <w:r>
        <w:t>22</w:t>
      </w:r>
      <w:r w:rsidR="008616EA" w:rsidRPr="000A75EB">
        <w:t>.</w:t>
      </w:r>
      <w:r w:rsidR="008616EA" w:rsidRPr="000A75EB">
        <w:tab/>
        <w:t xml:space="preserve">noterer sig, at sundhed, som var et af de områder, der især gav anledning til bekymring for </w:t>
      </w:r>
      <w:proofErr w:type="spellStart"/>
      <w:r w:rsidR="008616EA" w:rsidRPr="000A75EB">
        <w:t>andragerne</w:t>
      </w:r>
      <w:proofErr w:type="spellEnd"/>
      <w:r w:rsidR="008616EA" w:rsidRPr="000A75EB">
        <w:t xml:space="preserve"> i 2022, fortsat syntes at spille en vigtig rolle i 2023; bemærker navnlig, at Udvalget for Andragender behandlede og drøftede </w:t>
      </w:r>
      <w:proofErr w:type="gramStart"/>
      <w:r w:rsidR="008616EA" w:rsidRPr="000A75EB">
        <w:t>andragender</w:t>
      </w:r>
      <w:proofErr w:type="gramEnd"/>
      <w:r w:rsidR="008616EA" w:rsidRPr="000A75EB">
        <w:t xml:space="preserve"> om forbuddet mod kemikalier og tungmetaller i legetøj til børn, om støtte til sunde og miljøvenlige fødevaresystemer og livsstile og om gennemførelsen af EU's forordninger om tilsat sukker i fødevarer til spædbørn og småbørn;</w:t>
      </w:r>
    </w:p>
    <w:p w14:paraId="08C3E97E" w14:textId="77777777" w:rsidR="008616EA" w:rsidRPr="00B900AD" w:rsidRDefault="00553C88" w:rsidP="008616EA">
      <w:pPr>
        <w:pStyle w:val="NormalHanging12a"/>
      </w:pPr>
      <w:r w:rsidRPr="00B900AD">
        <w:t>23</w:t>
      </w:r>
      <w:r w:rsidR="008616EA" w:rsidRPr="00B900AD">
        <w:t>.</w:t>
      </w:r>
      <w:r w:rsidR="008616EA" w:rsidRPr="00B900AD">
        <w:tab/>
      </w:r>
      <w:r w:rsidR="009F396D" w:rsidRPr="00B900AD">
        <w:t xml:space="preserve">henleder opmærksomheden på det betydelige antal andragender, der er indgivet og drøftet med hensyn til borgernes bekymringer over genindførelsen af grænsekontrol mellem visse medlemsstater, og som rejser det problematiske aspekt ved begrænsning af den frie bevægelighed for personer inden for EU og andre aspekter såsom styrker og svagheder ved at udvide Schengenområdet; minder om, at medlemsstaterne kan </w:t>
      </w:r>
      <w:r w:rsidR="009F396D" w:rsidRPr="00B900AD">
        <w:lastRenderedPageBreak/>
        <w:t>genindføre kontrol ved de indre grænser</w:t>
      </w:r>
      <w:r w:rsidR="009F396D" w:rsidRPr="00B900AD">
        <w:rPr>
          <w:rStyle w:val="FootnoteReference"/>
        </w:rPr>
        <w:footnoteReference w:id="6"/>
      </w:r>
      <w:r w:rsidR="009F396D" w:rsidRPr="00B900AD">
        <w:t xml:space="preserve"> i tilfælde af en alvorlig trussel mod den offentlige orden eller den indre sikkerhed eller under ekstraordinære omstændigheder, der truer Schengenområdets overordnede funktion; påskønner den vigtige rolle, som Udvalget for Andragender spiller, navnlig de mange aktiviteter, der er blevet gennemført, udvalgets vedtagelse den 27. juni 2023 af et kort forslag til beslutning om tiltrædelse af Schengenområdet, Parlamentets dertil knyttede beslutning om kraftigt at støtte udvidelsen af Schengenområdet til at omfatte Rumænien og Bulgarien og afholdelsen af den offentlige høring om Schengengrænser den 18. juli 2023 i samarbejde med Udvalget om Borgernes Rettigheder og Retlige og Indre Anliggender; glæder sig over Rådets enstemmige afgørelse om begge landes fulde medlemskab af Schengenområdet pr. 1. januar 2025, der giver mulighed for fuld udøvelse af de grundlæggende frihedsrettigheder i EU's indre marked</w:t>
      </w:r>
      <w:r w:rsidR="008616EA" w:rsidRPr="00B900AD">
        <w:t>;</w:t>
      </w:r>
      <w:r w:rsidR="002D0297" w:rsidRPr="00B900AD">
        <w:t xml:space="preserve"> understreger, at dét at forhindre medlemsstater i at tiltræde Schengenområdet, selv om de opfyldte alle nødvendige krav, var en diskriminerende beslutning, som ikke kunne retfærdiggøres juridisk, og som påvirkede mange EU-borgere i alvorlig grad;</w:t>
      </w:r>
      <w:r w:rsidR="008616EA" w:rsidRPr="00B900AD">
        <w:t> </w:t>
      </w:r>
    </w:p>
    <w:p w14:paraId="5EE13AD9" w14:textId="77777777" w:rsidR="008616EA" w:rsidRPr="000A75EB" w:rsidRDefault="00553C88" w:rsidP="008616EA">
      <w:pPr>
        <w:pStyle w:val="NormalHanging12a"/>
        <w:rPr>
          <w:b/>
          <w:i/>
        </w:rPr>
      </w:pPr>
      <w:r>
        <w:t>24</w:t>
      </w:r>
      <w:r w:rsidR="008616EA" w:rsidRPr="000A75EB">
        <w:t>.</w:t>
      </w:r>
      <w:r w:rsidR="008616EA" w:rsidRPr="000A75EB">
        <w:rPr>
          <w:b/>
          <w:i/>
        </w:rPr>
        <w:tab/>
      </w:r>
      <w:r w:rsidR="008616EA" w:rsidRPr="000A75EB">
        <w:t xml:space="preserve">bemærker den pludselige stigning i antallet af </w:t>
      </w:r>
      <w:proofErr w:type="gramStart"/>
      <w:r w:rsidR="008616EA" w:rsidRPr="000A75EB">
        <w:t>andragender</w:t>
      </w:r>
      <w:proofErr w:type="gramEnd"/>
      <w:r w:rsidR="008616EA" w:rsidRPr="000A75EB">
        <w:t xml:space="preserve"> af spansk oprindelse i anden halvdel af 2023 vedrørende risiciene for retsstatsprincippet i Spanien som følge af den spanske regerings hensigt om at vedtage en amnestilov, som er i strid med forfatningsretten og EU-retten;</w:t>
      </w:r>
      <w:r w:rsidR="004A4252">
        <w:t xml:space="preserve"> </w:t>
      </w:r>
      <w:r w:rsidR="004A4252" w:rsidRPr="004A4252">
        <w:t>beklager dybt den spanske regerings angreb på retsstatsprincippet og magtens tredeling;</w:t>
      </w:r>
    </w:p>
    <w:p w14:paraId="019B79E4" w14:textId="77777777" w:rsidR="008616EA" w:rsidRPr="000A75EB" w:rsidRDefault="00553C88" w:rsidP="008616EA">
      <w:pPr>
        <w:pStyle w:val="NormalHanging12a"/>
      </w:pPr>
      <w:r>
        <w:t>25</w:t>
      </w:r>
      <w:r w:rsidR="008616EA" w:rsidRPr="000A75EB">
        <w:t>.</w:t>
      </w:r>
      <w:r w:rsidR="008616EA" w:rsidRPr="000A75EB">
        <w:tab/>
        <w:t>understreger Udvalget for Andragenders arbejde i forbindelse med andragender vedrørende fælles regler for en fælles standard for størrelsen af håndbagage, der vidner om borgernes bekymringer over det besvær og de gener, som flyselskabernes uoverensstemmende regler for håndbagage afføder, og de skjulte udgifter som følge heraf; understreger sin opfordring til efterlevelse af en relevant dom fra EU-Domstolen i forbindelse med revisionen af EU's luftfartslovgivning; henviser i denne forbindelse til det korte forslag til beslutning om standarddimensioner for håndbagage, som Udvalget for Andragender vedtog den 20. september 2023, efterfulgt af vedtagelsen af en beslutning ved enkelt afstemning i Europa-Parlamentet den 4. oktober 2023; glæder sig over, at Kommissionen i november 2023 fremlagde en revision af rammen for passagerrettigheder og en række forslag med henblik på at forbedre passagerers og rejsendes oplevelse, herunder krav om et begrænset antal fælles størrelser og vægte for at mindske forvirringen; noterer sig med beklagelse, at passagerer med handicap stadig oplever for mange hindringer på rejser, navnlig hvis de benytter flere forskellige transportformer; beklager, at de offentlige transportsystemer i mange medlemsstater ikke opfylder kravene i FN's konvention om rettigheder for personer med handicap (UNCRPD);</w:t>
      </w:r>
    </w:p>
    <w:p w14:paraId="449FD840" w14:textId="77777777" w:rsidR="008616EA" w:rsidRPr="000A75EB" w:rsidRDefault="00553C88" w:rsidP="008616EA">
      <w:pPr>
        <w:pStyle w:val="NormalHanging12a"/>
      </w:pPr>
      <w:r>
        <w:t>26</w:t>
      </w:r>
      <w:r w:rsidR="008616EA" w:rsidRPr="000A75EB">
        <w:t>.</w:t>
      </w:r>
      <w:r w:rsidR="008616EA" w:rsidRPr="000A75EB">
        <w:tab/>
        <w:t xml:space="preserve">bemærker, at miljøspørgsmål fortsat var genstand for alvorlig bekymring hos mange </w:t>
      </w:r>
      <w:proofErr w:type="spellStart"/>
      <w:r w:rsidR="008616EA" w:rsidRPr="000A75EB">
        <w:t>andragere</w:t>
      </w:r>
      <w:proofErr w:type="spellEnd"/>
      <w:r w:rsidR="008616EA" w:rsidRPr="000A75EB">
        <w:t xml:space="preserve"> i 2023, idet over 21 % af andragenderne omhandlede miljøspørgsmål; beklager, at det i visse af disse andragender blev hævdet, at medlemsstaterne ikke har gennemført EU-lovgivningen korrekt, og at der allerede er indledt traktatbrudsprocedurer mod visse medlemsstater for tilsidesættelse af EU's miljølovgivning; bemærker, at talrige andragender beskriver problemer med luftkvalitet, støjforurening, affaldshåndtering/-behandling, forringelse af naturlige økosystemer og overtrædelse af habitatdirektivet i forskellige medlemsstater; fremhæver den offentlige </w:t>
      </w:r>
      <w:r w:rsidR="008616EA" w:rsidRPr="000A75EB">
        <w:lastRenderedPageBreak/>
        <w:t>høring om status for gennemførelsen af habitatdirektivet, der blev afholdt den 24. maj 2023; bemærker det arbejde, som Udvalget for Andragender fortsatte i 2023 med hensyn til klimaændringernes indvirkning på forskellige områder, ikke blot på miljøområdet, men også med hensyn til arealanvendelsen, og at det satte en række modtagne andragender om disse emner på dagsordenen; henviser til workshoppen om klimaændringernes indvirkning på den sociale sikring og de mest sårbare grupper, der blev afholdt den 22. marts 2023, og til fremlæggelsen af studiet om erstatning til ofre for klimaændringskatastrofer den 18. juli 2023;</w:t>
      </w:r>
    </w:p>
    <w:p w14:paraId="4337E079" w14:textId="77777777" w:rsidR="008616EA" w:rsidRPr="000A75EB" w:rsidRDefault="00553C88" w:rsidP="008616EA">
      <w:pPr>
        <w:pStyle w:val="NormalHanging12a"/>
      </w:pPr>
      <w:r>
        <w:t>27</w:t>
      </w:r>
      <w:r w:rsidR="008616EA" w:rsidRPr="000A75EB">
        <w:t>.</w:t>
      </w:r>
      <w:r w:rsidR="008616EA" w:rsidRPr="000A75EB">
        <w:tab/>
        <w:t>henleder opmærksomheden på den workshop, som Udvalget for Andragender afholdt den 25. januar 2023, om gennemsigtighed i prissætningen og godtgørelsen af lægemidler og med drøftelse af gennemsigtighed set ud fra patienters og forbrugeres, lægemiddelproducenters og den akademiske forsknings perspektiv; bemærker, at der under drøftelserne var fokus på virksomhedernes forsknings- og udviklingsomkostninger og tilgængeligheden af oplysninger om priserne på lægemidler, og understreger vigtigheden af gennemsigtighed i disse spørgsmål;</w:t>
      </w:r>
    </w:p>
    <w:p w14:paraId="51AB635D" w14:textId="77777777" w:rsidR="008616EA" w:rsidRPr="000A75EB" w:rsidRDefault="00553C88" w:rsidP="008616EA">
      <w:pPr>
        <w:pStyle w:val="NormalHanging12a"/>
      </w:pPr>
      <w:r>
        <w:t>28</w:t>
      </w:r>
      <w:r w:rsidR="008616EA" w:rsidRPr="000A75EB">
        <w:t>.</w:t>
      </w:r>
      <w:r w:rsidR="008616EA" w:rsidRPr="000A75EB">
        <w:tab/>
        <w:t>understreger vigtigheden af at opfylde EU-borgernes forventninger til miljøbeskyttelse og opfordrer derfor indtrængende Kommissionen til sammen med medlemsstaterne at sikre en korrekt gennemførelse af EU-lovgivningen på miljøområdet, navnlig med hensyn til ulovlig skovhugst; henviser til andragenderne om miljøspørgsmål, som afspejler en voksende offentlig bekymring over konsekvenserne af klimaændringer, og som kræver konsekvent håndhævelse af EU's eksisterende miljølovgivning fra både Kommissionens og medlemsstaternes side;</w:t>
      </w:r>
      <w:r w:rsidR="004A4252">
        <w:t xml:space="preserve"> </w:t>
      </w:r>
      <w:r w:rsidR="004A4252" w:rsidRPr="004A4252">
        <w:t>understreger, at det bør være lige så vigtigt at opfylde EU-borgernes forventninger til miljøbeskyttelse som at tage hensyn til den økonomiske virkelighed i den enkelte medlemsstat, understreger, at overdreven regulering har en negativ indvirkning på nye vækstøkonomier; fremhæver derfor, at det bør overlades hver enkelt medlemsstat at træffe beslutninger om sin omstillingsproces, og at miljølovgivningen ikke bør hæmme den økonomiske konkurrenceevne;</w:t>
      </w:r>
    </w:p>
    <w:p w14:paraId="370FC5B8" w14:textId="77777777" w:rsidR="008616EA" w:rsidRPr="000A75EB" w:rsidRDefault="00553C88" w:rsidP="008616EA">
      <w:pPr>
        <w:pStyle w:val="NormalHanging12a"/>
        <w:rPr>
          <w:b/>
          <w:i/>
        </w:rPr>
      </w:pPr>
      <w:r>
        <w:t>29</w:t>
      </w:r>
      <w:r w:rsidR="008616EA" w:rsidRPr="000A75EB">
        <w:t>.</w:t>
      </w:r>
      <w:r w:rsidR="008616EA" w:rsidRPr="000A75EB">
        <w:rPr>
          <w:b/>
          <w:i/>
        </w:rPr>
        <w:tab/>
      </w:r>
      <w:r w:rsidR="008616EA" w:rsidRPr="000A75EB">
        <w:t>anerkender de positive virkninger af undersøgelsesrejsen til Rumænien den 15.-18. maj 2023 for forvaltningen og beskyttelsen af bestanden af brune bjørne; bemærker imidlertid med beklagelse, at der stadig er for mange dødsulykker forårsaget af brune bjørne i forbindelse med mennesker og husdyr, hvilket nødvendiggør yderligere overvågning og samarbejde med de nationale myndigheder;</w:t>
      </w:r>
      <w:r w:rsidR="004A4252">
        <w:t xml:space="preserve"> </w:t>
      </w:r>
      <w:r w:rsidR="004A4252" w:rsidRPr="004A4252">
        <w:t>understreger, at beskyttelse af menneskers liv og sikkerhed altid bør have forrang;</w:t>
      </w:r>
    </w:p>
    <w:p w14:paraId="73210300" w14:textId="77777777" w:rsidR="008616EA" w:rsidRPr="000A75EB" w:rsidRDefault="00553C88" w:rsidP="008616EA">
      <w:pPr>
        <w:pStyle w:val="NormalHanging12a"/>
        <w:rPr>
          <w:b/>
          <w:i/>
        </w:rPr>
      </w:pPr>
      <w:r>
        <w:t>30</w:t>
      </w:r>
      <w:r w:rsidR="008616EA" w:rsidRPr="000A75EB">
        <w:t>.</w:t>
      </w:r>
      <w:r w:rsidR="008616EA" w:rsidRPr="000A75EB">
        <w:rPr>
          <w:b/>
          <w:i/>
        </w:rPr>
        <w:tab/>
      </w:r>
      <w:r w:rsidR="008616EA" w:rsidRPr="000A75EB">
        <w:t>understreger efter undersøgelsesrejsen til Rumænien, at der er behov for en balance mellem beskyttelsen af vilde dyr og planter og borgernes sikkerhed; understreger, at den enkelte medlemsstat bør have mulighed for at træffe foranstaltninger, herunder kontrol med artsbestanden, for at forebygge trusler mod sine borgeres liv og ejendom;</w:t>
      </w:r>
    </w:p>
    <w:p w14:paraId="547D0B10" w14:textId="77777777" w:rsidR="008616EA" w:rsidRPr="00B900AD" w:rsidRDefault="00553C88" w:rsidP="008616EA">
      <w:pPr>
        <w:pStyle w:val="NormalHanging12a"/>
      </w:pPr>
      <w:r w:rsidRPr="00B900AD">
        <w:t>31</w:t>
      </w:r>
      <w:r w:rsidR="008616EA" w:rsidRPr="00B900AD">
        <w:t>.</w:t>
      </w:r>
      <w:r w:rsidR="008616EA" w:rsidRPr="00B900AD">
        <w:tab/>
      </w:r>
      <w:r w:rsidR="004A4252" w:rsidRPr="00B900AD">
        <w:t xml:space="preserve">understreger Udvalget for Andragenders engagement i at beskytte rettighederne for personer med handicap; minder om Udvalget for Andragenders årlige workshop om rettighederne for personer med handicap, som blev afholdt den 29. november 2023; minder om, at der ved workshoppens første del blev fokuseret på, hvordan personer med handicap håndterede de seneste kriser (energiudgifter, krig, høj inflation osv.), og hvordan EU's foranstaltninger bidrog til at overvinde disse hindringer, mens anden del omhandlede spørgsmålet om, hvordan EU-institutionerne har opbygget en inklusiv kommunikation med borgere med handicap; fremhæver i denne forbindelse desuden udvalgets vedtagelse den 29. november 2023 af en udtalelse i form af en skrivelse om indførelse af EU-handicapkortet og EU-parkeringskortet for personer med handicap; </w:t>
      </w:r>
      <w:r w:rsidR="004A4252" w:rsidRPr="00B900AD">
        <w:lastRenderedPageBreak/>
        <w:t>understreger, at adgangen til sociale sikringsydelser for personer med handicap henhører under det nationale ansvar og de sociale koordineringsordninger, og at tvister også bør behandles og respekteres af de eksisterende retslige mekanismer og deres kompetencer gennem forpligtelsen til udtømning af retsmidler snarere end gennem direkte indgriben fra Kommissionens side</w:t>
      </w:r>
      <w:r w:rsidR="001B2EC2" w:rsidRPr="00B900AD">
        <w:t>,</w:t>
      </w:r>
      <w:r w:rsidR="004A4252" w:rsidRPr="00B900AD">
        <w:t xml:space="preserve"> under overholdelse af nærhedsprincippet; understreger i denne forbindelse desuden det tvingende behov for en fuldstændig og konsekvent gennemførelse af det europæiske tilgængelighedsdirektiv og opfordrer medlemsstaterne til at undgå yderligere forsinkelser, der hæmmer rettighederne for personer med handicap; minder om, at hovedformålet med tilgængelighedsdirektivet er at forbedre tilværelsen for mindst 87 millioner personer med handicap og lette deres adgang til bl.a. offentlig transport, banktjenester, computere, fjernsyn, e-bøger og onlinebutikker;</w:t>
      </w:r>
    </w:p>
    <w:p w14:paraId="5C1E4C96" w14:textId="77777777" w:rsidR="008616EA" w:rsidRPr="00B900AD" w:rsidRDefault="00553C88" w:rsidP="008616EA">
      <w:pPr>
        <w:pStyle w:val="NormalHanging12a"/>
      </w:pPr>
      <w:r w:rsidRPr="00B900AD">
        <w:t>32</w:t>
      </w:r>
      <w:r w:rsidR="008616EA" w:rsidRPr="00B900AD">
        <w:t>.</w:t>
      </w:r>
      <w:r w:rsidR="008616EA" w:rsidRPr="00B900AD">
        <w:tab/>
      </w:r>
      <w:r w:rsidR="00F72EE3" w:rsidRPr="00B900AD">
        <w:t>understreger det vigtige bidrag, som Udvalget for Andragender har ydet til beskyttelsen af rettighederne for personer med handicap, således som det fremgår af dets behandling af en række andragender om dette følsomme emne; anerkender i denne forbindelse Parlamentets tjenestegrenes indsats og bemærker, at der skal findes ikke blot den teknisk bedste, men også mest tilgængelige løsning, for at muliggøre kommunikation med døve borgere på deres eget modersmål ved hjælp af nationale tegnsprog; anmoder om en ændring af forretningsordenen i tæt samarbejde med AFCO-udvalget med henblik på at stoppe den obligatoriske udelukkende skriftlige kommunikation med borgere, der er tegnsprogbrugere, døve eller hørehæmmede, således at de efter anmodning kan anvende deres tegnsprog under proceduren; fremhæver i denne forbindelse desuden udvalgets vedtagelse den 29. november 2023 af en udtalelse i form af en skrivelse om indførelse af EU-handicapkortet og EU-parkeringskortet for personer med handicap;</w:t>
      </w:r>
    </w:p>
    <w:p w14:paraId="116D064A" w14:textId="77777777" w:rsidR="008616EA" w:rsidRPr="000A75EB" w:rsidRDefault="00553C88" w:rsidP="008616EA">
      <w:pPr>
        <w:pStyle w:val="NormalHanging12a"/>
      </w:pPr>
      <w:r>
        <w:t>33</w:t>
      </w:r>
      <w:r w:rsidR="008616EA" w:rsidRPr="000A75EB">
        <w:t>.</w:t>
      </w:r>
      <w:r w:rsidR="008616EA" w:rsidRPr="000A75EB">
        <w:tab/>
        <w:t>fremhæver endvidere den specifikke beskyttelsesrolle, som Udvalget for Andragender har varetaget i EU inden for rammerne af FN's konvention om rettigheder for personer med handicap i kraft af dets kapacitet til at behandle andragender, og understreger udvalgets vigtige igangværende arbejde med andragender om handicaprelaterede spørgsmål; understreger – idet det noterer sig et lille fald i antallet af andragender om handicap i 2023 i forhold til 2022 – at antallet næsten blev fordoblet i forhold til 2021; påpeger endvidere, at forskelsbehandling og adgang til offentlig transport og beskæftigelse fortsat udgør store udfordringer for personer med handicap, og fremhæver udvalgets særlige opmærksomhed om anmodningen om anerkendelse af rettighederne for personer med autisme i den europæiske handicapstatut; glæder sig over vedtagelsen af et kort beslutningsforslag om harmonisering af rettighederne for personer med autisme og understreger behovet for at forbedre adgangen til diagnosticering, sundhedspleje, uddannelse, beskæftigelse, tilgængelighed og tilvejebringelse af rimelige tilpasninger, rets- og handleevne og livslang støtte i samfundet, herunder med hensyn til kultur og sport; henleder endvidere opmærksomheden på den særlige rolle, som Udvalget for Andragender spiller med hensyn til at beskytte børns og deres forældres rettigheder, og noterer, at der er indkommet mange andragender om børns rettigheder, som kræver særlig opmærksomhed og handling; minder i denne forbindelse om bestemmelserne i EU's charter om grundlæggende rettigheder, navnlig artikel 24 om barnets rettigheder, om at give alle børn mulighed for at bevare en personlig forbindelse til og direkte kontakt med begge deres forældre, medmindre dette er imod barnets tarv; peger atter på risikoen for, at familier med autistiske børn bliver mål for tilbud om udokumenterede, potentielt skadelige og ulovlige behandlinger og indgreb, der kan udgøre alvorlige fysiske overgreb på børn;</w:t>
      </w:r>
    </w:p>
    <w:p w14:paraId="1E96F8A9" w14:textId="77777777" w:rsidR="008616EA" w:rsidRPr="000A75EB" w:rsidRDefault="00553C88" w:rsidP="008616EA">
      <w:pPr>
        <w:pStyle w:val="NormalHanging12a"/>
        <w:rPr>
          <w:rFonts w:eastAsia="Calibri"/>
        </w:rPr>
      </w:pPr>
      <w:r>
        <w:lastRenderedPageBreak/>
        <w:t>34</w:t>
      </w:r>
      <w:r w:rsidR="008616EA" w:rsidRPr="000A75EB">
        <w:t>.</w:t>
      </w:r>
      <w:r w:rsidR="008616EA" w:rsidRPr="000A75EB">
        <w:tab/>
        <w:t>minder om, at forbindelserne med Den Europæiske Ombudsmand er et af de ansvarsområder, som i Parlamentets forretningsorden tillægges Udvalget for Andragender; glæder sig over Parlamentets konstruktive samarbejde med Den Europæiske Ombudsmand, med hvem Udvalget for Andragender deler målene om at sikre EU-institutionernes gennemsigtighed, professionalisme og integritet over for EU-borgerne, og over dets inddragelse i det europæiske netværk af ombudsmænd;</w:t>
      </w:r>
      <w:r w:rsidR="00387944">
        <w:t xml:space="preserve"> </w:t>
      </w:r>
      <w:r w:rsidR="00387944" w:rsidRPr="00387944">
        <w:t>understreger behovet for at intensivere samarbejdet med Den Europæiske Ombudsmand for at sikre en hurtig, upartisk og gennemsigtig reaktion på borgernes klager over eventuelle administrative fejl i EU-institutionerne;</w:t>
      </w:r>
    </w:p>
    <w:p w14:paraId="20CE3294" w14:textId="77777777" w:rsidR="008616EA" w:rsidRPr="000A75EB" w:rsidRDefault="00553C88" w:rsidP="008616EA">
      <w:pPr>
        <w:pStyle w:val="NormalHanging12a"/>
        <w:rPr>
          <w:b/>
          <w:i/>
        </w:rPr>
      </w:pPr>
      <w:r>
        <w:t>35</w:t>
      </w:r>
      <w:r w:rsidR="008616EA" w:rsidRPr="000A75EB">
        <w:t>.</w:t>
      </w:r>
      <w:r w:rsidR="008616EA" w:rsidRPr="000A75EB">
        <w:rPr>
          <w:b/>
          <w:i/>
        </w:rPr>
        <w:tab/>
      </w:r>
      <w:r w:rsidR="008616EA" w:rsidRPr="000A75EB">
        <w:t xml:space="preserve">understreger det vigtige arbejde, som Udvalget for Andragender udfører med hensyn til beskyttelse af arbejdstagernes rettigheder; understreger, at flere af de andragender, der er modtaget om dette emne, er blevet fulgt op af yderligere tiltag såsom debatten om anvendelsen af tidsbegrænsede kontrakter og andragendet om det europæiske borgerinitiativ "Good </w:t>
      </w:r>
      <w:proofErr w:type="spellStart"/>
      <w:r w:rsidR="008616EA" w:rsidRPr="000A75EB">
        <w:t>Clothes</w:t>
      </w:r>
      <w:proofErr w:type="spellEnd"/>
      <w:r w:rsidR="008616EA" w:rsidRPr="000A75EB">
        <w:t>, Fair Pay" (Godt tøj, fair løn), som blev omsat til et andragende med fokus på den skadelige situation for arbejdstagere i den globale beklædnings- og fodtøjsindustri, eller forespørgslen til mundtlig besvarelse om arbejdsvilkårene for lærere i Den Europæiske Union, der også havde udgangspunkt i et andragende om dette emne; påpeger atter, at det er vigtigt at sikre rimelige arbejdsvilkår og bedre beskyttelse af arbejdstagerne i EU, og opfordrer medlemsstaterne og Kommissionen til effektivt at tage hånd om de bekymringer, der rejses i andragender med hensyn til arbejdstagerrettigheder og fagforeninger;</w:t>
      </w:r>
      <w:r w:rsidR="008616EA" w:rsidRPr="000A75EB">
        <w:rPr>
          <w:b/>
          <w:i/>
        </w:rPr>
        <w:t> </w:t>
      </w:r>
    </w:p>
    <w:p w14:paraId="217720AC" w14:textId="77777777" w:rsidR="008616EA" w:rsidRPr="000A75EB" w:rsidRDefault="00553C88" w:rsidP="008616EA">
      <w:pPr>
        <w:pStyle w:val="NormalHanging12a"/>
        <w:rPr>
          <w:b/>
          <w:i/>
        </w:rPr>
      </w:pPr>
      <w:r>
        <w:t>36</w:t>
      </w:r>
      <w:r w:rsidR="008616EA" w:rsidRPr="000A75EB">
        <w:t>.</w:t>
      </w:r>
      <w:r w:rsidR="008616EA" w:rsidRPr="000A75EB">
        <w:rPr>
          <w:b/>
          <w:i/>
        </w:rPr>
        <w:tab/>
      </w:r>
      <w:r w:rsidR="008616EA" w:rsidRPr="000A75EB">
        <w:t>minder om Europa-Parlamentets studie om hjemløshed i EU, som blev bestilt af Udvalget for Andragender og fremlagt på dets møde i november 2023; bemærker, at dette studie bidrog med vigtig viden om denne presserende sociale og økonomiske udfordring, som udgør en af de alvorligste former for social udstødelse, og fremhæver behovet for en ændring af den offentlige politik for at forhindre, at hjemløshed overhovedet opstår, bl.a. ved at tilvejebringe sikre og økonomisk overkommelige boliger;</w:t>
      </w:r>
      <w:r w:rsidR="00387944">
        <w:t xml:space="preserve"> </w:t>
      </w:r>
      <w:r w:rsidR="00387944" w:rsidRPr="00387944">
        <w:t>minder om, at ulovlig boligbesættelse ikke kan betragtes som en løsning på hjemløshed, da ejendomsretten er nedfældet i artikel 17 i EU's charter om grundlæggende rettigheder; understreger, at medlemsstaterne bør søge reelle løsninger frem for at fremme ulovlig boligbesættelse, da boligpolitikken henhører under medlemsstaternes enekompetence;</w:t>
      </w:r>
    </w:p>
    <w:p w14:paraId="722D3635" w14:textId="77777777" w:rsidR="008616EA" w:rsidRPr="000A75EB" w:rsidRDefault="00553C88" w:rsidP="008616EA">
      <w:pPr>
        <w:pStyle w:val="NormalHanging12a"/>
        <w:rPr>
          <w:rFonts w:eastAsia="Calibri"/>
        </w:rPr>
      </w:pPr>
      <w:r>
        <w:t>37</w:t>
      </w:r>
      <w:r w:rsidR="008616EA" w:rsidRPr="000A75EB">
        <w:t>.</w:t>
      </w:r>
      <w:r w:rsidR="008616EA" w:rsidRPr="000A75EB">
        <w:tab/>
        <w:t>anerkender Den Europæiske Ombudsmands regelmæssige bidrag til Udvalget for Andragenders arbejde året igennem; er af den faste overbevisning, at Unionens institutioner, organer og agenturer skal sikre en konsekvent og effektiv opfølgning på Ombudsmandens henstillinger;</w:t>
      </w:r>
    </w:p>
    <w:p w14:paraId="4B857348" w14:textId="77777777" w:rsidR="008616EA" w:rsidRPr="000A75EB" w:rsidRDefault="00553C88" w:rsidP="008616EA">
      <w:pPr>
        <w:pStyle w:val="NormalHanging12a"/>
      </w:pPr>
      <w:r>
        <w:t>38</w:t>
      </w:r>
      <w:r w:rsidR="008616EA" w:rsidRPr="000A75EB">
        <w:t>.</w:t>
      </w:r>
      <w:r w:rsidR="008616EA" w:rsidRPr="000A75EB">
        <w:tab/>
        <w:t xml:space="preserve">understreger, at europæiske borgerinitiativer udgør et vigtigt instrument for aktivt medborgerskab og offentlig deltagelse; glæder sig over drøftelserne på nogle møder af fejlslagne europæiske borgerinitiativer, som i visse tilfælde efterfølgende er blevet omformuleret til andragender, hvilket gav borgerne mulighed for at fremlægge deres idéer og afholde en konstruktiv debat og samtidig bidrog til deres deltagelse i EU's demokratiske processer; noterer sig det betydelige antal nye europæiske borgerinitiativer, som Kommissionen registrerede i 2023, og som vidner om, at borgerne udnytter muligheden for at anvende deltagelsesinstrumenter for at få indflydelse på udformningen af politikker og lovgivningsprocesser; opfordrer Kommissionen til at gå i dialog med borgerne og følge op på succesrige borgerinitiativer på passende vis; glæder sig over den vigtige indsats, der er gjort for i samarbejde med andre udvalg at afholde fire offentlige høringer om succesrige </w:t>
      </w:r>
      <w:r w:rsidR="008616EA" w:rsidRPr="000A75EB">
        <w:lastRenderedPageBreak/>
        <w:t>europæiske borgerinitiativer, hvilket gjorde det muligt for initiativtagerne at fremlægge målet med initiativerne og indgå i dialog med medlemmer af Europa-Parlamentet og repræsentanter for Kommissionen; understreger, at Kommissionens engagement med hensyn til at reagere på gyldige europæiske borgerinitiativer er afgørende for at fastholde borgernes tillid til det europæiske borgerinitiativ som det vigtigste instrument for deltagerorienteret demokrati;</w:t>
      </w:r>
    </w:p>
    <w:p w14:paraId="59A47DE0" w14:textId="77777777" w:rsidR="008616EA" w:rsidRPr="000A75EB" w:rsidRDefault="00553C88" w:rsidP="008616EA">
      <w:pPr>
        <w:pStyle w:val="NormalHanging12a"/>
        <w:rPr>
          <w:b/>
          <w:i/>
        </w:rPr>
      </w:pPr>
      <w:r>
        <w:t>39</w:t>
      </w:r>
      <w:r w:rsidR="008616EA" w:rsidRPr="000A75EB">
        <w:t>.</w:t>
      </w:r>
      <w:r w:rsidR="008616EA" w:rsidRPr="000A75EB">
        <w:rPr>
          <w:b/>
          <w:i/>
        </w:rPr>
        <w:tab/>
      </w:r>
      <w:r w:rsidR="008616EA" w:rsidRPr="000A75EB">
        <w:t>opfordrer indtrængende Kommissionen til at tage behørigt hensyn til de beslutninger, som Parlamentet har vedtaget om europæiske borgerinitiativer, og til at styrke sin dialog med borgerne, navnlig ved at sikre en passende og effektiv opfølgning på vellykkede europæiske borgerinitiativer og herigennem styrke den demokratiske proces og sikre, at der i tilstrækkeligt omfang tages hensyn til borgernes stemme i EU's politiske beslutningsproces;</w:t>
      </w:r>
    </w:p>
    <w:p w14:paraId="167DE9B9" w14:textId="77777777" w:rsidR="008616EA" w:rsidRPr="000A75EB" w:rsidRDefault="00553C88" w:rsidP="008616EA">
      <w:pPr>
        <w:pStyle w:val="NormalHanging12a"/>
        <w:rPr>
          <w:rFonts w:eastAsia="Calibri"/>
        </w:rPr>
      </w:pPr>
      <w:r>
        <w:t>40</w:t>
      </w:r>
      <w:r w:rsidR="008616EA" w:rsidRPr="000A75EB">
        <w:t>.</w:t>
      </w:r>
      <w:r w:rsidR="008616EA" w:rsidRPr="000A75EB">
        <w:tab/>
        <w:t>understreger, at webportalen for andragender er et vigtigt redskab til at sikre en smidig, effektiv og gennemsigtig proces for andragender; glæder sig i den forbindelse over de forbedringer af databeskyttelsen og sikkerhedsfunktionerne, som har gjort portalen mere brugervenlig og sikker for borgerne; understreger, at bestræbelserne på at gøre portalen mere tilgængelig, herunder for tegnsprogbrugere og personer med handicap, skal fortsættes; bemærker, at webportalen for andragender har været et af Europa-Parlamentets mest besøgte websteder og dermed har fungeret som et første kontaktpunkt med Parlamentet for mange EU-borgere;</w:t>
      </w:r>
    </w:p>
    <w:p w14:paraId="777C0E88" w14:textId="77777777" w:rsidR="008616EA" w:rsidRPr="000A75EB" w:rsidRDefault="00553C88" w:rsidP="008616EA">
      <w:pPr>
        <w:pStyle w:val="NormalHanging12a"/>
      </w:pPr>
      <w:r>
        <w:t>41</w:t>
      </w:r>
      <w:r w:rsidR="008616EA" w:rsidRPr="000A75EB">
        <w:t>.</w:t>
      </w:r>
      <w:r w:rsidR="008616EA" w:rsidRPr="000A75EB">
        <w:rPr>
          <w:b/>
          <w:i/>
        </w:rPr>
        <w:tab/>
      </w:r>
      <w:r w:rsidR="008616EA" w:rsidRPr="000A75EB">
        <w:t>minder om den europæiske dimension af Udvalget for Andragender, som borgere fra alle 27 medlemsstater kan henvende sig til vedrørende spørgsmål, der ligger inden for Unionens virksomhedsområde; mener, at udvalget har et særligt ansvar for at værne om denne europæiske dimension og illustrere merværdien af europæisk enhed og integration for borgerne og fortsat behandle spørgsmål vedrørende overtrædelser af EU-retten samt smuthuller og mangler i den eksisterende EU-rets bestemmelser; mener, at rettidig undgåelse af andragender om emner, som klart er omfattet af nationale beføjelser, sammen med udtømmende forklaringer og vejledninger om alternative handlemuligheder, hvis det er passende, kan bidrage til en konstruktiv tilgang og en forbedret borgerinddragelse; finder i den forbindelse, at Europa-Parlamentet bør øge sine bestræbelser på at fremme dets Udvalg for Andragenders rolle og arbejde og udbrede kendskabet blandt alle EU-borgere til muligheden for at indgive et andragende til Europa-Parlamentet; minder om, at de fleste andragender på grund af den begrænsede tid, der er afsat til udvalgsmøder, behandles ved skriftlig procedure; minder i denne forbindelse om, at alle modtagne andragender, herunder andragender om internationale anliggender, bør behandles med den nødvendige gennemsigtighed og upartiskhed; er af den opfattelse, at der ved udvælgelsen af andragender til drøftelse i udvalget bør tages hensyn til en geografisk og politisk balance mellem de modtagne andragender; mener endvidere, at der også bør tilstræbes geografisk balance ved tilrettelæggelsen af udvalgets undersøgelsesrejser både i de enkelte år og i løbet af en lovgivningsperiode;</w:t>
      </w:r>
    </w:p>
    <w:p w14:paraId="6D467DAD" w14:textId="77777777" w:rsidR="008616EA" w:rsidRPr="000A75EB" w:rsidRDefault="00553C88" w:rsidP="008616EA">
      <w:pPr>
        <w:pStyle w:val="NormalHanging12a"/>
      </w:pPr>
      <w:r>
        <w:t>42</w:t>
      </w:r>
      <w:r w:rsidR="008616EA" w:rsidRPr="000A75EB">
        <w:t>.</w:t>
      </w:r>
      <w:r w:rsidR="008616EA" w:rsidRPr="000A75EB">
        <w:tab/>
        <w:t>glæder sig over vedtagelsen af det korte forslag til beslutning om oprettelse af en europæisk hovedstad for lokal handel</w:t>
      </w:r>
      <w:r w:rsidR="008616EA" w:rsidRPr="000A75EB">
        <w:rPr>
          <w:rStyle w:val="FootnoteReference"/>
        </w:rPr>
        <w:footnoteReference w:id="7"/>
      </w:r>
      <w:r w:rsidR="008616EA" w:rsidRPr="000A75EB">
        <w:t xml:space="preserve"> på plenarforsamlingen i januar 2023; understreger, at dette er et glimrende resultat for Udvalget for Andragender, og bemærker, at projektet med succes er medtaget som en forberedende foranstaltning i budgettet for 2024 med et samlet budget på 3 mio. EUR; minder om, at projektet om </w:t>
      </w:r>
      <w:r w:rsidR="008616EA" w:rsidRPr="000A75EB">
        <w:lastRenderedPageBreak/>
        <w:t>oprettelse af en europæisk hovedstad for små detailforretninger officielt blev fremlagt af Kommissionen i Barcelona i december 2023;</w:t>
      </w:r>
    </w:p>
    <w:p w14:paraId="445042DE" w14:textId="77777777" w:rsidR="00E365E1" w:rsidRPr="000A75EB" w:rsidRDefault="00553C88" w:rsidP="007672F5">
      <w:pPr>
        <w:pStyle w:val="NormalHanging12a"/>
      </w:pPr>
      <w:r>
        <w:t>43</w:t>
      </w:r>
      <w:r w:rsidR="008616EA" w:rsidRPr="000A75EB">
        <w:t>.</w:t>
      </w:r>
      <w:r w:rsidR="008616EA" w:rsidRPr="000A75EB">
        <w:tab/>
        <w:t xml:space="preserve">pålægger sin formand at sende denne beslutning og betænkningen fra Udvalget for Andragender til Rådet, Kommissionen, Den Europæiske Ombudsmand og medlemsstaternes regeringer samt til medlemsstaternes parlamenter og disses udvalg for </w:t>
      </w:r>
      <w:proofErr w:type="gramStart"/>
      <w:r w:rsidR="008616EA" w:rsidRPr="000A75EB">
        <w:t>andragender</w:t>
      </w:r>
      <w:proofErr w:type="gramEnd"/>
      <w:r w:rsidR="008616EA" w:rsidRPr="000A75EB">
        <w:t xml:space="preserve"> og ombudsmænd eller lignende kompetente organer.</w:t>
      </w:r>
    </w:p>
    <w:sectPr w:rsidR="00E365E1" w:rsidRPr="000A75EB" w:rsidSect="000A75E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5C005" w14:textId="77777777" w:rsidR="00693810" w:rsidRPr="000A75EB" w:rsidRDefault="00693810">
      <w:r w:rsidRPr="000A75EB">
        <w:separator/>
      </w:r>
    </w:p>
  </w:endnote>
  <w:endnote w:type="continuationSeparator" w:id="0">
    <w:p w14:paraId="67D51EF0" w14:textId="77777777" w:rsidR="00693810" w:rsidRPr="000A75EB" w:rsidRDefault="00693810">
      <w:r w:rsidRPr="000A75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3FA3C" w14:textId="77777777" w:rsidR="00693810" w:rsidRPr="000A75EB" w:rsidRDefault="00693810">
      <w:r w:rsidRPr="000A75EB">
        <w:separator/>
      </w:r>
    </w:p>
  </w:footnote>
  <w:footnote w:type="continuationSeparator" w:id="0">
    <w:p w14:paraId="49496384" w14:textId="77777777" w:rsidR="00693810" w:rsidRPr="000A75EB" w:rsidRDefault="00693810">
      <w:r w:rsidRPr="000A75EB">
        <w:continuationSeparator/>
      </w:r>
    </w:p>
  </w:footnote>
  <w:footnote w:id="1">
    <w:p w14:paraId="40682B56" w14:textId="77777777" w:rsidR="00595F06" w:rsidRPr="00B900AD" w:rsidRDefault="00595F06" w:rsidP="00B900AD">
      <w:pPr>
        <w:pStyle w:val="FootnoteText"/>
        <w:ind w:left="567" w:hanging="567"/>
        <w:rPr>
          <w:sz w:val="24"/>
          <w:szCs w:val="24"/>
          <w:lang w:val="fi-FI"/>
        </w:rPr>
      </w:pPr>
      <w:r w:rsidRPr="00B900AD">
        <w:rPr>
          <w:rStyle w:val="FootnoteReference"/>
          <w:sz w:val="24"/>
          <w:szCs w:val="24"/>
        </w:rPr>
        <w:footnoteRef/>
      </w:r>
      <w:r w:rsidRPr="00B900AD">
        <w:rPr>
          <w:sz w:val="24"/>
          <w:szCs w:val="24"/>
          <w:lang w:val="fi-FI"/>
        </w:rPr>
        <w:t xml:space="preserve"> </w:t>
      </w:r>
      <w:r w:rsidRPr="00B900AD">
        <w:rPr>
          <w:sz w:val="24"/>
          <w:szCs w:val="24"/>
          <w:lang w:val="fi-FI"/>
        </w:rPr>
        <w:tab/>
        <w:t>EUT C, C/2024/3999, 17.7.2024, ELI: http://data.europa.eu/eli/C/2024/3999/oj.</w:t>
      </w:r>
    </w:p>
  </w:footnote>
  <w:footnote w:id="2">
    <w:p w14:paraId="77535795" w14:textId="77777777" w:rsidR="00AF2D20" w:rsidRPr="00B900AD" w:rsidRDefault="00AF2D20" w:rsidP="00B900AD">
      <w:pPr>
        <w:pStyle w:val="FootnoteText"/>
        <w:ind w:left="567" w:hanging="567"/>
        <w:rPr>
          <w:sz w:val="24"/>
          <w:szCs w:val="24"/>
          <w:lang w:val="da-DK"/>
        </w:rPr>
      </w:pPr>
      <w:r w:rsidRPr="00B900AD">
        <w:rPr>
          <w:rStyle w:val="FootnoteReference"/>
          <w:sz w:val="24"/>
          <w:szCs w:val="24"/>
        </w:rPr>
        <w:footnoteRef/>
      </w:r>
      <w:r w:rsidRPr="00B900AD">
        <w:rPr>
          <w:sz w:val="24"/>
          <w:szCs w:val="24"/>
          <w:lang w:val="da-DK"/>
        </w:rPr>
        <w:t xml:space="preserve"> </w:t>
      </w:r>
      <w:r w:rsidRPr="00B900AD">
        <w:rPr>
          <w:sz w:val="24"/>
          <w:szCs w:val="24"/>
          <w:lang w:val="da-DK"/>
        </w:rPr>
        <w:tab/>
        <w:t>Rådets direktiv 92/43/EØF af 21. maj 1992 om bevaring af naturtyper samt vilde dyr og planter (EFT L 206 af 22.7.1992, s. 7, ELI: http://data.europa.eu/eli/dir/1992/43/oj).</w:t>
      </w:r>
    </w:p>
  </w:footnote>
  <w:footnote w:id="3">
    <w:p w14:paraId="5353EB0F" w14:textId="77777777" w:rsidR="00AF2D20" w:rsidRPr="00B900AD" w:rsidRDefault="00AF2D20" w:rsidP="00B900AD">
      <w:pPr>
        <w:pStyle w:val="FootnoteText"/>
        <w:ind w:left="567" w:hanging="567"/>
        <w:rPr>
          <w:sz w:val="24"/>
          <w:szCs w:val="24"/>
          <w:lang w:val="da-DK"/>
        </w:rPr>
      </w:pPr>
      <w:r w:rsidRPr="00B900AD">
        <w:rPr>
          <w:rStyle w:val="FootnoteReference"/>
          <w:sz w:val="24"/>
          <w:szCs w:val="24"/>
        </w:rPr>
        <w:footnoteRef/>
      </w:r>
      <w:r w:rsidRPr="00B900AD">
        <w:rPr>
          <w:sz w:val="24"/>
          <w:szCs w:val="24"/>
          <w:lang w:val="da-DK"/>
        </w:rPr>
        <w:t xml:space="preserve"> </w:t>
      </w:r>
      <w:r w:rsidRPr="00B900AD">
        <w:rPr>
          <w:sz w:val="24"/>
          <w:szCs w:val="24"/>
          <w:lang w:val="da-DK"/>
        </w:rPr>
        <w:tab/>
        <w:t xml:space="preserve">Europa-Parlamentets og Rådets direktiv 2009/147/EF af 30. november 2009 om beskyttelse af vilde fugle (EUT L 20 af 26.1.2010, s. 7 </w:t>
      </w:r>
      <w:r w:rsidR="00B900AD">
        <w:rPr>
          <w:sz w:val="24"/>
          <w:szCs w:val="24"/>
          <w:lang w:val="da-DK"/>
        </w:rPr>
        <w:t>(</w:t>
      </w:r>
      <w:r w:rsidRPr="00B900AD">
        <w:rPr>
          <w:sz w:val="24"/>
          <w:szCs w:val="24"/>
          <w:lang w:val="da-DK"/>
        </w:rPr>
        <w:t>ELI: http://data.europa.eu/eli/dir/2009/147/oj).</w:t>
      </w:r>
    </w:p>
  </w:footnote>
  <w:footnote w:id="4">
    <w:p w14:paraId="556D8912" w14:textId="77777777" w:rsidR="000933C8" w:rsidRPr="00B900AD" w:rsidRDefault="000933C8" w:rsidP="00B900AD">
      <w:pPr>
        <w:pStyle w:val="FootnoteText"/>
        <w:ind w:left="567" w:hanging="567"/>
        <w:rPr>
          <w:sz w:val="24"/>
          <w:szCs w:val="24"/>
          <w:lang w:val="fi-FI"/>
        </w:rPr>
      </w:pPr>
      <w:r w:rsidRPr="00B900AD">
        <w:rPr>
          <w:rStyle w:val="FootnoteReference"/>
          <w:sz w:val="24"/>
          <w:szCs w:val="24"/>
        </w:rPr>
        <w:footnoteRef/>
      </w:r>
      <w:r w:rsidRPr="00B900AD">
        <w:rPr>
          <w:sz w:val="24"/>
          <w:szCs w:val="24"/>
          <w:lang w:val="fi-FI"/>
        </w:rPr>
        <w:t xml:space="preserve"> </w:t>
      </w:r>
      <w:r w:rsidRPr="00B900AD">
        <w:rPr>
          <w:sz w:val="24"/>
          <w:szCs w:val="24"/>
          <w:lang w:val="fi-FI"/>
        </w:rPr>
        <w:tab/>
        <w:t>EUT C, C/2024/6559, 12.11.2024, ELI: http://data.europa.eu/eli/C/2024/6559/oj.</w:t>
      </w:r>
    </w:p>
  </w:footnote>
  <w:footnote w:id="5">
    <w:p w14:paraId="66306395" w14:textId="77777777" w:rsidR="008616EA" w:rsidRPr="000A75EB" w:rsidRDefault="008616EA" w:rsidP="000A75EB">
      <w:pPr>
        <w:pStyle w:val="FootnoteText"/>
        <w:ind w:left="567" w:hanging="567"/>
        <w:rPr>
          <w:sz w:val="24"/>
          <w:lang w:val="da-DK"/>
        </w:rPr>
      </w:pPr>
      <w:r w:rsidRPr="000A75EB">
        <w:rPr>
          <w:rStyle w:val="FootnoteReference"/>
          <w:sz w:val="24"/>
          <w:lang w:val="da-DK"/>
        </w:rPr>
        <w:footnoteRef/>
      </w:r>
      <w:r w:rsidR="000A75EB" w:rsidRPr="000A75EB">
        <w:rPr>
          <w:sz w:val="24"/>
          <w:lang w:val="da-DK"/>
        </w:rPr>
        <w:t xml:space="preserve"> </w:t>
      </w:r>
      <w:r w:rsidR="000A75EB" w:rsidRPr="000A75EB">
        <w:rPr>
          <w:sz w:val="24"/>
          <w:lang w:val="da-DK"/>
        </w:rPr>
        <w:tab/>
      </w:r>
      <w:r w:rsidRPr="000A75EB">
        <w:rPr>
          <w:sz w:val="24"/>
          <w:lang w:val="da-DK"/>
        </w:rPr>
        <w:t xml:space="preserve">Vedtaget af Parlamentet som dets beslutning af 23. november 2023 om resultatet af arbejdet i Udvalget for Andragender i 2022 </w:t>
      </w:r>
      <w:r w:rsidR="00B900AD">
        <w:rPr>
          <w:sz w:val="24"/>
          <w:lang w:val="da-DK"/>
        </w:rPr>
        <w:t>(</w:t>
      </w:r>
      <w:r w:rsidRPr="000A75EB">
        <w:rPr>
          <w:sz w:val="24"/>
          <w:lang w:val="da-DK"/>
        </w:rPr>
        <w:t>EUT C, C/2024/4220 af 24.7.2024, ELI: http://data.europa.eu/eli/C/2024/4220/oj</w:t>
      </w:r>
      <w:r w:rsidR="00B900AD">
        <w:rPr>
          <w:sz w:val="24"/>
          <w:lang w:val="da-DK"/>
        </w:rPr>
        <w:t>)</w:t>
      </w:r>
      <w:r w:rsidRPr="000A75EB">
        <w:rPr>
          <w:sz w:val="24"/>
          <w:lang w:val="da-DK"/>
        </w:rPr>
        <w:t>.</w:t>
      </w:r>
    </w:p>
  </w:footnote>
  <w:footnote w:id="6">
    <w:p w14:paraId="6969487B" w14:textId="77777777" w:rsidR="009F396D" w:rsidRPr="00B900AD" w:rsidRDefault="009F396D" w:rsidP="00B900AD">
      <w:pPr>
        <w:pStyle w:val="FootnoteText"/>
        <w:ind w:left="567" w:hanging="567"/>
        <w:rPr>
          <w:sz w:val="24"/>
          <w:szCs w:val="24"/>
          <w:lang w:val="da-DK"/>
        </w:rPr>
      </w:pPr>
      <w:r w:rsidRPr="00B900AD">
        <w:rPr>
          <w:rStyle w:val="FootnoteReference"/>
          <w:sz w:val="24"/>
          <w:szCs w:val="24"/>
        </w:rPr>
        <w:footnoteRef/>
      </w:r>
      <w:r w:rsidRPr="00B900AD">
        <w:rPr>
          <w:sz w:val="24"/>
          <w:szCs w:val="24"/>
          <w:lang w:val="da-DK"/>
        </w:rPr>
        <w:t xml:space="preserve"> </w:t>
      </w:r>
      <w:r w:rsidRPr="00B900AD">
        <w:rPr>
          <w:sz w:val="24"/>
          <w:szCs w:val="24"/>
          <w:lang w:val="da-DK"/>
        </w:rPr>
        <w:tab/>
        <w:t>Artikel 25-30 i Europa-Parlamentets og Rådets forordning (EU) 2016/399 af 9. marts 2016 om en EU-kodeks for personers grænsepassage (</w:t>
      </w:r>
      <w:proofErr w:type="spellStart"/>
      <w:r w:rsidRPr="00B900AD">
        <w:rPr>
          <w:sz w:val="24"/>
          <w:szCs w:val="24"/>
          <w:lang w:val="da-DK"/>
        </w:rPr>
        <w:t>Schengengrænsekodeks</w:t>
      </w:r>
      <w:proofErr w:type="spellEnd"/>
      <w:r w:rsidRPr="00B900AD">
        <w:rPr>
          <w:sz w:val="24"/>
          <w:szCs w:val="24"/>
          <w:lang w:val="da-DK"/>
        </w:rPr>
        <w:t xml:space="preserve">) (EUT L 77 af 23.3.2016, s. 1, ELI: </w:t>
      </w:r>
      <w:r w:rsidR="00BD0508">
        <w:fldChar w:fldCharType="begin"/>
      </w:r>
      <w:r w:rsidR="00BD0508" w:rsidRPr="00BD0508">
        <w:rPr>
          <w:lang w:val="da-DK"/>
          <w:rPrChange w:id="6" w:author="ANDERSEN Anne Fonnesbaek" w:date="2025-06-10T16:11:00Z">
            <w:rPr/>
          </w:rPrChange>
        </w:rPr>
        <w:instrText>HYPERLINK "http://data.europa.eu/eli/reg/2016/399/oj"</w:instrText>
      </w:r>
      <w:r w:rsidR="00BD0508">
        <w:fldChar w:fldCharType="separate"/>
      </w:r>
      <w:r w:rsidRPr="00B900AD">
        <w:rPr>
          <w:rStyle w:val="Hyperlink"/>
          <w:sz w:val="24"/>
          <w:szCs w:val="24"/>
          <w:lang w:val="da-DK"/>
        </w:rPr>
        <w:t>http://data.europa.eu/eli/reg/2016/399/oj</w:t>
      </w:r>
      <w:r w:rsidR="00BD0508">
        <w:rPr>
          <w:rStyle w:val="Hyperlink"/>
          <w:sz w:val="24"/>
          <w:szCs w:val="24"/>
          <w:lang w:val="da-DK"/>
        </w:rPr>
        <w:fldChar w:fldCharType="end"/>
      </w:r>
      <w:r w:rsidRPr="00B900AD">
        <w:rPr>
          <w:sz w:val="24"/>
          <w:szCs w:val="24"/>
          <w:lang w:val="da-DK"/>
        </w:rPr>
        <w:t>).</w:t>
      </w:r>
    </w:p>
  </w:footnote>
  <w:footnote w:id="7">
    <w:p w14:paraId="070E9278" w14:textId="77777777" w:rsidR="008616EA" w:rsidRPr="00B900AD" w:rsidRDefault="008616EA" w:rsidP="000A75EB">
      <w:pPr>
        <w:pStyle w:val="FootnoteText"/>
        <w:ind w:left="567" w:hanging="567"/>
        <w:rPr>
          <w:sz w:val="24"/>
          <w:szCs w:val="24"/>
          <w:lang w:val="da-DK"/>
        </w:rPr>
      </w:pPr>
      <w:r w:rsidRPr="00B900AD">
        <w:rPr>
          <w:rStyle w:val="FootnoteReference"/>
          <w:sz w:val="24"/>
          <w:szCs w:val="24"/>
          <w:lang w:val="da-DK"/>
        </w:rPr>
        <w:footnoteRef/>
      </w:r>
      <w:r w:rsidR="000A75EB" w:rsidRPr="00B900AD">
        <w:rPr>
          <w:sz w:val="24"/>
          <w:szCs w:val="24"/>
          <w:lang w:val="da-DK"/>
        </w:rPr>
        <w:t xml:space="preserve"> </w:t>
      </w:r>
      <w:r w:rsidR="000A75EB" w:rsidRPr="00B900AD">
        <w:rPr>
          <w:sz w:val="24"/>
          <w:szCs w:val="24"/>
          <w:lang w:val="da-DK"/>
        </w:rPr>
        <w:tab/>
      </w:r>
      <w:r w:rsidR="00B900AD" w:rsidRPr="00B900AD">
        <w:rPr>
          <w:sz w:val="24"/>
          <w:szCs w:val="24"/>
          <w:lang w:val="da-DK"/>
        </w:rPr>
        <w:t>EUT C 214 af 16.6.2023, s. 2</w:t>
      </w:r>
      <w:r w:rsidRPr="00B900AD">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2341016">
    <w:abstractNumId w:val="9"/>
  </w:num>
  <w:num w:numId="2" w16cid:durableId="698317422">
    <w:abstractNumId w:val="9"/>
  </w:num>
  <w:num w:numId="3" w16cid:durableId="1855146585">
    <w:abstractNumId w:val="7"/>
  </w:num>
  <w:num w:numId="4" w16cid:durableId="2033803467">
    <w:abstractNumId w:val="7"/>
  </w:num>
  <w:num w:numId="5" w16cid:durableId="1652247202">
    <w:abstractNumId w:val="6"/>
  </w:num>
  <w:num w:numId="6" w16cid:durableId="722100371">
    <w:abstractNumId w:val="6"/>
  </w:num>
  <w:num w:numId="7" w16cid:durableId="179587764">
    <w:abstractNumId w:val="5"/>
  </w:num>
  <w:num w:numId="8" w16cid:durableId="1273324842">
    <w:abstractNumId w:val="5"/>
  </w:num>
  <w:num w:numId="9" w16cid:durableId="1617328367">
    <w:abstractNumId w:val="4"/>
  </w:num>
  <w:num w:numId="10" w16cid:durableId="462308894">
    <w:abstractNumId w:val="4"/>
  </w:num>
  <w:num w:numId="11" w16cid:durableId="1836610549">
    <w:abstractNumId w:val="8"/>
  </w:num>
  <w:num w:numId="12" w16cid:durableId="9452590">
    <w:abstractNumId w:val="8"/>
  </w:num>
  <w:num w:numId="13" w16cid:durableId="1763064909">
    <w:abstractNumId w:val="3"/>
  </w:num>
  <w:num w:numId="14" w16cid:durableId="1499347509">
    <w:abstractNumId w:val="3"/>
  </w:num>
  <w:num w:numId="15" w16cid:durableId="1068070313">
    <w:abstractNumId w:val="2"/>
  </w:num>
  <w:num w:numId="16" w16cid:durableId="115368520">
    <w:abstractNumId w:val="2"/>
  </w:num>
  <w:num w:numId="17" w16cid:durableId="2111659311">
    <w:abstractNumId w:val="1"/>
  </w:num>
  <w:num w:numId="18" w16cid:durableId="1722090151">
    <w:abstractNumId w:val="1"/>
  </w:num>
  <w:num w:numId="19" w16cid:durableId="1174954744">
    <w:abstractNumId w:val="0"/>
  </w:num>
  <w:num w:numId="20" w16cid:durableId="2103984182">
    <w:abstractNumId w:val="0"/>
  </w:num>
  <w:num w:numId="21" w16cid:durableId="1586110892">
    <w:abstractNumId w:val="9"/>
  </w:num>
  <w:num w:numId="22" w16cid:durableId="1690175633">
    <w:abstractNumId w:val="7"/>
  </w:num>
  <w:num w:numId="23" w16cid:durableId="74791461">
    <w:abstractNumId w:val="6"/>
  </w:num>
  <w:num w:numId="24" w16cid:durableId="1369600118">
    <w:abstractNumId w:val="5"/>
  </w:num>
  <w:num w:numId="25" w16cid:durableId="184102916">
    <w:abstractNumId w:val="4"/>
  </w:num>
  <w:num w:numId="26" w16cid:durableId="1090200565">
    <w:abstractNumId w:val="8"/>
  </w:num>
  <w:num w:numId="27" w16cid:durableId="914634073">
    <w:abstractNumId w:val="3"/>
  </w:num>
  <w:num w:numId="28" w16cid:durableId="1274095819">
    <w:abstractNumId w:val="2"/>
  </w:num>
  <w:num w:numId="29" w16cid:durableId="2099599616">
    <w:abstractNumId w:val="1"/>
  </w:num>
  <w:num w:numId="30" w16cid:durableId="53898298">
    <w:abstractNumId w:val="0"/>
  </w:num>
  <w:num w:numId="31" w16cid:durableId="1080253657">
    <w:abstractNumId w:val="9"/>
  </w:num>
  <w:num w:numId="32" w16cid:durableId="156191888">
    <w:abstractNumId w:val="7"/>
  </w:num>
  <w:num w:numId="33" w16cid:durableId="852885854">
    <w:abstractNumId w:val="6"/>
  </w:num>
  <w:num w:numId="34" w16cid:durableId="2020427655">
    <w:abstractNumId w:val="5"/>
  </w:num>
  <w:num w:numId="35" w16cid:durableId="1301305008">
    <w:abstractNumId w:val="4"/>
  </w:num>
  <w:num w:numId="36" w16cid:durableId="680931892">
    <w:abstractNumId w:val="8"/>
  </w:num>
  <w:num w:numId="37" w16cid:durableId="901064348">
    <w:abstractNumId w:val="3"/>
  </w:num>
  <w:num w:numId="38" w16cid:durableId="1660112541">
    <w:abstractNumId w:val="2"/>
  </w:num>
  <w:num w:numId="39" w16cid:durableId="474566916">
    <w:abstractNumId w:val="1"/>
  </w:num>
  <w:num w:numId="40" w16cid:durableId="1943030304">
    <w:abstractNumId w:val="0"/>
  </w:num>
  <w:num w:numId="41" w16cid:durableId="678117920">
    <w:abstractNumId w:val="10"/>
  </w:num>
  <w:num w:numId="42" w16cid:durableId="256716061">
    <w:abstractNumId w:val="10"/>
  </w:num>
  <w:num w:numId="43" w16cid:durableId="1623998496">
    <w:abstractNumId w:val="10"/>
  </w:num>
  <w:num w:numId="44" w16cid:durableId="14308588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ERSEN Anne Fonnesbaek">
    <w15:presenceInfo w15:providerId="AD" w15:userId="S::annefonnesbaek.thybo@europarl.europa.eu::2ac2237c-3eb2-47ac-b4a2-feb1d0bb37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3/2025"/>
    <w:docVar w:name="dvlangue" w:val="DA"/>
    <w:docVar w:name="dvnumam" w:val="0"/>
    <w:docVar w:name="dvpe" w:val="768.068"/>
    <w:docVar w:name="dvrapporteur" w:val="Ordfører: "/>
    <w:docVar w:name="dvtitre" w:val="Europa-Parlamentets beslutning af xx.xx 2025 om resultatet af arbejdet i Udvalget for Andragender i 2023(2025/2027(INI))"/>
  </w:docVars>
  <w:rsids>
    <w:rsidRoot w:val="00693810"/>
    <w:rsid w:val="00002272"/>
    <w:rsid w:val="0004202E"/>
    <w:rsid w:val="0004764E"/>
    <w:rsid w:val="00064002"/>
    <w:rsid w:val="000677B9"/>
    <w:rsid w:val="000831BA"/>
    <w:rsid w:val="000871C6"/>
    <w:rsid w:val="000933C8"/>
    <w:rsid w:val="000A42CC"/>
    <w:rsid w:val="000A75EB"/>
    <w:rsid w:val="000B736E"/>
    <w:rsid w:val="000E7DD9"/>
    <w:rsid w:val="0010095E"/>
    <w:rsid w:val="00125B37"/>
    <w:rsid w:val="00187494"/>
    <w:rsid w:val="001B2EC2"/>
    <w:rsid w:val="001D095A"/>
    <w:rsid w:val="001F32AE"/>
    <w:rsid w:val="002767FF"/>
    <w:rsid w:val="002B18FE"/>
    <w:rsid w:val="002B5493"/>
    <w:rsid w:val="002D0297"/>
    <w:rsid w:val="00343214"/>
    <w:rsid w:val="00360BFC"/>
    <w:rsid w:val="00361C00"/>
    <w:rsid w:val="00387944"/>
    <w:rsid w:val="00395FA1"/>
    <w:rsid w:val="003E15D4"/>
    <w:rsid w:val="00411CCE"/>
    <w:rsid w:val="0041666E"/>
    <w:rsid w:val="00421060"/>
    <w:rsid w:val="004711A5"/>
    <w:rsid w:val="00471C19"/>
    <w:rsid w:val="004867E3"/>
    <w:rsid w:val="00494A28"/>
    <w:rsid w:val="004A4252"/>
    <w:rsid w:val="004C0004"/>
    <w:rsid w:val="004C5D52"/>
    <w:rsid w:val="004E1509"/>
    <w:rsid w:val="0050519A"/>
    <w:rsid w:val="005072A1"/>
    <w:rsid w:val="00514517"/>
    <w:rsid w:val="00545827"/>
    <w:rsid w:val="00553C88"/>
    <w:rsid w:val="00560270"/>
    <w:rsid w:val="00595F06"/>
    <w:rsid w:val="005B026E"/>
    <w:rsid w:val="005C2568"/>
    <w:rsid w:val="005E113D"/>
    <w:rsid w:val="005F1B17"/>
    <w:rsid w:val="006037C0"/>
    <w:rsid w:val="006631B6"/>
    <w:rsid w:val="00680577"/>
    <w:rsid w:val="00693810"/>
    <w:rsid w:val="006C18B1"/>
    <w:rsid w:val="006F74FA"/>
    <w:rsid w:val="00731ADD"/>
    <w:rsid w:val="00734777"/>
    <w:rsid w:val="00747932"/>
    <w:rsid w:val="00751A4A"/>
    <w:rsid w:val="00756632"/>
    <w:rsid w:val="00762C74"/>
    <w:rsid w:val="007672F5"/>
    <w:rsid w:val="00786EC0"/>
    <w:rsid w:val="007A59E6"/>
    <w:rsid w:val="007D1690"/>
    <w:rsid w:val="007E22AD"/>
    <w:rsid w:val="00817416"/>
    <w:rsid w:val="00842779"/>
    <w:rsid w:val="008616EA"/>
    <w:rsid w:val="00865F67"/>
    <w:rsid w:val="00881A7B"/>
    <w:rsid w:val="008840E5"/>
    <w:rsid w:val="00887B3E"/>
    <w:rsid w:val="008C2AC6"/>
    <w:rsid w:val="00930C23"/>
    <w:rsid w:val="0093193B"/>
    <w:rsid w:val="009509D8"/>
    <w:rsid w:val="00950B64"/>
    <w:rsid w:val="00981893"/>
    <w:rsid w:val="00990499"/>
    <w:rsid w:val="009F396D"/>
    <w:rsid w:val="00A1687D"/>
    <w:rsid w:val="00A43E52"/>
    <w:rsid w:val="00A4678D"/>
    <w:rsid w:val="00A66A64"/>
    <w:rsid w:val="00A778C7"/>
    <w:rsid w:val="00AB441E"/>
    <w:rsid w:val="00AB6293"/>
    <w:rsid w:val="00AD1F36"/>
    <w:rsid w:val="00AE0928"/>
    <w:rsid w:val="00AF2D20"/>
    <w:rsid w:val="00AF3B82"/>
    <w:rsid w:val="00AF6A61"/>
    <w:rsid w:val="00B12E95"/>
    <w:rsid w:val="00B22876"/>
    <w:rsid w:val="00B558F0"/>
    <w:rsid w:val="00B62B8B"/>
    <w:rsid w:val="00B900AD"/>
    <w:rsid w:val="00BD0508"/>
    <w:rsid w:val="00BD48FE"/>
    <w:rsid w:val="00BD7BD8"/>
    <w:rsid w:val="00BE6ADC"/>
    <w:rsid w:val="00C012FC"/>
    <w:rsid w:val="00C05BFE"/>
    <w:rsid w:val="00C1754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ADC"/>
    <w:rsid w:val="00F5134D"/>
    <w:rsid w:val="00F72EE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13040"/>
  <w15:chartTrackingRefBased/>
  <w15:docId w15:val="{F82718E7-D69B-4A35-94A9-654BBC8FB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616EA"/>
    <w:pPr>
      <w:spacing w:after="240"/>
      <w:ind w:left="567" w:hanging="567"/>
    </w:pPr>
  </w:style>
  <w:style w:type="paragraph" w:customStyle="1" w:styleId="EPComma">
    <w:name w:val="EPComma"/>
    <w:basedOn w:val="Normal"/>
    <w:uiPriority w:val="99"/>
    <w:rsid w:val="008616EA"/>
    <w:pPr>
      <w:spacing w:before="480" w:after="240"/>
    </w:pPr>
  </w:style>
  <w:style w:type="character" w:styleId="Hyperlink">
    <w:name w:val="Hyperlink"/>
    <w:basedOn w:val="DefaultParagraphFont"/>
    <w:unhideWhenUsed/>
    <w:rsid w:val="008616EA"/>
    <w:rPr>
      <w:color w:val="0000FF"/>
      <w:u w:val="single"/>
    </w:rPr>
  </w:style>
  <w:style w:type="character" w:customStyle="1" w:styleId="NormalHanging12aChar">
    <w:name w:val="NormalHanging12a Char"/>
    <w:basedOn w:val="DefaultParagraphFont"/>
    <w:link w:val="NormalHanging12a"/>
    <w:rsid w:val="008616EA"/>
    <w:rPr>
      <w:sz w:val="24"/>
      <w:lang w:val="da-DK"/>
    </w:rPr>
  </w:style>
  <w:style w:type="paragraph" w:styleId="BalloonText">
    <w:name w:val="Balloon Text"/>
    <w:basedOn w:val="Normal"/>
    <w:link w:val="BalloonTextChar"/>
    <w:rsid w:val="00AF2D20"/>
    <w:rPr>
      <w:rFonts w:ascii="Segoe UI" w:hAnsi="Segoe UI" w:cs="Segoe UI"/>
      <w:sz w:val="18"/>
      <w:szCs w:val="18"/>
    </w:rPr>
  </w:style>
  <w:style w:type="character" w:customStyle="1" w:styleId="BalloonTextChar">
    <w:name w:val="Balloon Text Char"/>
    <w:basedOn w:val="DefaultParagraphFont"/>
    <w:link w:val="BalloonText"/>
    <w:rsid w:val="00AF2D20"/>
    <w:rPr>
      <w:rFonts w:ascii="Segoe UI" w:hAnsi="Segoe UI" w:cs="Segoe UI"/>
      <w:sz w:val="18"/>
      <w:szCs w:val="18"/>
      <w:lang w:val="da-DK"/>
    </w:rPr>
  </w:style>
  <w:style w:type="character" w:styleId="CommentReference">
    <w:name w:val="annotation reference"/>
    <w:basedOn w:val="DefaultParagraphFont"/>
    <w:rsid w:val="00B900AD"/>
    <w:rPr>
      <w:sz w:val="16"/>
      <w:szCs w:val="16"/>
    </w:rPr>
  </w:style>
  <w:style w:type="paragraph" w:styleId="CommentText">
    <w:name w:val="annotation text"/>
    <w:basedOn w:val="Normal"/>
    <w:link w:val="CommentTextChar"/>
    <w:rsid w:val="00B900AD"/>
    <w:rPr>
      <w:sz w:val="20"/>
    </w:rPr>
  </w:style>
  <w:style w:type="character" w:customStyle="1" w:styleId="CommentTextChar">
    <w:name w:val="Comment Text Char"/>
    <w:basedOn w:val="DefaultParagraphFont"/>
    <w:link w:val="CommentText"/>
    <w:rsid w:val="00B900AD"/>
    <w:rPr>
      <w:lang w:val="da-DK"/>
    </w:rPr>
  </w:style>
  <w:style w:type="paragraph" w:styleId="CommentSubject">
    <w:name w:val="annotation subject"/>
    <w:basedOn w:val="CommentText"/>
    <w:next w:val="CommentText"/>
    <w:link w:val="CommentSubjectChar"/>
    <w:rsid w:val="00B900AD"/>
    <w:rPr>
      <w:b/>
      <w:bCs/>
    </w:rPr>
  </w:style>
  <w:style w:type="character" w:customStyle="1" w:styleId="CommentSubjectChar">
    <w:name w:val="Comment Subject Char"/>
    <w:basedOn w:val="CommentTextChar"/>
    <w:link w:val="CommentSubject"/>
    <w:rsid w:val="00B900AD"/>
    <w:rPr>
      <w:b/>
      <w:bCs/>
      <w:lang w:val="da-DK"/>
    </w:rPr>
  </w:style>
  <w:style w:type="paragraph" w:styleId="Revision">
    <w:name w:val="Revision"/>
    <w:hidden/>
    <w:uiPriority w:val="99"/>
    <w:semiHidden/>
    <w:rsid w:val="00BD050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C9846-94C9-40A4-B428-B9B4C0D5A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7025</Words>
  <Characters>42719</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2025-06-10T14:13:00Z</dcterms:created>
  <dcterms:modified xsi:type="dcterms:W3CDTF">2025-06-10T14:13:00Z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A10-0063/2025</vt:lpwstr>
  </property>
  <property fmtid="{D5CDD505-2E9C-101B-9397-08002B2CF9AE}" pid="4" name="&lt;Type&gt;">
    <vt:lpwstr>RR</vt:lpwstr>
  </property>
</Properties>
</file>