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7E1E" w:rsidTr="0010095E">
        <w:trPr>
          <w:trHeight w:hRule="exact" w:val="1418"/>
        </w:trPr>
        <w:tc>
          <w:tcPr>
            <w:tcW w:w="6804" w:type="dxa"/>
            <w:shd w:val="clear" w:color="auto" w:fill="auto"/>
            <w:vAlign w:val="center"/>
          </w:tcPr>
          <w:p w:rsidR="00751A4A" w:rsidRPr="006F7E1E" w:rsidRDefault="00CF25C7" w:rsidP="0010095E">
            <w:pPr>
              <w:pStyle w:val="EPName"/>
            </w:pPr>
            <w:r w:rsidRPr="006F7E1E">
              <w:t>Euroopan parlamentti</w:t>
            </w:r>
          </w:p>
          <w:p w:rsidR="00751A4A" w:rsidRPr="006F7E1E" w:rsidRDefault="005F1B17" w:rsidP="005F1B17">
            <w:pPr>
              <w:pStyle w:val="EPTerm"/>
              <w:rPr>
                <w:rStyle w:val="HideTWBExt"/>
                <w:noProof w:val="0"/>
                <w:vanish w:val="0"/>
                <w:color w:val="auto"/>
              </w:rPr>
            </w:pPr>
            <w:r w:rsidRPr="006F7E1E">
              <w:t>2024</w:t>
            </w:r>
            <w:r w:rsidR="00817416" w:rsidRPr="006F7E1E">
              <w:t>-202</w:t>
            </w:r>
            <w:r w:rsidRPr="006F7E1E">
              <w:t>9</w:t>
            </w:r>
          </w:p>
        </w:tc>
        <w:tc>
          <w:tcPr>
            <w:tcW w:w="2268" w:type="dxa"/>
            <w:shd w:val="clear" w:color="auto" w:fill="auto"/>
          </w:tcPr>
          <w:p w:rsidR="00751A4A" w:rsidRPr="006F7E1E" w:rsidRDefault="00187494" w:rsidP="0010095E">
            <w:pPr>
              <w:pStyle w:val="EPLogo"/>
            </w:pPr>
            <w:r w:rsidRPr="006F7E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7E1E" w:rsidRDefault="00D058B8" w:rsidP="004C5D52">
      <w:pPr>
        <w:pStyle w:val="LineTop"/>
      </w:pPr>
    </w:p>
    <w:p w:rsidR="00680577" w:rsidRPr="006F7E1E" w:rsidRDefault="00CF25C7" w:rsidP="00680577">
      <w:pPr>
        <w:pStyle w:val="EPBodyTA1"/>
      </w:pPr>
      <w:r w:rsidRPr="006F7E1E">
        <w:t>HYVÄKSYTYT TEKSTIT</w:t>
      </w:r>
    </w:p>
    <w:p w:rsidR="00D058B8" w:rsidRPr="006F7E1E" w:rsidRDefault="00D058B8" w:rsidP="00D058B8">
      <w:pPr>
        <w:pStyle w:val="LineBottom"/>
      </w:pPr>
    </w:p>
    <w:p w:rsidR="00CF25C7" w:rsidRPr="006F7E1E" w:rsidRDefault="00CF25C7" w:rsidP="00CF25C7">
      <w:pPr>
        <w:pStyle w:val="ATHeading1"/>
      </w:pPr>
      <w:bookmarkStart w:id="0" w:name="TANumber"/>
      <w:r w:rsidRPr="006F7E1E">
        <w:t>P10_</w:t>
      </w:r>
      <w:proofErr w:type="gramStart"/>
      <w:r w:rsidRPr="006F7E1E">
        <w:t>TA(</w:t>
      </w:r>
      <w:proofErr w:type="gramEnd"/>
      <w:r w:rsidRPr="006F7E1E">
        <w:t>2025)0</w:t>
      </w:r>
      <w:r w:rsidR="00BC4FBC" w:rsidRPr="006F7E1E">
        <w:t>114</w:t>
      </w:r>
      <w:bookmarkEnd w:id="0"/>
    </w:p>
    <w:p w:rsidR="00CF25C7" w:rsidRPr="006F7E1E" w:rsidRDefault="00AA5641" w:rsidP="00CF25C7">
      <w:pPr>
        <w:pStyle w:val="ATHeading2"/>
      </w:pPr>
      <w:bookmarkStart w:id="1" w:name="title"/>
      <w:r w:rsidRPr="006F7E1E">
        <w:t>Vetoomusvaliokunnan vuonna 2023 k</w:t>
      </w:r>
      <w:r w:rsidRPr="006F7E1E">
        <w:rPr>
          <w:rFonts w:hint="eastAsia"/>
        </w:rPr>
        <w:t>ä</w:t>
      </w:r>
      <w:r w:rsidRPr="006F7E1E">
        <w:t>sittelem</w:t>
      </w:r>
      <w:r w:rsidRPr="006F7E1E">
        <w:rPr>
          <w:rFonts w:hint="eastAsia"/>
        </w:rPr>
        <w:t>ä</w:t>
      </w:r>
      <w:r w:rsidRPr="006F7E1E">
        <w:t>t asiat</w:t>
      </w:r>
      <w:bookmarkEnd w:id="1"/>
    </w:p>
    <w:p w:rsidR="00CF25C7" w:rsidRPr="006F7E1E" w:rsidRDefault="00CF25C7" w:rsidP="00CF25C7">
      <w:pPr>
        <w:rPr>
          <w:i/>
          <w:vanish/>
        </w:rPr>
      </w:pPr>
      <w:r w:rsidRPr="006F7E1E">
        <w:rPr>
          <w:i/>
        </w:rPr>
        <w:fldChar w:fldCharType="begin"/>
      </w:r>
      <w:r w:rsidRPr="006F7E1E">
        <w:rPr>
          <w:i/>
        </w:rPr>
        <w:instrText xml:space="preserve"> TC"(</w:instrText>
      </w:r>
      <w:bookmarkStart w:id="2" w:name="DocNumber"/>
      <w:r w:rsidRPr="006F7E1E">
        <w:rPr>
          <w:i/>
        </w:rPr>
        <w:instrText>A10-0063/2025</w:instrText>
      </w:r>
      <w:bookmarkEnd w:id="2"/>
      <w:r w:rsidRPr="006F7E1E">
        <w:rPr>
          <w:i/>
        </w:rPr>
        <w:instrText xml:space="preserve"> - Esittelijä: Gheorghe Falcă)"\l3 \n&gt; \* MERGEFORMAT </w:instrText>
      </w:r>
      <w:r w:rsidRPr="006F7E1E">
        <w:rPr>
          <w:i/>
        </w:rPr>
        <w:fldChar w:fldCharType="end"/>
      </w:r>
    </w:p>
    <w:p w:rsidR="00CF25C7" w:rsidRPr="006F7E1E" w:rsidRDefault="00CF25C7" w:rsidP="00CF25C7">
      <w:pPr>
        <w:rPr>
          <w:vanish/>
        </w:rPr>
      </w:pPr>
      <w:bookmarkStart w:id="3" w:name="Commission"/>
      <w:r w:rsidRPr="006F7E1E">
        <w:rPr>
          <w:vanish/>
        </w:rPr>
        <w:t>Vetoomusvaliokunta</w:t>
      </w:r>
      <w:bookmarkEnd w:id="3"/>
    </w:p>
    <w:p w:rsidR="00CF25C7" w:rsidRPr="006F7E1E" w:rsidRDefault="00CF25C7" w:rsidP="00CF25C7">
      <w:pPr>
        <w:rPr>
          <w:vanish/>
        </w:rPr>
      </w:pPr>
      <w:bookmarkStart w:id="4" w:name="PE"/>
      <w:r w:rsidRPr="006F7E1E">
        <w:rPr>
          <w:vanish/>
        </w:rPr>
        <w:t>PE768.068</w:t>
      </w:r>
      <w:bookmarkEnd w:id="4"/>
    </w:p>
    <w:p w:rsidR="00CF25C7" w:rsidRPr="006F7E1E" w:rsidRDefault="00CF25C7" w:rsidP="00CF25C7">
      <w:pPr>
        <w:pStyle w:val="ATHeading3"/>
      </w:pPr>
      <w:bookmarkStart w:id="5" w:name="Sujet"/>
      <w:r w:rsidRPr="006F7E1E">
        <w:t>Euroopan pa</w:t>
      </w:r>
      <w:r w:rsidR="00AA5641" w:rsidRPr="006F7E1E">
        <w:t>rlamentin päätöslauselma 22. touko</w:t>
      </w:r>
      <w:r w:rsidRPr="006F7E1E">
        <w:t>kuuta 2025 vetoomusvaliokunnan vuonna 2023 käsittelemistä asioista</w:t>
      </w:r>
      <w:bookmarkEnd w:id="5"/>
      <w:r w:rsidRPr="006F7E1E">
        <w:t xml:space="preserve"> </w:t>
      </w:r>
      <w:bookmarkStart w:id="6" w:name="References"/>
      <w:r w:rsidRPr="006F7E1E">
        <w:t>(2025/2027(INI))</w:t>
      </w:r>
      <w:bookmarkEnd w:id="6"/>
    </w:p>
    <w:p w:rsidR="00C15A23" w:rsidRPr="006F7E1E" w:rsidRDefault="00C15A23" w:rsidP="00AA5641">
      <w:pPr>
        <w:pStyle w:val="EPComma"/>
        <w:widowControl/>
      </w:pPr>
      <w:r w:rsidRPr="006F7E1E">
        <w:rPr>
          <w:i/>
          <w:iCs/>
        </w:rPr>
        <w:t>Euroopan parlamentti</w:t>
      </w:r>
      <w:r w:rsidRPr="006F7E1E">
        <w:t>, joka</w:t>
      </w:r>
    </w:p>
    <w:p w:rsidR="00C15A23" w:rsidRPr="006F7E1E" w:rsidRDefault="00C15A23" w:rsidP="00AA5641">
      <w:pPr>
        <w:pStyle w:val="NormalHanging12a"/>
        <w:widowControl/>
      </w:pPr>
      <w:r w:rsidRPr="006F7E1E">
        <w:t>–</w:t>
      </w:r>
      <w:r w:rsidRPr="006F7E1E">
        <w:tab/>
        <w:t>ottaa huomioon aikaisemmat päätöslauselmansa vetoomusvaliokunnan käsittelemistä asioista,</w:t>
      </w:r>
    </w:p>
    <w:p w:rsidR="00C15A23" w:rsidRPr="006F7E1E" w:rsidRDefault="00C15A23" w:rsidP="00AA5641">
      <w:pPr>
        <w:pStyle w:val="NormalHanging12a"/>
        <w:widowControl/>
      </w:pPr>
      <w:r w:rsidRPr="006F7E1E">
        <w:t>–</w:t>
      </w:r>
      <w:r w:rsidRPr="006F7E1E">
        <w:tab/>
        <w:t>ottaa huomioon Euroopan unionista tehdyn sopimuksen (SEU) 10 ja 11 artiklan,</w:t>
      </w:r>
    </w:p>
    <w:p w:rsidR="00C15A23" w:rsidRPr="006F7E1E" w:rsidRDefault="00C15A23" w:rsidP="00AA5641">
      <w:pPr>
        <w:pStyle w:val="NormalHanging12a"/>
        <w:widowControl/>
      </w:pPr>
      <w:r w:rsidRPr="006F7E1E">
        <w:t>–</w:t>
      </w:r>
      <w:r w:rsidRPr="006F7E1E">
        <w:tab/>
        <w:t>ottaa huomioon Euroopan unionin toiminnasta tehdyn sopimuksen (SEUT) 20, 24 ja 227 artiklan unionin kansalaisten ja asukkaiden oikeudesta saattaa huolenaiheensa parlamentin tietoon,</w:t>
      </w:r>
    </w:p>
    <w:p w:rsidR="00C15A23" w:rsidRPr="006F7E1E" w:rsidRDefault="00C15A23" w:rsidP="00AA5641">
      <w:pPr>
        <w:pStyle w:val="NormalHanging12a"/>
        <w:widowControl/>
      </w:pPr>
      <w:r w:rsidRPr="006F7E1E">
        <w:t>–</w:t>
      </w:r>
      <w:r w:rsidRPr="006F7E1E">
        <w:tab/>
        <w:t>ottaa huomioon SEUT 228 artiklan Euroopan oikeusasiamiehen asemasta ja tehtävistä,</w:t>
      </w:r>
    </w:p>
    <w:p w:rsidR="00C15A23" w:rsidRPr="006F7E1E" w:rsidRDefault="00C15A23" w:rsidP="00AA5641">
      <w:pPr>
        <w:pStyle w:val="NormalHanging12a"/>
        <w:widowControl/>
      </w:pPr>
      <w:r w:rsidRPr="006F7E1E">
        <w:t>–</w:t>
      </w:r>
      <w:r w:rsidRPr="006F7E1E">
        <w:tab/>
        <w:t>ottaa huomioon Euroopan unionin perusoikeuskirjan 44 artiklan, joka koskee oikeutta vedota Euroopan parlamenttiin,</w:t>
      </w:r>
    </w:p>
    <w:p w:rsidR="00C15A23" w:rsidRPr="006F7E1E" w:rsidRDefault="00C15A23" w:rsidP="00AA5641">
      <w:pPr>
        <w:pStyle w:val="NormalHanging12a"/>
        <w:widowControl/>
      </w:pPr>
      <w:r w:rsidRPr="006F7E1E">
        <w:t>–</w:t>
      </w:r>
      <w:r w:rsidRPr="006F7E1E">
        <w:tab/>
        <w:t>ottaa huomioon rikkomusmenettelyä koskevat SEUT-sopimuksen määräykset ja erityisesti sen 258 ja 260 artiklan,</w:t>
      </w:r>
    </w:p>
    <w:p w:rsidR="0095368A" w:rsidRPr="006F7E1E" w:rsidRDefault="0095368A" w:rsidP="0095368A">
      <w:pPr>
        <w:pStyle w:val="NormalHanging12a"/>
        <w:widowControl/>
      </w:pPr>
      <w:r w:rsidRPr="006F7E1E">
        <w:t>–</w:t>
      </w:r>
      <w:r w:rsidRPr="006F7E1E">
        <w:tab/>
        <w:t>ottaa huomioon 21. maaliskuuta 2025 annetut YK:n vammaisten henkilöiden oikeuksia käsittelevän komitean loppupäätelmät Euroopan unionin toisesta ja kolmannesta määräaikaisraportista,</w:t>
      </w:r>
    </w:p>
    <w:p w:rsidR="00C15A23" w:rsidRPr="006F7E1E" w:rsidRDefault="00C15A23" w:rsidP="00AA5641">
      <w:pPr>
        <w:pStyle w:val="NormalHanging12a"/>
        <w:widowControl/>
      </w:pPr>
      <w:r w:rsidRPr="006F7E1E">
        <w:t>–</w:t>
      </w:r>
      <w:r w:rsidRPr="006F7E1E">
        <w:tab/>
        <w:t>ottaa huomioon työjärjestyksen 55 artiklan ja 233 artiklan 7 kohdan,</w:t>
      </w:r>
    </w:p>
    <w:p w:rsidR="00C15A23" w:rsidRPr="006F7E1E" w:rsidRDefault="00C15A23" w:rsidP="00AA5641">
      <w:pPr>
        <w:pStyle w:val="NormalHanging12a"/>
        <w:widowControl/>
      </w:pPr>
      <w:r w:rsidRPr="006F7E1E">
        <w:t>–</w:t>
      </w:r>
      <w:r w:rsidRPr="006F7E1E">
        <w:tab/>
        <w:t>ottaa huomioon vetoomusvaliokunnan mietinnön (A10-0063/2025),</w:t>
      </w:r>
    </w:p>
    <w:p w:rsidR="00C15A23" w:rsidRPr="006F7E1E" w:rsidRDefault="00C15A23" w:rsidP="00AA5641">
      <w:pPr>
        <w:pStyle w:val="NormalHanging12a"/>
        <w:widowControl/>
      </w:pPr>
      <w:r w:rsidRPr="006F7E1E">
        <w:t>A.</w:t>
      </w:r>
      <w:r w:rsidRPr="006F7E1E">
        <w:tab/>
        <w:t>ottaa huomioon, että vetoomusvaliokunnan käsittelemiä asioita koskevan vuosikertomuksen tarkoituksena on analysoida vuonna 2023 vastaanotettuja vetoomuksia ja suhteita muihin toimielimiin sekä kuvailla tarkasti vuonna 2023 saavutettuja tavoitteita;</w:t>
      </w:r>
    </w:p>
    <w:p w:rsidR="00C15A23" w:rsidRPr="006F7E1E" w:rsidRDefault="00C15A23" w:rsidP="00AA5641">
      <w:pPr>
        <w:pStyle w:val="NormalHanging12a"/>
        <w:widowControl/>
      </w:pPr>
      <w:r w:rsidRPr="006F7E1E">
        <w:lastRenderedPageBreak/>
        <w:t>B.</w:t>
      </w:r>
      <w:r w:rsidRPr="006F7E1E">
        <w:tab/>
        <w:t>ottaa huomioon, että parlamentti vastaanotti vuonna 2023 yhteensä 1 452 vetoomusta, mikä on 16,2 prosenttia enemmän kuin vuonna 2022 esitetyt 1 217 vetoomusta ja 4,0 prosenttia enemmän kuin vuonna 2021 esitetyt 1 392 vetoomusta; ottaa huomioon, että vastaanotettujen vetoomusten kokonaismäärä on edelleen huomattavasti pienempi kuin vuonna 2013, jolloin parlamentti vastaanotti 2 891 vetoomusta, ja vuonna 2014, jolloin se vastaanotti 2 715 vetoomusta;</w:t>
      </w:r>
    </w:p>
    <w:p w:rsidR="00C15A23" w:rsidRPr="006F7E1E" w:rsidRDefault="00C15A23" w:rsidP="00AA5641">
      <w:pPr>
        <w:pStyle w:val="NormalHanging12a"/>
        <w:widowControl/>
      </w:pPr>
      <w:r w:rsidRPr="006F7E1E">
        <w:t>C.</w:t>
      </w:r>
      <w:r w:rsidRPr="006F7E1E">
        <w:tab/>
        <w:t>ottaa huomioon, että vuonna 2023 yhtä tai useampaa vetoomusta parlamentin vetoomusportaalissa tukeneiden käyttäjien määrä oli 26 331, mikä on huomattavasti enemmän kuin vuonna 2022, jolloin tukijoita kirjattiin 22 441 (ja molemmat luvut ovat huomattavasti pienempiä verrattuna 209 272 tukijaan vuonna 2021); ottaa huomioon, että vuonna 2023 myös vetoomuksia tukevien klikkausten määrä kasvoi hieman ja oli yhteensä 29 287 (kun vastaava luku vuonna 2022 oli 27 927 ja vuonna 2021 puolestaan 217 876);</w:t>
      </w:r>
    </w:p>
    <w:p w:rsidR="00C15A23" w:rsidRPr="006F7E1E" w:rsidRDefault="00C15A23" w:rsidP="00AA5641">
      <w:pPr>
        <w:pStyle w:val="NormalHanging12a"/>
        <w:widowControl/>
      </w:pPr>
      <w:r w:rsidRPr="006F7E1E">
        <w:t>D.</w:t>
      </w:r>
      <w:r w:rsidRPr="006F7E1E">
        <w:tab/>
        <w:t>ottaa huomioon, että vetoomusten kokonaismäärä on kuitenkin edelleen vaatimaton suhteessa EU:n kokonaisväestöön, mikä osoittaa, että toimia on vielä tehostettava, jotta lisätään kansalaisten tietoisuutta vetoomusoikeudesta ja vetoomusten mahdollisesta hyödyllisyydestä keinona kiinnittää toimielinten ja jäsenvaltioiden huomio asioihin, jotka vaikuttavat kansalaisiin ja koskevat heitä suoraan; ottaa huomioon, että vetoomusoikeutta käyttäessään kansalaiset odottavat, että EU:n toimielimet tuovat lisäarvoa ratkaisun löytämiseksi heidän ongelmiinsa;</w:t>
      </w:r>
    </w:p>
    <w:p w:rsidR="00C15A23" w:rsidRPr="006F7E1E" w:rsidRDefault="00C15A23" w:rsidP="00AA5641">
      <w:pPr>
        <w:pStyle w:val="NormalHanging12a"/>
        <w:widowControl/>
      </w:pPr>
      <w:r w:rsidRPr="006F7E1E">
        <w:t>E.</w:t>
      </w:r>
      <w:r w:rsidRPr="006F7E1E">
        <w:tab/>
        <w:t>ottaa huomioon, että vetoomusten käsiteltäväksi ottamisen perusteista säädetään SEUT 227 artiklassa ja parlamentin työjärjestyksen 232 artiklan 1 kohdassa, joiden mukaan vetoomusten on oltava EU:n kansalaisen tai luonnollisen henkilön tai oikeushenkilön, jonka asuinpaikka tai sääntömääräinen kotipaikka on jossakin jäsenvaltiossa, esittämiä asioista, jotka kuuluvat EU:n toiminnan alaan ja jotka vaikuttavat suoraan vetoomuksen esittäjiin;</w:t>
      </w:r>
    </w:p>
    <w:p w:rsidR="00C15A23" w:rsidRPr="006F7E1E" w:rsidRDefault="00C15A23" w:rsidP="00AA5641">
      <w:pPr>
        <w:pStyle w:val="NormalHanging12a"/>
        <w:widowControl/>
      </w:pPr>
      <w:r w:rsidRPr="006F7E1E">
        <w:t>F.</w:t>
      </w:r>
      <w:r w:rsidRPr="006F7E1E">
        <w:tab/>
        <w:t xml:space="preserve">ottaa huomioon, että vuonna 2023 esitetyistä 1 452 vetoomuksesta </w:t>
      </w:r>
      <w:proofErr w:type="gramStart"/>
      <w:r w:rsidRPr="006F7E1E">
        <w:t>429:ää</w:t>
      </w:r>
      <w:proofErr w:type="gramEnd"/>
      <w:r w:rsidRPr="006F7E1E">
        <w:t xml:space="preserve"> ei otettu käsiteltäväksi ja 13 peruttiin; ottaa huomioon, että niiden vetoomusten suhteellisen suuri osuus (29,55 prosenttia), joita ei otettu käsiteltäväksi vuonna 2023, osoittaa, että unionin vastuualueiden laajuudesta on edelleen yleisesti epäselvyyttä; ottaa huomioon, että EU:n toiminnan aloja on pyrittävä vielä selventämään, jotta voidaan vähentää niiden vetoomusten määrää, joita ei oteta käsiteltäväksi;</w:t>
      </w:r>
    </w:p>
    <w:p w:rsidR="00E828BD" w:rsidRPr="006F7E1E" w:rsidRDefault="00D1515F" w:rsidP="00AA5641">
      <w:pPr>
        <w:pStyle w:val="NormalHanging12a"/>
        <w:widowControl/>
      </w:pPr>
      <w:r w:rsidRPr="006F7E1E">
        <w:t>G.</w:t>
      </w:r>
      <w:r w:rsidRPr="006F7E1E">
        <w:tab/>
      </w:r>
      <w:r w:rsidR="00E828BD" w:rsidRPr="006F7E1E">
        <w:t xml:space="preserve">ottaa huomioon, että vetoomusvaliokunnalla (PETI) oli merkittävä rooli torjuttaessa Romanian ja Bulgarian kansalaisten syrjintää aikana, jolloin heidän maansa eivät vielä olleet liittyneet Schengen-alueeseen; ottaa huomioon, että vetoomusvaliokunta osallistui merkittävällä tavalla yhdenvertaisen kohtelun edistämiseen ja näiden kansalaisten kohtaamien perusteettomien esteiden poistamiseen; panee merkille, että lähtökohtana olivat vetoomus nro 0004/2023, jonka esittäjä oli </w:t>
      </w:r>
      <w:proofErr w:type="spellStart"/>
      <w:r w:rsidR="00E828BD" w:rsidRPr="006F7E1E">
        <w:t>Răzvan</w:t>
      </w:r>
      <w:proofErr w:type="spellEnd"/>
      <w:r w:rsidR="00E828BD" w:rsidRPr="006F7E1E">
        <w:t xml:space="preserve"> Eugen </w:t>
      </w:r>
      <w:proofErr w:type="spellStart"/>
      <w:r w:rsidR="00E828BD" w:rsidRPr="006F7E1E">
        <w:t>Nicolescu</w:t>
      </w:r>
      <w:proofErr w:type="spellEnd"/>
      <w:r w:rsidR="00E828BD" w:rsidRPr="006F7E1E">
        <w:t xml:space="preserve"> ”</w:t>
      </w:r>
      <w:proofErr w:type="spellStart"/>
      <w:r w:rsidR="00E828BD" w:rsidRPr="006F7E1E">
        <w:t>Asociația</w:t>
      </w:r>
      <w:proofErr w:type="spellEnd"/>
      <w:r w:rsidR="00E828BD" w:rsidRPr="006F7E1E">
        <w:t xml:space="preserve"> </w:t>
      </w:r>
      <w:proofErr w:type="spellStart"/>
      <w:r w:rsidR="00E828BD" w:rsidRPr="006F7E1E">
        <w:t>pentru</w:t>
      </w:r>
      <w:proofErr w:type="spellEnd"/>
      <w:r w:rsidR="00E828BD" w:rsidRPr="006F7E1E">
        <w:t xml:space="preserve"> </w:t>
      </w:r>
      <w:proofErr w:type="spellStart"/>
      <w:r w:rsidR="00E828BD" w:rsidRPr="006F7E1E">
        <w:t>Energie</w:t>
      </w:r>
      <w:proofErr w:type="spellEnd"/>
      <w:r w:rsidR="00E828BD" w:rsidRPr="006F7E1E">
        <w:t xml:space="preserve"> </w:t>
      </w:r>
      <w:proofErr w:type="spellStart"/>
      <w:r w:rsidR="00E828BD" w:rsidRPr="006F7E1E">
        <w:t>Curată</w:t>
      </w:r>
      <w:proofErr w:type="spellEnd"/>
      <w:r w:rsidR="00E828BD" w:rsidRPr="006F7E1E">
        <w:t xml:space="preserve"> </w:t>
      </w:r>
      <w:proofErr w:type="spellStart"/>
      <w:r w:rsidR="00E828BD" w:rsidRPr="006F7E1E">
        <w:t>și</w:t>
      </w:r>
      <w:proofErr w:type="spellEnd"/>
      <w:r w:rsidR="00E828BD" w:rsidRPr="006F7E1E">
        <w:t xml:space="preserve"> </w:t>
      </w:r>
      <w:proofErr w:type="spellStart"/>
      <w:r w:rsidR="00E828BD" w:rsidRPr="006F7E1E">
        <w:t>Combaterea</w:t>
      </w:r>
      <w:proofErr w:type="spellEnd"/>
      <w:r w:rsidR="00E828BD" w:rsidRPr="006F7E1E">
        <w:t xml:space="preserve"> </w:t>
      </w:r>
      <w:proofErr w:type="spellStart"/>
      <w:r w:rsidR="00E828BD" w:rsidRPr="006F7E1E">
        <w:t>Schimbărilor</w:t>
      </w:r>
      <w:proofErr w:type="spellEnd"/>
      <w:r w:rsidR="00E828BD" w:rsidRPr="006F7E1E">
        <w:t xml:space="preserve"> </w:t>
      </w:r>
      <w:proofErr w:type="spellStart"/>
      <w:r w:rsidR="00E828BD" w:rsidRPr="006F7E1E">
        <w:t>Climatice</w:t>
      </w:r>
      <w:proofErr w:type="spellEnd"/>
      <w:r w:rsidR="00E828BD" w:rsidRPr="006F7E1E">
        <w:t>” -yhdistyksen puolesta, sekä sen jälkeen työjärjestyksen 227 artiklan 2 kohdan mukaisesti täysistunnossa hyväksytty päätöslauselma Schengen-alueeseen liittymisestä</w:t>
      </w:r>
      <w:r w:rsidR="00E828BD" w:rsidRPr="006F7E1E">
        <w:rPr>
          <w:rStyle w:val="FootnoteReference"/>
        </w:rPr>
        <w:footnoteReference w:id="1"/>
      </w:r>
      <w:r w:rsidR="00E828BD" w:rsidRPr="006F7E1E">
        <w:t>;</w:t>
      </w:r>
    </w:p>
    <w:p w:rsidR="00C15A23" w:rsidRPr="006F7E1E" w:rsidRDefault="00D1515F" w:rsidP="00AA5641">
      <w:pPr>
        <w:pStyle w:val="NormalHanging12a"/>
        <w:widowControl/>
      </w:pPr>
      <w:r w:rsidRPr="006F7E1E">
        <w:t>H</w:t>
      </w:r>
      <w:r w:rsidR="00C15A23" w:rsidRPr="006F7E1E">
        <w:t>.</w:t>
      </w:r>
      <w:r w:rsidR="00C15A23" w:rsidRPr="006F7E1E">
        <w:tab/>
        <w:t xml:space="preserve">ottaa huomioon, että oikeus esittää vetoomus parlamentille on EU:n kansalaisten perusoikeus, joka tarjoaa sekä kansalaisille että asukkaille avoimen, demokraattisen ja läpinäkyvän mekanismin, jonka avulla he voivat kääntyä suoraan valitsemiensa </w:t>
      </w:r>
      <w:r w:rsidR="00C15A23" w:rsidRPr="006F7E1E">
        <w:lastRenderedPageBreak/>
        <w:t>edustajien puoleen; toteaa, että tämä keskeinen väline antaa kansalaisille mahdollisuuden osallistua aktiivisesti ja tehokkaasti EU:n toimintaan; ottaa huomioon, että vetoomusten avulla EU:n kansalaiset voivat osoittaa tyytymättömyytensä EU:n oikeuden soveltamatta jättämiseen ja auttaa havaitsemaan EU:n oikeuden rikkomistapauksia;</w:t>
      </w:r>
    </w:p>
    <w:p w:rsidR="00E828BD" w:rsidRPr="006F7E1E" w:rsidRDefault="00D1515F" w:rsidP="003B7F10">
      <w:pPr>
        <w:pStyle w:val="NormalHanging12a"/>
        <w:widowControl/>
      </w:pPr>
      <w:r w:rsidRPr="006F7E1E">
        <w:t>I</w:t>
      </w:r>
      <w:r w:rsidR="00C15A23" w:rsidRPr="006F7E1E">
        <w:t>.</w:t>
      </w:r>
      <w:r w:rsidR="00C15A23" w:rsidRPr="006F7E1E">
        <w:tab/>
        <w:t xml:space="preserve">toteaa, että Euroopan parlamentti on ainoa EU:n kansalaisten suoraan valitsema EU:n toimielin; ottaa huomioon, että oikeus esittää vetoomus parlamentille on yksi EU:n kansalaisten perusoikeuksista ja sen avulla sekä kansalaiset että asukkaat voivat kääntyä suoraan valitsemiensa edustajien puoleen; </w:t>
      </w:r>
      <w:r w:rsidR="003B7F10" w:rsidRPr="006F7E1E">
        <w:t>ottaa huomioon, että monet vammaiset henkilöt ovat epätasa-arvoisessa asemassa tiedon ja viestinnän saavutettavuuden suhteen, koska esteettömiä muotoja on saatavilla vain rajallisesti ja kansallisia viittomakieliä ei ole tunnustettu osaksi EU:n monikielisyyttä</w:t>
      </w:r>
      <w:r w:rsidR="003B7F10" w:rsidRPr="006F7E1E">
        <w:rPr>
          <w:b/>
          <w:i/>
        </w:rPr>
        <w:t>;</w:t>
      </w:r>
      <w:r w:rsidR="003B7F10" w:rsidRPr="006F7E1E">
        <w:t xml:space="preserve"> </w:t>
      </w:r>
      <w:r w:rsidR="00C15A23" w:rsidRPr="006F7E1E">
        <w:t>toteaa, että parlamentti on jo kauan ollut johtava toimija vetoomusmenettelyn kansainvälisessä kehittämisessä ja sillä on Euroopan avoimin, demokraattisin ja läpinäkyvin vetoomusmenettely, joka mahdollistaa vetoomusten esittäjien aktiivisen ja tehokkaan osallistumisen sen toimintaan; ottaa huomioon, että vetoomusoikeutta käyttäessään kansalaiset odottavat, että EU:n toimielimet yhteistyössä komission ja jäsenvaltioiden viranomaisten kanssa tuovat lisäarvoa heidän ongelmiensa ratkaisemiseen;</w:t>
      </w:r>
    </w:p>
    <w:p w:rsidR="00C15A23" w:rsidRPr="006F7E1E" w:rsidRDefault="00D1515F" w:rsidP="00AA5641">
      <w:pPr>
        <w:pStyle w:val="NormalHanging12a"/>
        <w:widowControl/>
      </w:pPr>
      <w:r w:rsidRPr="006F7E1E">
        <w:t>J</w:t>
      </w:r>
      <w:r w:rsidR="00C15A23" w:rsidRPr="006F7E1E">
        <w:t>.</w:t>
      </w:r>
      <w:r w:rsidR="00C15A23" w:rsidRPr="006F7E1E">
        <w:tab/>
        <w:t>ottaa huomioon, että vetoomusten esittäjien vetoomuksissaan ja valiokunnan kokouksissa toimittamat tiedot sekä komission arvioinnit ja jäsenvaltioiden ja muiden elinten vastaukset antavat myös arvokasta tietoa muiden parlamentin valiokuntien työn tueksi, koska käsiteltäväksi otettavat vetoomukset lähetetään eteenpäin asiasta vastaavalle valiokunnalle lausuntoa varten tai tiedoksi; toteaa, että vetoomuksilla voi näin ollen olla myös rooli lainsäädäntöprosessissa, sillä ne tarjoavat konkreettista palautetta EU:n politiikan vaikutuksista ja mahdollistavat sen, että esiin nouseviin tarpeisiin vastataan toimintapolitiikalla;</w:t>
      </w:r>
    </w:p>
    <w:p w:rsidR="00C15A23" w:rsidRPr="006F7E1E" w:rsidRDefault="00D1515F" w:rsidP="00AA5641">
      <w:pPr>
        <w:pStyle w:val="NormalHanging12a"/>
        <w:widowControl/>
      </w:pPr>
      <w:r w:rsidRPr="006F7E1E">
        <w:t>K</w:t>
      </w:r>
      <w:r w:rsidR="00C15A23" w:rsidRPr="006F7E1E">
        <w:t>.</w:t>
      </w:r>
      <w:r w:rsidR="00C15A23" w:rsidRPr="006F7E1E">
        <w:tab/>
        <w:t>ottaa huomioon, että vetoomusvaliokunnan toiminta perustuu vetoomusten esittäjien antamiin tietoihin, joiden avulla parlamentti voi vastata paremmin valituksiin ja huolenaiheisiin, jotka liittyvät EU:n perusoikeuksien kunnioittamiseen ja EU:n lainsäädännön noudattamiseen jäsenvaltioissa; toteaa, että vetoomukset ovat näin ollen hyödyllinen keino saada tietoa EU:n lainsäädännön virheellisestä soveltamisesta tai rikkomisesta ja että niiden avulla voidaan arvioida EU:n lainsäädännön soveltamista sekä sen vaikutusta EU:n kansalaisten ja asukkaiden oikeuksiin; ottaa huomioon, että perusoikeuksien toteutuminen oli yksi vetoomusten tekijöiden kolmesta tärkeimmästä huolenaiheesta vuonna 2023; ottaa huomioon, että komission kanssa käydyn jäsennellyn vuoropuhelun yhteydessä vetoomusvaliokunta kehotti komissiota torjumaan syrjintää Euroopan unionissa muun muassa aloitteilla, joilla taataan yhtäläiset oikeudet ja vahvistetaan toimenpiteitä kaikenlaisen syrjinnän torjumiseksi, mukaan lukien sukupuoleen, rotuun tai etniseen alkuperään, vammaisuuteen, ikään, uskontoon tai vakaumukseen ja seksuaaliseen suuntautumiseen perustuva syrjintä;</w:t>
      </w:r>
    </w:p>
    <w:p w:rsidR="00C15A23" w:rsidRPr="006F7E1E" w:rsidRDefault="00D1515F" w:rsidP="00AA5641">
      <w:pPr>
        <w:pStyle w:val="NormalHanging12a"/>
        <w:widowControl/>
        <w:rPr>
          <w:b/>
          <w:i/>
        </w:rPr>
      </w:pPr>
      <w:r w:rsidRPr="006F7E1E">
        <w:t>L</w:t>
      </w:r>
      <w:r w:rsidR="00C15A23" w:rsidRPr="006F7E1E">
        <w:t>.</w:t>
      </w:r>
      <w:r w:rsidR="00C15A23" w:rsidRPr="006F7E1E">
        <w:tab/>
        <w:t>ottaa huomioon, että SEU 17 artiklan mukaan komissio huolehtii siitä, että perussopimuksia ja niiden nojalla hyväksyttyjä toimenpiteitä sovelletaan asianmukaisesti; katsoo, että vetoomuksissa esiin tuotujen kysymysten käsittelyä koskevan komission strategisen lähestymistavan on oltava täysin perussopimusten mukainen, jotta varmistetaan vetoomusten mahdollisimman tehokas seuranta, millä pyritään takaamaan EU:n lainsäädännöstä johtuvien kansalaisten oikeuksien täysimääräinen ja oikea-aikainen suojelu;</w:t>
      </w:r>
    </w:p>
    <w:p w:rsidR="00C15A23" w:rsidRPr="006F7E1E" w:rsidRDefault="00D1515F" w:rsidP="00AA5641">
      <w:pPr>
        <w:pStyle w:val="NormalHanging12a"/>
        <w:widowControl/>
      </w:pPr>
      <w:r w:rsidRPr="006F7E1E">
        <w:lastRenderedPageBreak/>
        <w:t>M</w:t>
      </w:r>
      <w:r w:rsidR="00C15A23" w:rsidRPr="006F7E1E">
        <w:t>.</w:t>
      </w:r>
      <w:r w:rsidR="00C15A23" w:rsidRPr="006F7E1E">
        <w:tab/>
        <w:t>toteaa, että jokainen vetoomus on käsiteltävä ja tutkittava huolellisesti, tehokkaasti, puolueettomasti, oikeudenmukaisesti ja avoimesti Euroopan unionin perusoikeuskirjan 41 artiklassa vahvistettujen, oikeutta hyvään hallintoon koskevien normien mukaisesti; toteaa, että jokaisella vetoomuksen esittäjällä on oikeus saada vastaus ja tietoa käsiteltäväksi ottamista ja jatkotoimia koskevasta valiokunnan päätöksestä kohtuullisessa ajassa, omalla kielellään tai vetoomuksessa käytetyllä kielellä; ottaa huomioon, että komission ja jäsenvaltioiden oikea-aikaiset ja tehokkaat vastaukset vetoomuksissa esiin tuotuihin kysymyksiin sekä tarvittaessa ehdottamat oikeussuojakeinot auttavat vahvistamaan kansalaisten luottamusta unioniin ja sen politiikkoihin;</w:t>
      </w:r>
    </w:p>
    <w:p w:rsidR="00C15A23" w:rsidRPr="006F7E1E" w:rsidRDefault="00D1515F" w:rsidP="00AA5641">
      <w:pPr>
        <w:pStyle w:val="NormalHanging12a"/>
        <w:widowControl/>
      </w:pPr>
      <w:r w:rsidRPr="006F7E1E">
        <w:t>N</w:t>
      </w:r>
      <w:r w:rsidR="00C15A23" w:rsidRPr="006F7E1E">
        <w:t>.</w:t>
      </w:r>
      <w:r w:rsidR="00C15A23" w:rsidRPr="006F7E1E">
        <w:tab/>
        <w:t>toteaa, että vetoomusvaliokunta pitää erittäin tärkeänä vetoomusten tarkastelua ja julkista käsittelyä kokouksissaan; toteaa, että vetoomuksen esittäjillä on oikeus esitellä vetoomuksensa ja että he ottavat usein osaa keskusteluun ja siten myötävaikuttavat aktiivisesti valiokunnan työhön; toteaa, että vuonna 2023 vetoomusvaliokunta piti kymmenen valiokuntakokousta, joissa keskusteltiin 191 vetoomuksesta ja joissa oli läsnä 114 vetoomuksen esittäjää, jotka osallistuivat aktiivisesti käyttämällä puheenvuoroja;</w:t>
      </w:r>
    </w:p>
    <w:p w:rsidR="00C15A23" w:rsidRPr="006F7E1E" w:rsidRDefault="00D1515F" w:rsidP="00AA5641">
      <w:pPr>
        <w:pStyle w:val="NormalHanging12a"/>
        <w:widowControl/>
      </w:pPr>
      <w:r w:rsidRPr="006F7E1E">
        <w:t>O</w:t>
      </w:r>
      <w:r w:rsidR="00C15A23" w:rsidRPr="006F7E1E">
        <w:t>.</w:t>
      </w:r>
      <w:r w:rsidR="00C15A23" w:rsidRPr="006F7E1E">
        <w:tab/>
        <w:t>ottaa huomioon, että vuonna 2023 esitetyissä vetoomuksissa esitetyt tärkeimmät huolenaiheet liittyvät ympäristöön, perusoikeuksiin, henkilökohtaisiin asioihin ja oikeuteen;</w:t>
      </w:r>
    </w:p>
    <w:p w:rsidR="00C15A23" w:rsidRPr="006F7E1E" w:rsidRDefault="00D1515F" w:rsidP="00AA5641">
      <w:pPr>
        <w:pStyle w:val="NormalHanging12a"/>
        <w:widowControl/>
      </w:pPr>
      <w:r w:rsidRPr="006F7E1E">
        <w:t>P</w:t>
      </w:r>
      <w:r w:rsidR="00C15A23" w:rsidRPr="006F7E1E">
        <w:t>.</w:t>
      </w:r>
      <w:r w:rsidR="00D00D5E" w:rsidRPr="006F7E1E">
        <w:rPr>
          <w:color w:val="FF0000"/>
        </w:rPr>
        <w:tab/>
      </w:r>
      <w:r w:rsidR="00C15A23" w:rsidRPr="006F7E1E">
        <w:t>toteaa, että kun vetoomusvaliokunta hyväksyy kokouksensa esityslistan, se kiinnittää huomiota vetoomuksiin ja aiheisiin, joilla on erityistä merkitystä EU:n tasolla käytävälle keskustelulle, ja tarpeeseen varmistaa, että aiheiden maantieteellinen kattavuus on tasapainoinen suhteessa vastaanotettuihin vetoomuksiin;</w:t>
      </w:r>
    </w:p>
    <w:p w:rsidR="00C15A23" w:rsidRPr="006F7E1E" w:rsidRDefault="00D1515F" w:rsidP="00AA5641">
      <w:pPr>
        <w:pStyle w:val="NormalHanging12a"/>
        <w:widowControl/>
      </w:pPr>
      <w:r w:rsidRPr="006F7E1E">
        <w:t>Q</w:t>
      </w:r>
      <w:r w:rsidR="00C15A23" w:rsidRPr="006F7E1E">
        <w:t>.</w:t>
      </w:r>
      <w:r w:rsidR="00C15A23" w:rsidRPr="006F7E1E">
        <w:tab/>
        <w:t>ottaa huomioon, että 82,4 prosenttia vuonna 2023 vastaanotetuista vetoomuksista toimitettiin parlamentin vetoomusportaalin kautta, mikä on hieman enemmän kuin vuonna 2022 (79,05 prosenttia), ja toteaa tämän jälleen vahvistavan, että vetoomusportaali on selvästi käytetyin kanava, jonka kautta kansalaiset esittävät vetoomuksia parlamentille;</w:t>
      </w:r>
    </w:p>
    <w:p w:rsidR="00C15A23" w:rsidRPr="006F7E1E" w:rsidRDefault="00D1515F" w:rsidP="00AA5641">
      <w:pPr>
        <w:pStyle w:val="NormalHanging12a"/>
        <w:widowControl/>
      </w:pPr>
      <w:r w:rsidRPr="006F7E1E">
        <w:t>R</w:t>
      </w:r>
      <w:r w:rsidR="00C15A23" w:rsidRPr="006F7E1E">
        <w:t>.</w:t>
      </w:r>
      <w:r w:rsidR="00C15A23" w:rsidRPr="006F7E1E">
        <w:tab/>
        <w:t>ottaa huomioon, että helmikuussa 2023 vetoomusportaalista julkaistiin uudistettu versio, jotta se vastaisi paremmin nykypäivän odotuksia ja jotta jäsenvaltioiden asukkaiden olisi sen avulla helpompi käyttää oikeuttaan esittää vetoomuksia parlamentille; ottaa huomioon, että uudistettu vetoomusportaali 2.0 on integroitu saumattomasti parlamentin verkkojulkaisutyökaluun, minkä ansiosta voidaan päivittää sisältöä entistä nopeammin ja yksinkertaisemmin sekä ottaa käyttöön uusia ominaisuuksia (mukaan lukien seitsemän pikaopasta, joissa on selkeät ja vaiheittaiset ohjeet vetoomusten esittämistä, seurantaa ja tukemista varten); ottaa huomioon, että uusi joustavaan hakuteknologiaan pohjautuva hakukone on parantanut käyttäjäkokemusta tuottamalla tehokkaasti entistä tarkempia tuloksia, minkä ansiosta uusi portaali on ennen kaikkea aidosti kansalaiskeskeinen; ottaa huomioon, että vuonna 2023 kaikki vetoomukset valmisteltiin ja julkaistiin hyvissä ajoin muutaman päivän kuluessa niiden hyväksymisestä ja että kaikkiin vetoomusportaalin käyttöä ja sisältöä koskeviin sisäisiin ja ulkoisiin tukipyyntöihin vastattiin onnistuneesti, oikea-aikaisesti ja kaikilla kielillä;</w:t>
      </w:r>
    </w:p>
    <w:p w:rsidR="00C15A23" w:rsidRPr="006F7E1E" w:rsidRDefault="00D1515F" w:rsidP="00AA5641">
      <w:pPr>
        <w:pStyle w:val="NormalHanging12a"/>
        <w:widowControl/>
      </w:pPr>
      <w:r w:rsidRPr="006F7E1E">
        <w:t>S</w:t>
      </w:r>
      <w:r w:rsidR="00C15A23" w:rsidRPr="006F7E1E">
        <w:t>.</w:t>
      </w:r>
      <w:r w:rsidR="00C15A23" w:rsidRPr="006F7E1E">
        <w:tab/>
        <w:t xml:space="preserve">ottaa huomioon, että vetoomusvaliokunta (PETI) teki vuonna 2023 neljä tiedonhankintamatkaa, joiden aikana jäsenet matkustivat Romaniaan tutustumaan ruskeakarhukannan hallintaan ja suojeluun sekä laittomiin hakkuisiin, </w:t>
      </w:r>
      <w:proofErr w:type="spellStart"/>
      <w:r w:rsidR="00C15A23" w:rsidRPr="006F7E1E">
        <w:t>Donegaliin</w:t>
      </w:r>
      <w:proofErr w:type="spellEnd"/>
      <w:r w:rsidR="00C15A23" w:rsidRPr="006F7E1E">
        <w:t xml:space="preserve"> </w:t>
      </w:r>
      <w:r w:rsidR="00C15A23" w:rsidRPr="006F7E1E">
        <w:lastRenderedPageBreak/>
        <w:t>(Irlanti) hankkiakseen lisätietoa viallisten kiillettä sisältävien rakennusharkkojen käytöstä rakentamisessa Irlannissa ja Kataloniaan (Espanja) arvioidakseen Katalonian kielikylpymallia paikan päällä; ottaa huomioon, että PETI-valiokunnan jäseniä osallistui myös työllisyyden ja sosiaaliasioiden valiokunnan, kansalaisvapauksien sekä oikeus- ja sisäasioiden valiokunnan ja PETI-valiokunnan yhteiseen valtuuskuntaan, joka matkusti New Yorkiin osallistuakseen vammaisten henkilöiden oikeuksia koskevan yleissopimuksen sopimusvaltioiden konferenssin 16. istuntoon (CRPD COSP);</w:t>
      </w:r>
    </w:p>
    <w:p w:rsidR="00C15A23" w:rsidRPr="006F7E1E" w:rsidRDefault="00D1515F" w:rsidP="00AA5641">
      <w:pPr>
        <w:pStyle w:val="NormalHanging12a"/>
        <w:widowControl/>
      </w:pPr>
      <w:r w:rsidRPr="006F7E1E">
        <w:t>T</w:t>
      </w:r>
      <w:r w:rsidR="00C15A23" w:rsidRPr="006F7E1E">
        <w:t>.</w:t>
      </w:r>
      <w:r w:rsidR="00C15A23" w:rsidRPr="006F7E1E">
        <w:tab/>
        <w:t>toteaa, että työjärjestyksen mukaan vetoomusvaliokunta vastaa myös suhteista Euroopan oikeusasiamieheen, joka tutkii kanteluita EU:n toimielimissä ja elimissä havaituista hallinnollisista epäkohdista; toteaa, että edellinen Euroopan oikeusasiamies Emily O’Reilly esitteli vuoden 2022 vuosikertomuksensa vetoomusvaliokunnalle sen 27. kesäkuuta 2023 pidetyssä kokouksessa;</w:t>
      </w:r>
    </w:p>
    <w:p w:rsidR="00C15A23" w:rsidRPr="006F7E1E" w:rsidRDefault="00D1515F" w:rsidP="00AA5641">
      <w:pPr>
        <w:pStyle w:val="NormalHanging12a"/>
        <w:widowControl/>
      </w:pPr>
      <w:r w:rsidRPr="006F7E1E">
        <w:t>U</w:t>
      </w:r>
      <w:r w:rsidR="00C15A23" w:rsidRPr="006F7E1E">
        <w:t>.</w:t>
      </w:r>
      <w:r w:rsidR="00C15A23" w:rsidRPr="006F7E1E">
        <w:tab/>
        <w:t>ottaa huomioon, että vetoomusvaliokunta on Euroopan oikeusasiamiehen lailla Euroopan oikeusasiamiesten verkoston jäsen ja että verkostoon kuuluu myös kansallisia ja alueellisia oikeusasiamiehiä ja vastaavia elimiä jäsenvaltioista, ehdokasmaista ja muista Euroopan talousalueen maista, ja toteaa, että verkoston tavoitteena on edistää tiedonvaihtoa unionin oikeudesta ja politiikasta sekä vaihtaa parhaita käytäntöjä;</w:t>
      </w:r>
    </w:p>
    <w:p w:rsidR="00C15A23" w:rsidRPr="006F7E1E" w:rsidRDefault="00C15A23" w:rsidP="00AA5641">
      <w:pPr>
        <w:pStyle w:val="NormalHanging12a"/>
        <w:widowControl/>
      </w:pPr>
      <w:r w:rsidRPr="006F7E1E">
        <w:t>1.</w:t>
      </w:r>
      <w:r w:rsidRPr="006F7E1E">
        <w:tab/>
        <w:t>korostaa, että vetoomusvaliokunnalla on perustavanlaatuinen rooli EU:n kansalaisten ja asukkaiden oikeuksien suojelussa ja edistämisessä, kun se varmistaa, että vetoomusten esittäjien huolenaiheet ja valitukset tutkitaan oikea-aikaisesti, tehokkaasti ja asianmukaisesti ja että vetoomuksen esittäjille tiedotetaan heidän vetoomustensa johdosta toteutetuista toimista ja niiden edistymisestä; muistuttaa, että kaikki vetoomukset käsitellään avoimessa, demokraattisessa ja läpinäkyvässä vetoomusmenettelyssä;</w:t>
      </w:r>
    </w:p>
    <w:p w:rsidR="00A25234" w:rsidRPr="006F7E1E" w:rsidRDefault="00C15A23" w:rsidP="00AA5641">
      <w:pPr>
        <w:pStyle w:val="NormalHanging12a"/>
        <w:widowControl/>
      </w:pPr>
      <w:r w:rsidRPr="006F7E1E">
        <w:t>2.</w:t>
      </w:r>
      <w:r w:rsidRPr="006F7E1E">
        <w:tab/>
      </w:r>
      <w:r w:rsidR="00A25234" w:rsidRPr="006F7E1E">
        <w:t xml:space="preserve">antaa tunnustusta vetoomusvaliokunnan tekemälle tärkeälle työlle niiden vetoomusten parissa, jotka koskevat Kyproksen biologisesti monimuotoisinta aluetta </w:t>
      </w:r>
      <w:proofErr w:type="spellStart"/>
      <w:r w:rsidR="00A25234" w:rsidRPr="006F7E1E">
        <w:t>Akamasin</w:t>
      </w:r>
      <w:proofErr w:type="spellEnd"/>
      <w:r w:rsidR="00A25234" w:rsidRPr="006F7E1E">
        <w:t xml:space="preserve"> niemimaalla, jossa on vuosikymmenten ajan toistuvasti rikottu luontodirektiiviä</w:t>
      </w:r>
      <w:r w:rsidR="00A25234" w:rsidRPr="006F7E1E">
        <w:rPr>
          <w:rStyle w:val="FootnoteReference"/>
        </w:rPr>
        <w:footnoteReference w:id="2"/>
      </w:r>
      <w:r w:rsidR="00A25234" w:rsidRPr="006F7E1E">
        <w:t xml:space="preserve"> ja lintudirektiiviä</w:t>
      </w:r>
      <w:r w:rsidR="00A25234" w:rsidRPr="006F7E1E">
        <w:rPr>
          <w:rStyle w:val="FootnoteReference"/>
        </w:rPr>
        <w:footnoteReference w:id="3"/>
      </w:r>
      <w:r w:rsidR="00A25234" w:rsidRPr="006F7E1E">
        <w:t>, kun otetaan huomioon, ettei alueen suojelemiseksi yleisesti ottaen ole tehokkaita ja oikeudellisesti sitovia toimenpiteitä, sekä Kyproksen toimivaltaisten viranomaisten äskettäin esittämät EU:n ympäristölainsäädännön vastaiset suunnitelmat, joilla on tuhoisia vaikutuksia alueen erittäin herkkiin luonnon ekosysteemeihin; korostaa, että vetoomusvaliokunnan asiaa koskevan työn tuloksena komissio päätti 13. maaliskuuta 2024 nostaa kanteen Kyprosta vastaan Euroopan unionin tuomioistuimessa, koska Kyproksen viranomaiset eivät ole noudattaneet luontodirektiiviä; pitää valitettavana, että tästä päätöksestä on kulunut yli vuosi, mutta komissio ei ole toimittanut asiaa unionin tuomioistuimelle eikä se näin ollen ole virallisesti pannut vireille oikeudenkäyntiä;</w:t>
      </w:r>
    </w:p>
    <w:p w:rsidR="00017B2B" w:rsidRPr="006F7E1E" w:rsidRDefault="00017B2B" w:rsidP="00AA5641">
      <w:pPr>
        <w:pStyle w:val="NormalHanging12a"/>
        <w:widowControl/>
      </w:pPr>
      <w:r w:rsidRPr="006F7E1E">
        <w:t>3.</w:t>
      </w:r>
      <w:r w:rsidRPr="006F7E1E">
        <w:tab/>
        <w:t xml:space="preserve">korostaa vetoomusvaliokunnan tekemää keskeistä työtä työntekijöiden oikeuksien puolesta ja työntekijöiden suojelemiseksi syrjinnältä ja määräaikaisten työsopimusten väärinkäytöltä Italian julkisella sektorilla; antaa arvoa sille sitä, että komissio otti </w:t>
      </w:r>
      <w:r w:rsidRPr="006F7E1E">
        <w:lastRenderedPageBreak/>
        <w:t>asianmukaisesti huomioon vetoomusten esittäjien toimittamat erittäin kattavat oikeudelliset asiakirjat, joita arvioitiin huolellisesti useissa vetoomusvaliokunnan kokouksissa, päättäessään nostaa kanteen Italiaa vastaan Euroopan unionin tuomioistuimessa, koska se neuvoston direktiivin 1999/70/EY vastaisesti ei ollut lopettanut määräaikaisten sopimusten väärinkäyttöä ja poistanut syrjiviä työehtoja;</w:t>
      </w:r>
    </w:p>
    <w:p w:rsidR="0096671B" w:rsidRPr="006F7E1E" w:rsidRDefault="00017B2B" w:rsidP="00AA5641">
      <w:pPr>
        <w:pStyle w:val="NormalHanging12a"/>
        <w:widowControl/>
      </w:pPr>
      <w:r w:rsidRPr="006F7E1E">
        <w:t>4.</w:t>
      </w:r>
      <w:r w:rsidRPr="006F7E1E">
        <w:tab/>
      </w:r>
      <w:r w:rsidR="0096671B" w:rsidRPr="006F7E1E">
        <w:t>antaa vetoomusvaliokunnalle tunnustusta siitä, et</w:t>
      </w:r>
      <w:r w:rsidR="00AB41FE">
        <w:t xml:space="preserve">tä se käsitteli vetoomuksen nro </w:t>
      </w:r>
      <w:bookmarkStart w:id="7" w:name="_GoBack"/>
      <w:bookmarkEnd w:id="7"/>
      <w:r w:rsidR="0096671B" w:rsidRPr="006F7E1E">
        <w:t xml:space="preserve">1168/2023, jonka esitti Mihai </w:t>
      </w:r>
      <w:proofErr w:type="spellStart"/>
      <w:r w:rsidR="0096671B" w:rsidRPr="006F7E1E">
        <w:t>Igna</w:t>
      </w:r>
      <w:proofErr w:type="spellEnd"/>
      <w:r w:rsidR="0096671B" w:rsidRPr="006F7E1E">
        <w:t xml:space="preserve"> ”</w:t>
      </w:r>
      <w:proofErr w:type="spellStart"/>
      <w:r w:rsidR="0096671B" w:rsidRPr="006F7E1E">
        <w:t>Impreuna</w:t>
      </w:r>
      <w:proofErr w:type="spellEnd"/>
      <w:r w:rsidR="0096671B" w:rsidRPr="006F7E1E">
        <w:t xml:space="preserve"> </w:t>
      </w:r>
      <w:proofErr w:type="spellStart"/>
      <w:r w:rsidR="0096671B" w:rsidRPr="006F7E1E">
        <w:t>aducem</w:t>
      </w:r>
      <w:proofErr w:type="spellEnd"/>
      <w:r w:rsidR="0096671B" w:rsidRPr="006F7E1E">
        <w:t xml:space="preserve"> </w:t>
      </w:r>
      <w:proofErr w:type="spellStart"/>
      <w:r w:rsidR="0096671B" w:rsidRPr="006F7E1E">
        <w:t>bunastare</w:t>
      </w:r>
      <w:proofErr w:type="spellEnd"/>
      <w:r w:rsidR="0096671B" w:rsidRPr="006F7E1E">
        <w:t>” -yhdistyksen (”Yhdessä luomme hyvinvointia”) puolesta ja jossa kehotetaan palauttamaan Venäjällä tällä hetkellä olevat Romanian kansallisaarteet ja historialliset arkistot; korostaa tämän keskustelun syvällistä historiallista merkitystä kaikille jäsenvaltioille, joihin Venäjän harjoittama ryöstely on historian saatossa vaikuttanut, erityisesti Ukrainassa meneillään olevan sodan yhteydessä, sillä siinä tuodaan esiin laajempia haasteita, jotka liittyvät kulttuurin säilyttämiseen ja kansallisperinnön suojeluun geopoliittisen konfliktin aikana; korostaa, että tämän asian käsittely vetoomusvaliokunnassa osoittaa, että se on sitoutunut vaalimaan EU:n kansalaisten ja jäsenvaltioiden oikeuksia, suojelemaan Romanian historiallista perintöä ja tukemaan sen oikeutettuja vaatimuksia kansainvälisellä näyttämöllä; palauttaa mieliin täysistunnon tämän jälkeen antaman päätöslauselman Venäjän anastamien Romanian kansallisaarteiden palauttamisesta</w:t>
      </w:r>
      <w:r w:rsidR="0096671B" w:rsidRPr="006F7E1E">
        <w:rPr>
          <w:rStyle w:val="FootnoteReference"/>
        </w:rPr>
        <w:footnoteReference w:id="4"/>
      </w:r>
      <w:r w:rsidR="0096671B" w:rsidRPr="006F7E1E">
        <w:t>;</w:t>
      </w:r>
    </w:p>
    <w:p w:rsidR="00063FF7" w:rsidRPr="006F7E1E" w:rsidRDefault="00C860B3" w:rsidP="00AA5641">
      <w:pPr>
        <w:pStyle w:val="NormalHanging12a"/>
        <w:widowControl/>
      </w:pPr>
      <w:r w:rsidRPr="006F7E1E">
        <w:t>5</w:t>
      </w:r>
      <w:r w:rsidR="00C15A23" w:rsidRPr="006F7E1E">
        <w:t>.</w:t>
      </w:r>
      <w:r w:rsidR="00C15A23" w:rsidRPr="006F7E1E">
        <w:tab/>
        <w:t xml:space="preserve">muistuttaa, että on tärkeää käydä jatkuvaa julkista keskustelua EU:n toiminnan aloista, jotta varmistetaan, että kansalaiset saavat asianmukaista tietoa EU:n toimivallasta ja päätöksenteon eri tasoista; kehottaa toteuttamaan EU:n laajuisen tehostetun ja jäsennellyn tiedotus- ja viestintäkampanjan </w:t>
      </w:r>
      <w:r w:rsidR="0096671B" w:rsidRPr="006F7E1E">
        <w:t xml:space="preserve">aiheuttamatta lisäkustannuksia (esimerkiksi käyttämällä Euroopan parlamentin yhteystoimistojen nykyisiä resursseja) </w:t>
      </w:r>
      <w:r w:rsidR="00C15A23" w:rsidRPr="006F7E1E">
        <w:t xml:space="preserve">kaikilla EU:n virallisilla kielillä yhteistyössä kansallisten ja alueellisten oikeusasiamiesten, kansalaisjärjestöjen ja oppilaitosten kanssa, jotta voidaan lisätä kaikkien jäsenvaltioiden kansalaisten tietämystä vetoomusoikeuksista, ja kohdistamaan kampanjan erityisesti maaseutuyhteisöille, muita heikommassa asemassa oleville yhteisöille ja marginalisoituneille ryhmille sekä syrjäisille saarille ja alueille; ehdottaa, että </w:t>
      </w:r>
      <w:r w:rsidR="0096671B" w:rsidRPr="006F7E1E">
        <w:t xml:space="preserve">lisäkustannuksia aiheuttamatta toteutettavien </w:t>
      </w:r>
      <w:r w:rsidR="00C15A23" w:rsidRPr="006F7E1E">
        <w:t xml:space="preserve">tiedotustoimien ulottuvuutta laajennetaan sosiaalisen median ja paikallisyhteisöjen tapahtumien avulla; korostaa tarvetta toteuttaa laajempia </w:t>
      </w:r>
      <w:r w:rsidR="0096671B" w:rsidRPr="006F7E1E">
        <w:t xml:space="preserve">julkisia tiedotuskampanjoita ja valistuskampanjoita </w:t>
      </w:r>
      <w:r w:rsidR="00C15A23" w:rsidRPr="006F7E1E">
        <w:t>hyödyntämällä aktiivisesti viestintäpalveluja, jotta voidaan lisätä kansalaisten tietoa heidän vetoomusoikeudestaan sekä unionin vastuiden laajuudesta ja vetoomusvaliokunnan toimivaltuuksista pyrkien vähentämään sellaisten vetoomusten määrää, joita ei oteta käsiteltäväksi, ja vahvistamaan kansalaisten osallistumista päätöksentekoprosessiin; suosittelee parantamaan vetoomusportaalin digitaalista saavutettavuutta muun muassa tekemällä mukautuksia vammaisia henkilöitä varten ja käyttämällä laadukkaampia käännöksiä kaikille EU:n virallisille kielille; suosittelee tutkimaan, miten nykyisillä tietoteknisillä välineillä voitaisiin lisätä kansalaisille annettavaa tukea portaalissa muun muassa käyttämällä uudelleenohjausta asiaankuuluviin valitusmekanismeihin;</w:t>
      </w:r>
    </w:p>
    <w:p w:rsidR="00C15A23" w:rsidRPr="006F7E1E" w:rsidRDefault="00C860B3" w:rsidP="00AA5641">
      <w:pPr>
        <w:pStyle w:val="NormalHanging12a"/>
        <w:widowControl/>
      </w:pPr>
      <w:r w:rsidRPr="006F7E1E">
        <w:t>6</w:t>
      </w:r>
      <w:r w:rsidR="00C15A23" w:rsidRPr="006F7E1E">
        <w:t>.</w:t>
      </w:r>
      <w:r w:rsidR="00C15A23" w:rsidRPr="006F7E1E">
        <w:tab/>
        <w:t>muistuttaa vetoomusvaliokunnan eurooppalaisesta ulottuvuudesta ja siitä, että kaikkien 27</w:t>
      </w:r>
      <w:r w:rsidR="007E21B3" w:rsidRPr="006F7E1E">
        <w:t> </w:t>
      </w:r>
      <w:r w:rsidR="00C15A23" w:rsidRPr="006F7E1E">
        <w:t>jäsenvaltion kansalaiset voivat lähestyä sitä EU:n perussopimusten ja EU:n lainsäädännön soveltamisalaan kuuluvissa kysymyksissä; katsoo, että valiokunnalla on erityinen vastuu ylläpitää tätä eurooppalaista ulottuvuutta ja osoittaa Euroopan yhtenäisyyden ja yhdentymisen kansalaisille tuoma lisäarvo;</w:t>
      </w:r>
      <w:r w:rsidR="0096671B" w:rsidRPr="006F7E1E">
        <w:t xml:space="preserve"> korostaa, että eurooppalaisen ulottuvuuden on perustuttava solidaarisuuteen, sosiaalisten ja </w:t>
      </w:r>
      <w:r w:rsidR="0096671B" w:rsidRPr="006F7E1E">
        <w:lastRenderedPageBreak/>
        <w:t>taloudellisten oikeuksien edistämiseen, vähemmistökielten ja -kulttuurien suojeluun sekä ilmastonmuutoksen aktiiviseen torjuntaan;</w:t>
      </w:r>
    </w:p>
    <w:p w:rsidR="00C15A23" w:rsidRPr="006F7E1E" w:rsidRDefault="00C860B3" w:rsidP="00AA5641">
      <w:pPr>
        <w:pStyle w:val="NormalHanging12a"/>
        <w:widowControl/>
      </w:pPr>
      <w:r w:rsidRPr="006F7E1E">
        <w:t>7</w:t>
      </w:r>
      <w:r w:rsidR="00C15A23" w:rsidRPr="006F7E1E">
        <w:t>.</w:t>
      </w:r>
      <w:r w:rsidR="00C15A23" w:rsidRPr="006F7E1E">
        <w:tab/>
        <w:t>painottaa, että vetoomukset antavat Euroopan parlamentille ja muille EU:n toimielimille ainutlaatuisen mahdollisuuden suoraan yhteydenpitoon ja säännölliseen vuoropuheluun EU:n kansalaisten kanssa, erityisesti tapauksissa, joissa EU:n lainsäädännön virheellinen soveltaminen tai rikkominen vaikuttaa heihin; korostaa tarvetta tehostaa EU:n toimielinten ja kansallisten, alueellisten ja paikallisten viranomaisten välistä yhteistyötä EU:n lainsäädännön täytäntöönpanoa ja noudattamista koskevissa tutkimuksissa; katsoo, että tällainen yhteistyö on ratkaisevan tärkeää, jotta voidaan käsitellä ja ratkaista kansalaisten huolenaiheita, jotka liittyvät EU:n lainsäädännön soveltamiseen, ja katsoo, että se edistää osaltaan EU:n demokraattisen legitiimiyden ja vastuuvelvollisuuden vahvistamista; kehottaa tämän vuoksi jäsenvaltioiden edustajia osallistumaan valiokunnan kokouksiin ja kehottaa vastaamaan oikea-aikaisesti ja yksityiskohtaisesti selvennys- tai tietopyyntöihin, joita vetoomusvaliokunta lähettää kansallisille viranomaisille;</w:t>
      </w:r>
      <w:r w:rsidR="0096671B" w:rsidRPr="006F7E1E">
        <w:t xml:space="preserve"> panee merkille, että vuonna 2023 vastaanotettiin entistä enemmän vetoomuksia, jotka koskivat väestöryhmien välisiä rakenteellisia eroja, myös ansio- ja eläketuloeroja; kehottaa analysoimaan ja käsittelemään näitä huolenaiheita järjestelmällisesti ja koordinoidusti asianomaisten valiokuntien ja komission kanssa; kehottaa lisäksi parantamaan sellaisten henkilöiden suojelua ja tukea, jotka ovat alttiita hyväksikäytölle tai syrjäytymiselle ja joilla on vaikeuksia asianmukaisten tukimekanismien käytössä ja oikeussuojan saamisessa;</w:t>
      </w:r>
    </w:p>
    <w:p w:rsidR="00C15A23" w:rsidRPr="006F7E1E" w:rsidRDefault="00C860B3" w:rsidP="00AA5641">
      <w:pPr>
        <w:pStyle w:val="NormalHanging12a"/>
        <w:widowControl/>
      </w:pPr>
      <w:r w:rsidRPr="006F7E1E">
        <w:t>8</w:t>
      </w:r>
      <w:r w:rsidR="00C15A23" w:rsidRPr="006F7E1E">
        <w:t>.</w:t>
      </w:r>
      <w:r w:rsidR="00C15A23" w:rsidRPr="006F7E1E">
        <w:tab/>
        <w:t>muistuttaa, että vetoomukset myötävaikuttavat merkittävästi komission toimintaan perussopimusten valvojan roolissa, koska ne ovat kansalaisille lisäkeino ilmoittaa EU:n lainsäädännön väitetyistä rikkomisistapauksista; korostaa, että vetoomusten onnistuneen käsittelyn kannalta on olennaista, että vetoomusvaliokunta ja komissio tekevät rakentavaa yhteistyötä, jossa komissio antaa vetoomuksissa esiin tuotujen kysymysten perusteelliseen tarkasteluun perustuvia oikea-aikaisia ja yksityiskohtaisia vastauksia;</w:t>
      </w:r>
    </w:p>
    <w:p w:rsidR="00C15A23" w:rsidRPr="006F7E1E" w:rsidRDefault="00C860B3" w:rsidP="00AA5641">
      <w:pPr>
        <w:pStyle w:val="NormalHanging12a"/>
        <w:widowControl/>
      </w:pPr>
      <w:r w:rsidRPr="006F7E1E">
        <w:t>9</w:t>
      </w:r>
      <w:r w:rsidR="00C15A23" w:rsidRPr="006F7E1E">
        <w:t>.</w:t>
      </w:r>
      <w:r w:rsidR="00C15A23" w:rsidRPr="006F7E1E">
        <w:tab/>
        <w:t xml:space="preserve">kehottaa jälleen komissiota antamaan oikeudellisia selvennyksiä keskeisistä kriteereistä, joihin sen strateginen lähestymistapa EU:n lainsäädännön täytäntöönpanoon perustuu, ja tiedottamaan säännöllisesti vetoomusvaliokunnalle rikkomusmenettelyjen etenemisestä ja varmistamaan, että vetoomusvaliokunta saa käyttöönsä kaikki asiaankuuluvat asiakirjat EU </w:t>
      </w:r>
      <w:proofErr w:type="spellStart"/>
      <w:r w:rsidR="00C15A23" w:rsidRPr="006F7E1E">
        <w:t>Pilot</w:t>
      </w:r>
      <w:proofErr w:type="spellEnd"/>
      <w:r w:rsidR="00C15A23" w:rsidRPr="006F7E1E">
        <w:t xml:space="preserve"> -menettelyistä sekä vastaanotettujen vetoomusten perusteella käynnistetyistä rikkomusmenettelyistä ja lainsäädäntöaloitteista; katsoo, että avoimuuden lisääminen ja säännöllinen palaute meneillään olevien rikkomusmenettelyjen käsittelystä komissiossa olisi hyödyllistä käsiteltävänä olevien vetoomusten jatkotoimille valiokunnassa; suhtautuu myönteisesti komission hiljattain tekemään aloitteeseen vetoomusten sisällyttämisestä komission rikkomusrekisterin hakujärjestelmään; korostaa, että on tärkeää, että komissio suorittaa oikea-aikaisesti tutkimuksia vetoomuksista ja tuo esiin oikeuksien loukkaukset, jotka vaikuttavat suureen määrään kansalaisia ja asukkaita EU:ssa, ja kuulee tarvittaessa asianomaista kansallista oikeusasiamiestä; ilmaisee huolensa siitä, miten komissio käsittelee joitakin rikkomusmenettelyjä, joita on käynnistetty jäsenvaltioita vastaan ja joista osa liittyy useissa vetoomuksissa esiin tuotuihin kysymyksiin; kannustaa komissiota toteuttamaan kaikki tarvittavat toimenpiteet parantaakseen rikkomusmenettelyjen hallinnoinnin avoimuutta ja tehokkuutta, sillä kansalaiset voivat pitää sitä läpinäkymättömänä;</w:t>
      </w:r>
    </w:p>
    <w:p w:rsidR="00C15A23" w:rsidRPr="006F7E1E" w:rsidRDefault="00C860B3" w:rsidP="00AA5641">
      <w:pPr>
        <w:pStyle w:val="NormalHanging12a"/>
        <w:widowControl/>
      </w:pPr>
      <w:r w:rsidRPr="006F7E1E">
        <w:t>10</w:t>
      </w:r>
      <w:r w:rsidR="00C15A23" w:rsidRPr="006F7E1E">
        <w:t>.</w:t>
      </w:r>
      <w:r w:rsidR="00C15A23" w:rsidRPr="006F7E1E">
        <w:tab/>
        <w:t xml:space="preserve">kehottaa komissiota arvioimaan, toteuttavatko kansalliset viranomaiset tarvittavat toimenpiteet kansalaisten vetoomuksissa esitettyihin huolenaiheisiin vastaamiseksi tilanteissa, joissa EU:n lainsäädännön noudattamisessa on puutteita, ja kehottaa </w:t>
      </w:r>
      <w:r w:rsidR="00C15A23" w:rsidRPr="006F7E1E">
        <w:lastRenderedPageBreak/>
        <w:t>tarvittaessa käynnistämään rikkomusmenettelyjä; korostaa, että komission oikea</w:t>
      </w:r>
      <w:r w:rsidR="00C15A23" w:rsidRPr="006F7E1E">
        <w:noBreakHyphen/>
        <w:t>aikainen ja ennakoiva toiminta on ratkaisevan tärkeää tapauksissa, joissa EU:n lainsäädäntöä on rikottu, jotta estetään rikkomisen muuttuminen järjestelmällisiksi, sillä tällainen rikkominen voi horjuttaa EU:n kansalaisten luottamusta EU:n toimielimiin;</w:t>
      </w:r>
    </w:p>
    <w:p w:rsidR="00063FF7" w:rsidRPr="006F7E1E" w:rsidRDefault="00C860B3" w:rsidP="00AA5641">
      <w:pPr>
        <w:pStyle w:val="NormalHanging12a"/>
        <w:widowControl/>
      </w:pPr>
      <w:r w:rsidRPr="006F7E1E">
        <w:t>11.</w:t>
      </w:r>
      <w:r w:rsidRPr="006F7E1E">
        <w:tab/>
      </w:r>
      <w:r w:rsidR="00063FF7" w:rsidRPr="006F7E1E">
        <w:t>muistuttaa, että sananvapaus on eurooppalaisen demokratian peruspilari; tuomitsee kaikki yritykset sensuroida, marginalisoida tai pelotella kansalaisia tai heidän vaaleilla valittuja edustajiaan heidän poliittisten mielipiteidensä takia; korostaa myös, että vaalien tulosten kunnioittaminen kansallisella ja unionin tasolla on olennaisen tärkeää, jotta voidaan säilyttää kansalaisten luottamus demokraattiseen prosessiin;</w:t>
      </w:r>
    </w:p>
    <w:p w:rsidR="00C15A23" w:rsidRPr="006F7E1E" w:rsidRDefault="00C860B3" w:rsidP="00AA5641">
      <w:pPr>
        <w:pStyle w:val="NormalHanging12a"/>
        <w:widowControl/>
      </w:pPr>
      <w:r w:rsidRPr="006F7E1E">
        <w:t>12</w:t>
      </w:r>
      <w:r w:rsidR="00C15A23" w:rsidRPr="006F7E1E">
        <w:t>.</w:t>
      </w:r>
      <w:r w:rsidR="00C15A23" w:rsidRPr="006F7E1E">
        <w:tab/>
        <w:t>korostaa, että jäsenvaltioiden ja vetoomusvaliokunnan olisi tehtävä tehokkaampaa ja aktiivisempaa yhteistyötä, jotta voidaan poistaa esteitä sellaisten vetoomusten käsittelyssä, jotka edellyttävät kansallisilta viranomaisilta nopeita vastauksia ja toimia; muistuttaa, että jäsenvaltioiden vastausten viivästyminen voi vaikuttaa kansalaisten esiin tuomien kysymysten ratkaisemiseen oikea-aikaisesti ja sillä voi olla kielteinen vaikutus unionin oikeuden rikkomistapausten selvittämiseen; toteaa, että jäsenvaltioiden olisi taattava, että vetoomuksiin vastataan pyydetyssä kolmen kuukauden määräajassa; korostaa, että koordinoinnin ja vuoropuhelun parantaminen helpottaisi kansalaisten huolenaiheiden tehokkaampaa käsittelyä, ehkäisisi tarpeettomia viivästyksiä ja vahvistaisi vetoomusmenettelyn tehokkuutta;</w:t>
      </w:r>
    </w:p>
    <w:p w:rsidR="00063FF7" w:rsidRPr="006F7E1E" w:rsidRDefault="00C860B3" w:rsidP="00E85F72">
      <w:pPr>
        <w:pStyle w:val="NormalHanging12a"/>
        <w:widowControl/>
      </w:pPr>
      <w:r w:rsidRPr="006F7E1E">
        <w:t>13.</w:t>
      </w:r>
      <w:r w:rsidRPr="006F7E1E">
        <w:tab/>
      </w:r>
      <w:r w:rsidR="00E85F72" w:rsidRPr="006F7E1E">
        <w:t>toteaa, että vetoomusvaliokunta antoi Kataloniaan tekemänsä tiedonhankintamatkan jälkeen 19. maaliskuuta 2024 päivätyssä mietinnössään suosituksia, etenkin kaikkien oppilaiden ja heidän perheidensä kielellisten oikeuksien suojelusta, mutta panee huolestuneena merkille, että asianomaiset koulutusviranomaiset eivät ole vielä panneet niitä kaikilta osin täytäntöön; pitää erittäin valitettavina valiokunnan jäsenten Barcelonaan 18.–20. joulukuuta 2023 tekemänsä matkan aikana kohtaamia jännitteitä ja kehottaa kaikkia sidosryhmiä kunnioittavaan vuoropuheluun ja yhteistyöhön sen varmistamiseksi, että demokraattiset instituutiot voivat hoitaa tehtävänsä keskinäisen kunnioituksen ja ymmärryksen ilmapiirissä;</w:t>
      </w:r>
    </w:p>
    <w:p w:rsidR="00C15A23" w:rsidRPr="006F7E1E" w:rsidRDefault="00C860B3" w:rsidP="00AA5641">
      <w:pPr>
        <w:pStyle w:val="NormalHanging12a"/>
        <w:widowControl/>
      </w:pPr>
      <w:r w:rsidRPr="006F7E1E">
        <w:t>14</w:t>
      </w:r>
      <w:r w:rsidR="00C15A23" w:rsidRPr="006F7E1E">
        <w:t>.</w:t>
      </w:r>
      <w:r w:rsidR="00C15A23" w:rsidRPr="006F7E1E">
        <w:tab/>
        <w:t>tuomitsee jyrkästi ahdistelun ja pelottelun, jota vetoomusvaliokunnan valtuuskunnan virallisiin jäseniin kohdistui heidän Barcelonaan 18.–20. joulukuuta 2023 tekemänsä tiedonhankintamatkan aikana, kun tarkoituksena oli arvioida paikan päällä Katalonian kielikylpymallia, sen vaikutuksia itsehallintoalueelle muuttaviin ja siellä asuviin perheisiin sekä monikielisyyteen, syrjimättömyyteen ja oikeusvaltioperiaatteeseen;</w:t>
      </w:r>
    </w:p>
    <w:p w:rsidR="00C15A23" w:rsidRPr="006F7E1E" w:rsidRDefault="00C860B3" w:rsidP="00AA5641">
      <w:pPr>
        <w:pStyle w:val="NormalHanging12a"/>
        <w:widowControl/>
      </w:pPr>
      <w:r w:rsidRPr="006F7E1E">
        <w:t>15</w:t>
      </w:r>
      <w:r w:rsidR="00C15A23" w:rsidRPr="006F7E1E">
        <w:t>.</w:t>
      </w:r>
      <w:r w:rsidR="00C15A23" w:rsidRPr="006F7E1E">
        <w:tab/>
        <w:t>pitää valitettavana, että alueen toimivaltaiset opetusviranomaiset eivät ole panneet täytäntöön suosituksia, jotka vetoomusvaliokunta antoi 19. maaliskuuta 2024 tiedonhankintamatkan jälkeen ja joiden tarkoituksena on suojella oppilaiden ja heidän perheidensä kieliin liittyviä oikeuksia;</w:t>
      </w:r>
    </w:p>
    <w:p w:rsidR="00C15A23" w:rsidRPr="006F7E1E" w:rsidRDefault="00C860B3" w:rsidP="00AA5641">
      <w:pPr>
        <w:pStyle w:val="NormalHanging12a"/>
        <w:widowControl/>
      </w:pPr>
      <w:r w:rsidRPr="006F7E1E">
        <w:t>16</w:t>
      </w:r>
      <w:r w:rsidR="00C15A23" w:rsidRPr="006F7E1E">
        <w:t>.</w:t>
      </w:r>
      <w:r w:rsidR="00C15A23" w:rsidRPr="006F7E1E">
        <w:tab/>
        <w:t xml:space="preserve">palauttaa mieliin, että </w:t>
      </w:r>
      <w:proofErr w:type="spellStart"/>
      <w:r w:rsidR="00C15A23" w:rsidRPr="006F7E1E">
        <w:t>ePetition</w:t>
      </w:r>
      <w:proofErr w:type="spellEnd"/>
      <w:r w:rsidR="00C15A23" w:rsidRPr="006F7E1E">
        <w:t xml:space="preserve">-tietokanta on tärkeä sisäinen väline, jonka avulla vetoomusvaliokunnan jäsenet saavat kaikki tarvittavat tiedot voidakseen seurata kunkin yksittäisen vetoomuksen tilannetta ja voidakseen tehdä tietoon perustuvia päätöksiä vetoomusten käsittelystä; toteaa, että </w:t>
      </w:r>
      <w:proofErr w:type="spellStart"/>
      <w:r w:rsidR="00C15A23" w:rsidRPr="006F7E1E">
        <w:t>ePetition</w:t>
      </w:r>
      <w:proofErr w:type="spellEnd"/>
      <w:r w:rsidR="00C15A23" w:rsidRPr="006F7E1E">
        <w:t>-tietokanta on tärkeässä asemassa myös yhteydenpidossa vetoomusten esittäjien kanssa;</w:t>
      </w:r>
    </w:p>
    <w:p w:rsidR="00C15A23" w:rsidRPr="006F7E1E" w:rsidRDefault="00C860B3" w:rsidP="00AA5641">
      <w:pPr>
        <w:pStyle w:val="NormalHanging12a"/>
        <w:widowControl/>
      </w:pPr>
      <w:r w:rsidRPr="006F7E1E">
        <w:t>17</w:t>
      </w:r>
      <w:r w:rsidR="00C15A23" w:rsidRPr="006F7E1E">
        <w:t>.</w:t>
      </w:r>
      <w:r w:rsidR="00C15A23" w:rsidRPr="006F7E1E">
        <w:tab/>
        <w:t xml:space="preserve">muistuttaa, että komissio on sitoutunut luomaan parlamentin kanssa toimielinten välisen tietoteknisen välineen, jonka avulla voidaan jakaa tietoa ja asiakirjoja kaikista vetoomuksia koskevista toteutetuista jatkotoimista, kuten rikkomusmenettelyistä, </w:t>
      </w:r>
      <w:r w:rsidR="00C15A23" w:rsidRPr="006F7E1E">
        <w:lastRenderedPageBreak/>
        <w:t>lainsäädäntöehdotuksista tai kansallisten viranomaisten vastauksista, ja siten lisätä vetoomusten käsittelyn avoimuutta ja tehokkuutta, mikä lisäisi yleisesti kansalaisten luottamusta EU:n toimielimiin ja Euroopan yhdentymishankkeeseen;</w:t>
      </w:r>
    </w:p>
    <w:p w:rsidR="003D136F" w:rsidRPr="006F7E1E" w:rsidRDefault="00C860B3" w:rsidP="00E85F72">
      <w:pPr>
        <w:pStyle w:val="NormalHanging12a"/>
        <w:widowControl/>
      </w:pPr>
      <w:r w:rsidRPr="006F7E1E">
        <w:t>18</w:t>
      </w:r>
      <w:r w:rsidR="00C15A23" w:rsidRPr="006F7E1E">
        <w:t>.</w:t>
      </w:r>
      <w:r w:rsidR="00C15A23" w:rsidRPr="006F7E1E">
        <w:tab/>
        <w:t>muistuttaa, että yhteistyö parlamentin muiden valiokuntien kanssa on olennaista vetoomusten kattavan käsittelyn varmistamiseksi</w:t>
      </w:r>
      <w:r w:rsidR="00E85F72" w:rsidRPr="006F7E1E">
        <w:t xml:space="preserve"> ja että erityistä huomiota on kiinnitettävä vetoomuksiin, jotka koskevat sukupuolten tasa-arvoa, perheiden monimuotoisuutta, ympäristöoikeudenmukaisuutta ja vähemmistöjen kielellisiä oikeuksia</w:t>
      </w:r>
      <w:r w:rsidR="00C15A23" w:rsidRPr="006F7E1E">
        <w:t>; panee merkille, että vuonna 2023 muille valiokunnille lähetettiin 34 lausuntopyyntöä (jotka koskivat 31:tä vetoomusta) ja 223 tietopyyntöä; panee merkille, että 34 lausuntopyynnöstä vain 25:een saatiin vastaus vuoden 2023 loppuun mennessä (14 tapauksessa lausunto annettiin, kymmenessä tapauksessa valiokunta päätti olla laatimatta lausuntoa ja neljässä tapauksessa virallista päätöstä ei ole toimitettu);</w:t>
      </w:r>
      <w:r w:rsidR="00C15A23" w:rsidRPr="006F7E1E">
        <w:rPr>
          <w:color w:val="FF0000"/>
        </w:rPr>
        <w:t xml:space="preserve"> </w:t>
      </w:r>
      <w:r w:rsidR="00C15A23" w:rsidRPr="006F7E1E">
        <w:t>muistuttaa, että vetoomuksen esittäjille ilmoitetaan, kun päätetään pyytää lausuntoja muilta valiokunnilta heidän vetoomustensa käsittelyä varten; painottaa, että parlamentin valiokuntien olisi osallistuttava aktiivisemmin vetoomusten käsittelyyn tarjoamalla asiantuntemustaan ja antamalla siten parlamentille mahdollisuuden vastata nopeammin ja kattavammin kansalaisten huolenaiheisiin;</w:t>
      </w:r>
    </w:p>
    <w:p w:rsidR="00C15A23" w:rsidRPr="006F7E1E" w:rsidRDefault="00C860B3" w:rsidP="00AA5641">
      <w:pPr>
        <w:pStyle w:val="NormalHanging12a"/>
        <w:widowControl/>
      </w:pPr>
      <w:r w:rsidRPr="006F7E1E">
        <w:t>19</w:t>
      </w:r>
      <w:r w:rsidR="00C15A23" w:rsidRPr="006F7E1E">
        <w:t>.</w:t>
      </w:r>
      <w:r w:rsidR="00C15A23" w:rsidRPr="006F7E1E">
        <w:tab/>
        <w:t xml:space="preserve">katsoo, että vetoomusverkosto on hyödyllinen väline, jonka avulla helpotetaan vetoomusten seurantaa parlamentaarisessa ja lainsäädännöllisessä työssä; katsoo, että vetoomusverkoston säännölliset kokoukset ovat ratkaisevan tärkeitä, jotta parannetaan vetoomusvaliokunnan toiminnan näkyvyyttä ja tietämystä sen työstä ja tehtävästä sekä vahvistetaan yhteistyötä parlamentin muiden valiokuntien kanssa; </w:t>
      </w:r>
    </w:p>
    <w:p w:rsidR="00C15A23" w:rsidRPr="006F7E1E" w:rsidRDefault="00C860B3" w:rsidP="00AA5641">
      <w:pPr>
        <w:pStyle w:val="NormalHanging12a"/>
        <w:widowControl/>
      </w:pPr>
      <w:r w:rsidRPr="006F7E1E">
        <w:t>20</w:t>
      </w:r>
      <w:r w:rsidR="00C15A23" w:rsidRPr="006F7E1E">
        <w:t>.</w:t>
      </w:r>
      <w:r w:rsidR="00C15A23" w:rsidRPr="006F7E1E">
        <w:tab/>
        <w:t>korostaa, että vetoomusvaliokunta ilmaisi kantansa vetoomuksissa esiin tuoduista tärkeistä kysymyksistä, kun se hyväksyi mietintönsä vetoomusvaliokunnan vuonna 2022 käsittelemistä asioista</w:t>
      </w:r>
      <w:r w:rsidR="00C15A23" w:rsidRPr="006F7E1E">
        <w:rPr>
          <w:rStyle w:val="FootnoteReference"/>
        </w:rPr>
        <w:footnoteReference w:id="5"/>
      </w:r>
      <w:r w:rsidR="00C15A23" w:rsidRPr="006F7E1E">
        <w:t>;</w:t>
      </w:r>
    </w:p>
    <w:p w:rsidR="00C15A23" w:rsidRPr="006F7E1E" w:rsidRDefault="00C860B3" w:rsidP="00AA5641">
      <w:pPr>
        <w:pStyle w:val="NormalHanging12a"/>
        <w:widowControl/>
      </w:pPr>
      <w:r w:rsidRPr="006F7E1E">
        <w:t>21</w:t>
      </w:r>
      <w:r w:rsidR="00C15A23" w:rsidRPr="006F7E1E">
        <w:t>.</w:t>
      </w:r>
      <w:r w:rsidR="00C15A23" w:rsidRPr="006F7E1E">
        <w:tab/>
        <w:t>korostaa, että ulkosuhteisiin liittyvien vetoomusten määrä on vähentynyt hieman vuoteen 2022 verrattuna; toteaa, että tämä voi johtua vuoden 2023 uudesta geopoliittisesta tilanteesta ja erityisesti Ukrainan sotaa koskevien vetoomusten määrän vähenemisestä ja toisaalta Lähi-idän uusia konflikteja käsittelevien vetoomusten merkittävästä lisääntymisestä; panee merkille, että vetoomusvaliokunta otti huomioon kansalaisten huolenaiheet, jotka liittyivät muun muassa pakotteisiin, turvallisuuteen, konfliktinratkaisuun, viisumipolitiikkaan ja EU:n ehdokasmaiden edistymiseen, ja otti esityslistalleen useita vetoomuksia, joissa käsitellään erityisesti kysymyksiä, jotka liittyvät pakolaisten, erityisesti lasten, tilanteeseen ja venezuelalaisten pakolaisten tilanteeseen EU:ssa; panee merkille toimet, joita valiokunnat ovat aktiivisesti toteuttaneet käsitellessään näitä kysymyksiä, ja korostaa, että ulkoasiainvaliokunnan ja kansalaisvapauksien sekä oikeus- ja sisäasioiden valiokunnan olisi otettava nämä vetoomukset huomioon käsittelemissään asioissa;</w:t>
      </w:r>
    </w:p>
    <w:p w:rsidR="00C15A23" w:rsidRPr="006F7E1E" w:rsidRDefault="00C860B3" w:rsidP="00AA5641">
      <w:pPr>
        <w:pStyle w:val="NormalHanging12a"/>
        <w:widowControl/>
      </w:pPr>
      <w:r w:rsidRPr="006F7E1E">
        <w:t>22</w:t>
      </w:r>
      <w:r w:rsidR="00C15A23" w:rsidRPr="006F7E1E">
        <w:t>.</w:t>
      </w:r>
      <w:r w:rsidR="00C15A23" w:rsidRPr="006F7E1E">
        <w:tab/>
        <w:t xml:space="preserve">panee merkille, että terveyteen liittyvät kysymykset, jotka olivat yksi vetoomusten esittäjien tärkeimpiä huolenaiheita vuonna 2022, vaikuttivat olevan edelleen keskeisiä vuonna 2023; panee erityisesti merkille, että vetoomusvaliokunta tutki ja keskusteli vetoomuksista, jotka koskivat lasten leluissa käytettävien kemikaalien ja raskasmetallien kieltämistä, terveellisten ja ympäristöystävällisten </w:t>
      </w:r>
      <w:r w:rsidR="00C15A23" w:rsidRPr="006F7E1E">
        <w:lastRenderedPageBreak/>
        <w:t>elintarvikejärjestelmien ja elintapojen tukemista sekä imeväisille ja pikkulapsille tarkoitettuihin elintarvikkeisiin lisättyjä sokereita koskevien EU:n asetusten täytäntöönpanoa;</w:t>
      </w:r>
    </w:p>
    <w:p w:rsidR="00C15A23" w:rsidRPr="006F7E1E" w:rsidRDefault="00C860B3" w:rsidP="00AA5641">
      <w:pPr>
        <w:pStyle w:val="NormalHanging12a"/>
        <w:widowControl/>
      </w:pPr>
      <w:r w:rsidRPr="006F7E1E">
        <w:t>23</w:t>
      </w:r>
      <w:r w:rsidR="00C15A23" w:rsidRPr="006F7E1E">
        <w:t>.</w:t>
      </w:r>
      <w:r w:rsidR="00C15A23" w:rsidRPr="006F7E1E">
        <w:tab/>
        <w:t>toteaa, että huomattava määrä esitetyistä ja käsiteltävänä olleista vetoomuksista liittyi kansalaisten huolenaiheisiin, jotka koskivat rajatarkastusten ottamista uudelleen käyttöön joidenkin jäsenvaltioiden välillä ja joissa tuotiin esiin henkilöiden vapaan liikkuvuuden rajoittamisen ongelmallisuus EU:ssa ja muita näkökohtia, kuten Schengen-alueen laajentamisen vahvuudet ja heikkoudet</w:t>
      </w:r>
      <w:r w:rsidR="00545068" w:rsidRPr="006F7E1E">
        <w:t>;</w:t>
      </w:r>
      <w:r w:rsidR="00C15A23" w:rsidRPr="006F7E1E">
        <w:t xml:space="preserve"> </w:t>
      </w:r>
      <w:r w:rsidR="00E85F72" w:rsidRPr="006F7E1E">
        <w:t>muistuttaa, että jäsenvaltiot voivat palauttaa sisärajavalvonnan</w:t>
      </w:r>
      <w:r w:rsidR="00E85F72" w:rsidRPr="006F7E1E">
        <w:rPr>
          <w:rStyle w:val="FootnoteReference"/>
        </w:rPr>
        <w:footnoteReference w:id="6"/>
      </w:r>
      <w:r w:rsidR="00E85F72" w:rsidRPr="006F7E1E">
        <w:t xml:space="preserve">, jos yleiseen järjestykseen tai sisäiseen turvallisuuteen kohdistuu vakava uhka tai  </w:t>
      </w:r>
      <w:r w:rsidR="00C15A23" w:rsidRPr="006F7E1E">
        <w:t xml:space="preserve">Schengen-alueen </w:t>
      </w:r>
      <w:r w:rsidR="00E85F72" w:rsidRPr="006F7E1E">
        <w:t>yleistä toimintaa uhkaavissa poikkeuksellisissa olosuhteissa</w:t>
      </w:r>
      <w:r w:rsidR="00C15A23" w:rsidRPr="006F7E1E">
        <w:t>; antaa tunnustusta vetoomusvaliokunnan merkittävälle roolille, joka sillä on ollut voimakkaan tuen antamisessa Schengen-alueen laajentamiselle Romaniaan ja Bulgariaan, ja arvostaa erityisesti lukuisia toteutettuja toimia, valiokunnan 27. kesäkuuta 2023 hyväksymää lyhyttä päätöslauselmaesitystä Schengen-alueeseen liittymisestä ja siihen liittyvää parlamentin päätöslauselmaa sekä 18. heinäkuuta 2023 yhdessä kansalaisvapauksien sekä oikeus- ja sisäasioiden valiokunnan kanssa järjestettyä julkista kuulemista Schengen-rajoista; suhtautuu myönteisesti neuvoston yksimieliseen päätökseen molempien maiden täysimittaisesta Schengen-alueen jäsenyydestä 1. tammikuuta 2025 alkaen, mikä mahdollistaa EU:n sisämarkkinoiden perusvapauksien täysimääräisen toteutumisen; </w:t>
      </w:r>
      <w:r w:rsidR="00E85F72" w:rsidRPr="006F7E1E">
        <w:t>korostaa, että se, että jäsenvaltioita estettiin liittymästä Schengen-alueeseen kaikkien vaatimusten täyttämisestä huolimatta, oli syrjivä päätös, jolla ei ollut oikeudellista perustetta ja joka vaikutti vakavasti moniin EU:n kansalaisiin;</w:t>
      </w:r>
    </w:p>
    <w:p w:rsidR="006A7FDF" w:rsidRPr="006F7E1E" w:rsidRDefault="00C860B3" w:rsidP="00E85F72">
      <w:pPr>
        <w:pStyle w:val="NormalHanging12a"/>
        <w:widowControl/>
      </w:pPr>
      <w:r w:rsidRPr="006F7E1E">
        <w:t>24</w:t>
      </w:r>
      <w:r w:rsidR="00C15A23" w:rsidRPr="006F7E1E">
        <w:t>.</w:t>
      </w:r>
      <w:r w:rsidR="00C15A23" w:rsidRPr="006F7E1E">
        <w:tab/>
        <w:t>panee merkille, että Espanjasta peräisin olevien vetoomusten määrä lisääntyi äkillisesti vuoden 2023 jälkipuoliskolla ja että ne koskivat oikeusvaltioperiaatteeseen Espanjassa kohdistuvia riskejä, jotka johtuvat Espanjan hallituksen aikomuksesta hyväksyä maan perustuslain ja unionin oikeuden vastainen armahduslaki;</w:t>
      </w:r>
      <w:r w:rsidR="00E85F72" w:rsidRPr="006F7E1E">
        <w:t xml:space="preserve"> pitää valitettavina Espanjan hallituksen hyökkäyksiä oikeusvaltioperiaatetta ja vallanjakoa vastaan;</w:t>
      </w:r>
    </w:p>
    <w:p w:rsidR="00C15A23" w:rsidRPr="006F7E1E" w:rsidRDefault="00C860B3" w:rsidP="00AA5641">
      <w:pPr>
        <w:pStyle w:val="NormalHanging12a"/>
        <w:widowControl/>
      </w:pPr>
      <w:r w:rsidRPr="006F7E1E">
        <w:t>25</w:t>
      </w:r>
      <w:r w:rsidR="00C15A23" w:rsidRPr="006F7E1E">
        <w:t>.</w:t>
      </w:r>
      <w:r w:rsidR="00C15A23" w:rsidRPr="006F7E1E">
        <w:tab/>
        <w:t xml:space="preserve">korostaa vetoomusvaliokunnan työtä niiden vetoomusten parissa, jotka liittyvät käsimatkatavaroiden standardikokoa koskeviin yhteisiin sääntöihin ja joissa tuodaan esiin kansalaisten huoli lentoyhtiöiden käsimatkatavaroita koskevien sääntöjen epäjohdonmukaisuuden aiheuttamasta haitasta ja epämukavuudesta ja tästä aiheutuvista piilokustannuksista; painottaa kehotustaan noudattaa asiaa koskevaa Euroopan unionin tuomioistuimen ratkaisua EU:n lentoliikennelainsäädännön tarkistamisen yhteydessä; huomauttaa tähän liittyen, että vetoomusvaliokunta hyväksyi 20. syyskuuta 2023 lyhyen päätöslauselmaesityksen käsimatkatavaroiden standardikoosta, minkä jälkeen Euroopan parlamentti hyväksyi päätöslauselman kertaäänestyksessä 4. lokakuuta 2023; suhtautuu myönteisesti siihen, että komissio esitti marraskuussa 2023 matkustajien oikeuksia koskevan kehyksen tarkistamista ja antoi useita ehdotuksia, joiden tarkoituksena on parantaa matkustajien matkakokemusta, mukaan lukien vaatimus määrittää pieni määrä yhteisiä koko- ja painostandardeja sekaannuksen vähentämiseksi; pitää valitettavana, että vammaiset matkustajat kohtaavat edelleen liian monia esteitä matkustaessaan, erityisesti multimodaalisilla matkoilla; pitää valitettavana, että monien jäsenvaltioiden </w:t>
      </w:r>
      <w:r w:rsidR="00C15A23" w:rsidRPr="006F7E1E">
        <w:lastRenderedPageBreak/>
        <w:t>joukkoliikennejärjestelmät eivät ole vammaisten henkilöiden oikeuksia koskevan Yhdistyneiden kansakuntien yleissopimuksen vaatimusten mukaisia;</w:t>
      </w:r>
    </w:p>
    <w:p w:rsidR="00C15A23" w:rsidRPr="006F7E1E" w:rsidRDefault="00C860B3" w:rsidP="00AA5641">
      <w:pPr>
        <w:pStyle w:val="NormalHanging12a"/>
        <w:widowControl/>
      </w:pPr>
      <w:r w:rsidRPr="006F7E1E">
        <w:t>26</w:t>
      </w:r>
      <w:r w:rsidR="00C15A23" w:rsidRPr="006F7E1E">
        <w:t>.</w:t>
      </w:r>
      <w:r w:rsidR="00C15A23" w:rsidRPr="006F7E1E">
        <w:tab/>
        <w:t>panee merkille, että ympäristöasiat olivat vetoomusten esittäjien vakava huolenaihe myös vuonna 2023 ja että vetoomuksista yli 21 prosenttia koski ympäristökysymyksiä; pitää valitettavana, että näistä vetoomuksista joidenkin mukaan jäsenvaltiot ovat panneet EU:n lainsäädäntöä täytäntöön virheellisesti, ja toteaa, että joitakin jäsenvaltioita vastaan on jo käynnistetty rikkomusmenettelyjä EU:n ympäristölainsäädännön rikkomisesta; panee merkille, että lukuisissa vetoomuksissa ilmaistaan tyytymättömyyttä ilmanlaatuun, melusaasteeseen, jätehuoltoon ja/tai jätteen käsittelyyn, luonnon ekosysteemien tilan heikkenemiseen ja luontotyyppidirektiivin rikkomiseen eri jäsenvaltioissa; korostaa, että 24. toukokuuta 2023 järjestettiin julkinen kuuleminen luontotyyppidirektiivin täytäntöönpanon tilasta; panee merkille, että vetoomusvaliokunta jatkoi vuonna 2023 työtä, joka koski ilmastonmuutoksen vaikutuksia eri aloilla, paitsi ympäristöalalla myös maankäytössä, ja otti esityslistalle useita näistä aiheista vastaanotettuja vetoomuksia; viittaa 22. maaliskuuta 2023 järjestettyyn seminaariin, joka käsitteli ilmastonmuutoksen vaikutuksia sosiaaliturvaan ja heikoimmassa asemassa oleviin ryhmiin, sekä ilmastonmuutoksesta johtuvien katastrofien uhreille maksettavia korvauksia koskevan tutkimuksen esittelyyn 18. heinäkuuta 2023;</w:t>
      </w:r>
    </w:p>
    <w:p w:rsidR="00C15A23" w:rsidRPr="006F7E1E" w:rsidRDefault="00C860B3" w:rsidP="00AA5641">
      <w:pPr>
        <w:pStyle w:val="NormalHanging12a"/>
        <w:widowControl/>
      </w:pPr>
      <w:r w:rsidRPr="006F7E1E">
        <w:t>27</w:t>
      </w:r>
      <w:r w:rsidR="00C15A23" w:rsidRPr="006F7E1E">
        <w:t>.</w:t>
      </w:r>
      <w:r w:rsidR="00C15A23" w:rsidRPr="006F7E1E">
        <w:tab/>
        <w:t>kiinnittää huomiota vetoomusvaliokunnan 25. tammikuuta 2023 järjestämään lääkkeiden hinnoittelun ja korvaamisen avoimuutta käsittelevään seminaariin, jossa keskusteltiin avoimuudesta potilaiden ja kuluttajien, lääkkeiden valmistajien ja akateemisen tutkimuksen näkökulmasta; panee merkille, että keskusteluissa keskityttiin yritysten tutkimus- ja kehityskustannuksiin ja saatavilla oleviin tietoihin lääkkeistä maksetuista hinnoista sekä korostettiin avoimuuden merkitystä näissä kysymyksissä;</w:t>
      </w:r>
    </w:p>
    <w:p w:rsidR="00C15A23" w:rsidRPr="006F7E1E" w:rsidRDefault="00C860B3" w:rsidP="00AA5641">
      <w:pPr>
        <w:pStyle w:val="NormalHanging12a"/>
        <w:widowControl/>
      </w:pPr>
      <w:r w:rsidRPr="006F7E1E">
        <w:t>28</w:t>
      </w:r>
      <w:r w:rsidR="00C15A23" w:rsidRPr="006F7E1E">
        <w:t>.</w:t>
      </w:r>
      <w:r w:rsidR="00C15A23" w:rsidRPr="006F7E1E">
        <w:tab/>
        <w:t>korostaa, että on tärkeää täyttää EU:n kansalaisten ympäristönsuojelua koskevat odotukset, ja kehottaa komissiota yhdessä jäsenvaltioiden kanssa varmistamaan EU:n ympäristölainsäädännön asianmukaisen täytäntöönpanon, etenkin laittomien hakkuiden kannalta; viittaa ympäristöasioita koskeviin vetoomuksiin, jotka ilmentävät kansalaisten kasvavaa huolta ilmastonmuutoksen vaikutuksista, johon vastaamiseksi sekä komission että jäsenvaltioiden on pantava EU:n nykyinen ympäristölainsäädäntö johdonmukaisesti täytäntöön;</w:t>
      </w:r>
      <w:r w:rsidR="00E85F72" w:rsidRPr="006F7E1E">
        <w:t xml:space="preserve"> painottaa, että EU:n kansalaisten ympäristönsuojelua koskeviin odotuksiin vastaamista olisi pidettävä yhtä tärkeänä kuin kunkin jäsenvaltion taloudellisten realiteettien huomioon ottamista; painottaa, että liiallisella sääntelyllä on kielteinen vaikutus kehittyviin talouksiin; tähdentää siksi, että kunkin jäsenvaltion olisi voitava tehdä omaa siirtymäprosessiaan koskevat päätökset eikä ympäristölainsäädäntö saisi haitata taloudellista kilpailukykyä;</w:t>
      </w:r>
    </w:p>
    <w:p w:rsidR="0095368A" w:rsidRPr="006F7E1E" w:rsidRDefault="00C860B3" w:rsidP="00C860B3">
      <w:pPr>
        <w:pStyle w:val="NormalHanging12a"/>
        <w:widowControl/>
      </w:pPr>
      <w:r w:rsidRPr="006F7E1E">
        <w:t>29</w:t>
      </w:r>
      <w:r w:rsidR="00C15A23" w:rsidRPr="006F7E1E">
        <w:t>.</w:t>
      </w:r>
      <w:r w:rsidR="00C15A23" w:rsidRPr="006F7E1E">
        <w:tab/>
        <w:t>panee merkille Romaniaan 15.–18. toukokuuta 2023 tehdyn ruskeakarhukannan hoitoa ja suojelua koskeneen tiedonhankintamatkan myönteiset vaikutukset; pitää kuitenkin valitettavana, että ruskeakarhujen aiheuttamia ihmisten ja karjan kuolemaan johtaneita onnettomuuksia on edelleen liian paljon, minkä vuoksi tarvitaan lisäseurantaa ja yhteistyötä kansallisten viranomaisten kanssa;</w:t>
      </w:r>
      <w:r w:rsidR="00FD00FD" w:rsidRPr="006F7E1E">
        <w:t xml:space="preserve"> korostaa, että ihmishenkien suojelun ja turvallisuuden olisi aina oltava etusijalla;</w:t>
      </w:r>
    </w:p>
    <w:p w:rsidR="00C15A23" w:rsidRPr="006F7E1E" w:rsidRDefault="00C860B3" w:rsidP="00AA5641">
      <w:pPr>
        <w:pStyle w:val="NormalHanging12a"/>
        <w:widowControl/>
      </w:pPr>
      <w:r w:rsidRPr="006F7E1E">
        <w:t>30</w:t>
      </w:r>
      <w:r w:rsidR="00C15A23" w:rsidRPr="006F7E1E">
        <w:t>.</w:t>
      </w:r>
      <w:r w:rsidR="00C15A23" w:rsidRPr="006F7E1E">
        <w:tab/>
        <w:t xml:space="preserve">korostaa Romaniaan tehdyn tiedonhankintamatkan havaintojen tuloksena, että luonnonvaraisten eläinten suojelun ja kansalaisten turvallisuuden välille on löydettävä tasapaino; korostaa, että kunkin jäsenvaltion olisi voitava toteuttaa toimenpiteitä, </w:t>
      </w:r>
      <w:r w:rsidR="00C15A23" w:rsidRPr="006F7E1E">
        <w:lastRenderedPageBreak/>
        <w:t>mukaan lukien lajikantojen hallinta, jotta voidaan ehkäistä kansalaisten henkeen ja omaisuuteen kohdistuvat uhkia;</w:t>
      </w:r>
    </w:p>
    <w:p w:rsidR="00C860B3" w:rsidRPr="006F7E1E" w:rsidRDefault="00C860B3" w:rsidP="00AA5641">
      <w:pPr>
        <w:pStyle w:val="NormalHanging12a"/>
        <w:widowControl/>
      </w:pPr>
      <w:r w:rsidRPr="006F7E1E">
        <w:t>31</w:t>
      </w:r>
      <w:r w:rsidR="00C15A23" w:rsidRPr="006F7E1E">
        <w:t>.</w:t>
      </w:r>
      <w:r w:rsidR="00C15A23" w:rsidRPr="006F7E1E">
        <w:tab/>
        <w:t>korostaa vetoomusvaliokunnan sitoutumista vammaisten henkilöiden oikeuksien suojeluun; palauttaa mieliin vetoomusvaliokunnan vuosittain järjestämän vammaisten henkilöiden oikeuksia koskevan seminaarin, joka pidettiin 29. marraskuuta 2023; muistuttaa, että seminaarin ensimmäisessä osassa keskityttiin siihen, miten vammaiset henkilöt selvisivät viimeaikaisista kriiseistä (energiakustannukset, sota, korkea inflaatio) ja miten EU:n toimenpiteet auttoivat voittamaan nämä esteet, ja toisessa osassa käsiteltiin sitä, miten EU:n toimielimet ovat kehittäneet osallistavaa viestintää vammaisten kansalaisten kanssa; korostaa tässä yhteydessä myös, että valiokunta hyväksyi 29. marraskuuta 2023 kirjeen muodossa annetun lausunnon eurooppalaisen vammaiskortin ja eurooppalaisen vammaisten henkilöiden pysäköintiluvan vahvistamisesta</w:t>
      </w:r>
      <w:r w:rsidR="0095368A" w:rsidRPr="006F7E1E">
        <w:t xml:space="preserve">; korostaa, että vammaisten henkilöiden mahdollisuus saada sosiaaliturvaetuuksia kuuluu kansalliseen toimivaltaan ja sosiaalisen koordinoinnin järjestelmiin ja että riitoja olisi käsiteltävä myös olemassa olevien oikeudellisten mekanismien kautta, joiden toimivaltaa olisi kunnioitettava, säätämällä toissijaisuusperiaatteen mukaisesti velvoitteesta käyttää kaikkia oikeussuojakeinoja komission suorien toimivaltuuksien sijaan; </w:t>
      </w:r>
      <w:r w:rsidR="00C15A23" w:rsidRPr="006F7E1E">
        <w:t>korostaa tässä yhteydessä myös, että esteettömyyttä koskeva eurooppalainen säädös on ehdottomasti saatettava täysimääräisesti ja johdonmukaisesti osaksi kansallista lainsäädäntöä, ja kehottaa jäsenvaltioita välttämään lisäviivästyksiä, jotka haittaavat vammaisten henkilöiden oikeuksien toteutumista; muistuttaa, että esteettömyyttä koskevalla eurooppalaisella säädöksellä pyritään parantamaan vähintään 87 miljoonan vammaisen henkilön elämää ja helpottamaan heidän mahdollisuuksiaan käyttää muun muassa julkista liikennettä, pankkipalveluja, tietokoneita, televisioita, sähkökirjoja ja verkkokauppoja;</w:t>
      </w:r>
    </w:p>
    <w:p w:rsidR="00C15A23" w:rsidRPr="006F7E1E" w:rsidRDefault="00C860B3" w:rsidP="00AA5641">
      <w:pPr>
        <w:pStyle w:val="NormalHanging12a"/>
        <w:widowControl/>
      </w:pPr>
      <w:r w:rsidRPr="006F7E1E">
        <w:t>32</w:t>
      </w:r>
      <w:r w:rsidR="00C15A23" w:rsidRPr="006F7E1E">
        <w:t>.</w:t>
      </w:r>
      <w:r w:rsidR="00C15A23" w:rsidRPr="006F7E1E">
        <w:tab/>
        <w:t xml:space="preserve">korostaa, että vetoomusvaliokunta osallistuu merkittävällä tavalla vammaisten henkilöiden oikeuksien suojeluun ja on käsitellyt lukuisia tätä herkkää aihetta koskevia vetoomuksia; panee tässä yhteydessä merkille parlamentin yksiköiden tällä alalla toteuttamat toimet ja toteaa, että kuuroille kansalaisille on löydettävä paras ratkaisu paitsi tekniseltä myös saavutettavuuden kannalta, jotta he voivat kommunikoida parlamentin kanssa omalla äidinkielellään ja kansallisilla viittomakielillä; pyytää muuttamaan työjärjestystä tiiviissä yhteistyössä perussopimus-, työjärjestys- ja toimielinasioiden valiokunnan (AFCO) kanssa, jotta päästään eroon </w:t>
      </w:r>
      <w:r w:rsidR="0095368A" w:rsidRPr="006F7E1E">
        <w:t>pakollisesta yksinomaan kirjallisesta viestimisestä niiden viittomakieltä käyttävien, kuurojen tai huonokuuloisten kansalaisten kanssa, jotta he voivat pyynnöstään käyttää menettelyn aikana viittomakieltä</w:t>
      </w:r>
      <w:r w:rsidR="00C15A23" w:rsidRPr="006F7E1E">
        <w:t>; korostaa tässä yhteydessä myös, että valiokunta hyväksyi 29. marraskuuta 2023 kirjeen muodossa annetun lausunnon eurooppalaisen vammaiskortin ja eurooppalaisen vammaisten henkilöiden pysäköintiluvan vahvistamisesta;</w:t>
      </w:r>
    </w:p>
    <w:p w:rsidR="00C15A23" w:rsidRPr="006F7E1E" w:rsidRDefault="00C860B3" w:rsidP="00AA5641">
      <w:pPr>
        <w:pStyle w:val="NormalHanging12a"/>
        <w:widowControl/>
      </w:pPr>
      <w:r w:rsidRPr="006F7E1E">
        <w:t>33</w:t>
      </w:r>
      <w:r w:rsidR="00C15A23" w:rsidRPr="006F7E1E">
        <w:t>.</w:t>
      </w:r>
      <w:r w:rsidR="00C15A23" w:rsidRPr="006F7E1E">
        <w:tab/>
        <w:t xml:space="preserve">korostaa lisäksi vetoomusvaliokunnan erityistä roolia EU:ssa vammaisten henkilöiden oikeuksia koskevan YK:n yleissopimuksen vaalijana, koska sillä on valmiudet käsitellä vetoomuksia, ja nostaa esille valiokunnan merkittävän työn vammaisasioita koskevien vetoomusten yhteydessä; panee merkille, että vaikka vammaisasioita koskevien vetoomusten määrä väheni hieman vuonna 2023 verrattuna vuoteen 2022, määrä oli lähes kaksinkertainen vuoteen 2021 verrattuna; toteaa myös, että syrjintä ja mahdollisuus julkisen liikenteen käyttöön ja työhön ovat edelleen vammaisten henkilöiden suurimpia haasteita, ja nostaa esille, kuinka valiokunta kiinnitti erityistä huomiota pyyntöön laatia vammaisasemaa koskevat eurooppalaiset säännöt autististen henkilöiden oikeuksien huomioon ottamiseksi; suhtautuu myönteisesti autististen </w:t>
      </w:r>
      <w:r w:rsidR="00C15A23" w:rsidRPr="006F7E1E">
        <w:lastRenderedPageBreak/>
        <w:t>ihmisten oikeuksien yhdenmukaistamisesta annettuun lyhyeen päätöslauselmaesitykseen, jossa korostetaan tarvetta parantaa diagnoosin saatavuutta, terveydenhuoltoa, koulutusta, työllisyyttä, esteettömyyttä ja kohtuullisten järjestelyjen tarjoamista, oikeustoimikelpoisuutta sekä elinikäistä yhteisön tukea myös kulttuurielämässä ja urheilussa; kehottaa lisäksi kiinnittämään huomiota vetoomusvaliokunnan erityiseen rooliin lasten ja heidän vanhempiensa oikeuksien turvaamisessa ja panee merkille lukuisat lasten oikeuksia koskevat vetoomukset, jotka edellyttävät erityistä huomiota ja toimia; muistuttaa tässä yhteydessä EU:n perusoikeuskirjan määräyksistä ja erityisesti sen 24 artiklasta, joka koskee lapsen oikeuksia ja jonka mukaan lapsella on oikeus ylläpitää henkilökohtaisia suhteita ja suoria yhteyksiä kumpaankin vanhempaansa, jollei se ole lapsen edun vastaista; muistuttaa myös vaarasta, että perheille, joissa on autistisia lapsia, tarjotaan hoitoja ja toimenpiteitä, joiden vaikuttavuutta ei ole osoitettu ja jotka saattavat olla haitallisia ja laittomia ja joita voidaan mahdollisesti pitää lapsiin kohdistuvana vakavana fyysisenä väkivaltana;</w:t>
      </w:r>
    </w:p>
    <w:p w:rsidR="00C15A23" w:rsidRPr="006F7E1E" w:rsidRDefault="00C860B3" w:rsidP="00AA5641">
      <w:pPr>
        <w:pStyle w:val="NormalHanging12a"/>
        <w:widowControl/>
        <w:rPr>
          <w:rFonts w:eastAsia="Calibri"/>
        </w:rPr>
      </w:pPr>
      <w:r w:rsidRPr="006F7E1E">
        <w:t>34</w:t>
      </w:r>
      <w:r w:rsidR="00C15A23" w:rsidRPr="006F7E1E">
        <w:t>.</w:t>
      </w:r>
      <w:r w:rsidR="00C15A23" w:rsidRPr="006F7E1E">
        <w:tab/>
        <w:t>muistuttaa, että suhteet Euroopan oikeusasiamieheen kuuluvat parlamentin työjärjestyksessä vetoomusvaliokunnalle osoitettuihin tehtäviin; suhtautuu myönteisesti parlamentin rakentavaan yhteistyöhön Euroopan oikeusasiamiehen kanssa ja toteaa, että vetoomusvaliokunnan ja Euroopan oikeusasiamiehen yhteisinä tavoitteina on varmistaa EU:n toimielinten avoimuus, ammattimaisuus ja lahjomattomuus suhteessa EU:n kansalaisiin ja että molemmat osallistuvat Euroopan oikeusasiamiesten verkostoon;</w:t>
      </w:r>
      <w:r w:rsidR="0095368A" w:rsidRPr="006F7E1E">
        <w:t xml:space="preserve"> korostaa tarvetta tehostaa yhteistyötä Euroopan oikeusasiamiehen kanssa, jotta voidaan varmistaa nopea, puolueeton ja avoin vastaus kansalaisten valituksiin, jotka koskevat hallinnollisia epäkohtia EU:n toimielimissä;</w:t>
      </w:r>
    </w:p>
    <w:p w:rsidR="00C15A23" w:rsidRPr="006F7E1E" w:rsidRDefault="00C860B3" w:rsidP="00AA5641">
      <w:pPr>
        <w:pStyle w:val="NormalHanging12a"/>
        <w:widowControl/>
      </w:pPr>
      <w:r w:rsidRPr="006F7E1E">
        <w:t>35</w:t>
      </w:r>
      <w:r w:rsidR="00C15A23" w:rsidRPr="006F7E1E">
        <w:t>.</w:t>
      </w:r>
      <w:r w:rsidR="00C15A23" w:rsidRPr="006F7E1E">
        <w:tab/>
        <w:t>korostaa vetoomusvaliokunnan keskeistä työtä työntekijöiden oikeuksien suojelemiseksi; korostaa, että useiden tällä alalla vastaanotettujen vetoomusten johdosta toteutettiin lisätoimia, kuten keskustelut määräaikaisten työsopimusten käytöstä ja eurooppalaisen kansalaisaloitteen ”</w:t>
      </w:r>
      <w:proofErr w:type="spellStart"/>
      <w:r w:rsidR="00C15A23" w:rsidRPr="006F7E1E">
        <w:t>Good</w:t>
      </w:r>
      <w:proofErr w:type="spellEnd"/>
      <w:r w:rsidR="00C15A23" w:rsidRPr="006F7E1E">
        <w:t xml:space="preserve"> </w:t>
      </w:r>
      <w:proofErr w:type="spellStart"/>
      <w:r w:rsidR="00C15A23" w:rsidRPr="006F7E1E">
        <w:t>Clothes</w:t>
      </w:r>
      <w:proofErr w:type="spellEnd"/>
      <w:r w:rsidR="00C15A23" w:rsidRPr="006F7E1E">
        <w:t xml:space="preserve">, </w:t>
      </w:r>
      <w:proofErr w:type="spellStart"/>
      <w:r w:rsidR="00C15A23" w:rsidRPr="006F7E1E">
        <w:t>Fair</w:t>
      </w:r>
      <w:proofErr w:type="spellEnd"/>
      <w:r w:rsidR="00C15A23" w:rsidRPr="006F7E1E">
        <w:t xml:space="preserve"> </w:t>
      </w:r>
      <w:proofErr w:type="spellStart"/>
      <w:r w:rsidR="00C15A23" w:rsidRPr="006F7E1E">
        <w:t>Pay</w:t>
      </w:r>
      <w:proofErr w:type="spellEnd"/>
      <w:r w:rsidR="00C15A23" w:rsidRPr="006F7E1E">
        <w:t>” (Hyviä vaatteita, reilu palkka) perusteella esitetystä vetoomuksesta, jossa keskityttiin maailmanlaajuisen vaatetus- ja jalkineteollisuuden työntekijöiden valitettavaan tilanteeseen, sekä parlamentin suullisesti vastattava kysymys opettajien työoloista Euroopan unionissa, jonka perustana oli myös aihetta koskeva vetoomus; muistuttaa, että on tärkeää varmistaa oikeudenmukaiset työolot ja työntekijöiden parempi suojelu EU:ssa, ja kehottaa jäsenvaltioita ja komissiota puuttumaan tehokkaasti työntekijöiden oikeuksia ja ammattiliittoja koskevissa vetoomuksissa esiin tuotuihin huolenaiheisiin; </w:t>
      </w:r>
    </w:p>
    <w:p w:rsidR="00C15A23" w:rsidRPr="006F7E1E" w:rsidRDefault="00C860B3" w:rsidP="00AA5641">
      <w:pPr>
        <w:pStyle w:val="NormalHanging12a"/>
        <w:widowControl/>
      </w:pPr>
      <w:r w:rsidRPr="006F7E1E">
        <w:t>36</w:t>
      </w:r>
      <w:r w:rsidR="00C15A23" w:rsidRPr="006F7E1E">
        <w:t>.</w:t>
      </w:r>
      <w:r w:rsidR="00C15A23" w:rsidRPr="006F7E1E">
        <w:tab/>
        <w:t>palauttaa mieliin Euroopan parlamentin tutkimuksen asunnottomuudesta EU:ssa, jonka vetoomusvaliokunta oli tilannut ja joka esiteltiin sen kokouksessa marraskuussa 2023; toteaa, että tutkimus antoi merkittävää tietoa tästä polttavasta sosiaalisesta ja taloudellisesta haasteesta, joka on yksi yhteiskunnasta syrjäytymisen vakavimmista muodoista, ja korostaa tarvetta muuttaa julkista politiikkaa asunnottomuuden ehkäisemiseksi, muun muassa tarjoamalla turvattuja ja kohtuuhintaisia asumismahdollisuuksia;</w:t>
      </w:r>
      <w:r w:rsidR="0095368A" w:rsidRPr="006F7E1E">
        <w:t xml:space="preserve"> muistuttaa, että EU:n perusoikeuskirjan 17 artiklassa vahvistetaan omistusoikeus, joten laitonta asunnonvaltaamista ei voida pitää ratkaisuna asunnottomuuteen; korostaa, että laittoman asunnonvaltauksen edistämisen sijaan jäsenvaltioiden olisi pyrittävä löytämään todellisia ratkaisuja, sillä asuntopolitiikka kuuluu jäsenvaltioiden yksinomaiseen toimivaltaan;</w:t>
      </w:r>
    </w:p>
    <w:p w:rsidR="00C15A23" w:rsidRPr="006F7E1E" w:rsidRDefault="00C860B3" w:rsidP="00AA5641">
      <w:pPr>
        <w:pStyle w:val="NormalHanging12a"/>
        <w:widowControl/>
        <w:rPr>
          <w:rFonts w:eastAsia="Calibri"/>
        </w:rPr>
      </w:pPr>
      <w:r w:rsidRPr="006F7E1E">
        <w:t>37</w:t>
      </w:r>
      <w:r w:rsidR="00C15A23" w:rsidRPr="006F7E1E">
        <w:t>.</w:t>
      </w:r>
      <w:r w:rsidR="00C15A23" w:rsidRPr="006F7E1E">
        <w:tab/>
        <w:t xml:space="preserve">panee merkille Euroopan oikeusasiamiehen säännöllisen panoksen vetoomusvaliokunnan työhön vuoden aikana; uskoo vakaasti, että EU:n toimielinten, </w:t>
      </w:r>
      <w:r w:rsidR="00C15A23" w:rsidRPr="006F7E1E">
        <w:lastRenderedPageBreak/>
        <w:t>elinten ja virastojen on varmistettava Euroopan oikeusasiamiehen suositusten asianmukaiset, johdonmukaiset ja tehokkaat jatkotoimet;</w:t>
      </w:r>
    </w:p>
    <w:p w:rsidR="00C15A23" w:rsidRPr="006F7E1E" w:rsidRDefault="00C860B3" w:rsidP="00AA5641">
      <w:pPr>
        <w:pStyle w:val="NormalHanging12a"/>
        <w:widowControl/>
      </w:pPr>
      <w:r w:rsidRPr="006F7E1E">
        <w:t>38</w:t>
      </w:r>
      <w:r w:rsidR="00C15A23" w:rsidRPr="006F7E1E">
        <w:t>.</w:t>
      </w:r>
      <w:r w:rsidR="00C15A23" w:rsidRPr="006F7E1E">
        <w:tab/>
        <w:t>korostaa, että eurooppalaiset kansalaisaloitteet ovat tärkeä aktiivisen kansalaisuuden ja kansalaisten osallistumisen väline; on tyytyväinen siihen, että joissakin kokouksissa on käsitelty epäonnistuneita eurooppalaisia kansalaisaloitteita, jotka toisinaan muotoillaan uudelleen vetoomuksiksi, ja että siten on annettu kansalaisille mahdollisuus esittää ideoitaan ja käydä rakentavaa keskustelua samalla kun edistetään heidän osallistumistaan EU:n demokraattisiin prosesseihin; panee merkille, että komissio rekisteröi vuonna 2023 huomattavan määrän uusia eurooppalaisia kansalaisaloitteita, mikä osoittaa, että kansalaiset käyttävät hyväkseen mahdollisuutta hyödyntää osallistavia välineitä ja vaikuttaa sitä kautta päätöksentekoon ja lainsäädäntöprosesseihin; kehottaa komissiota parantamaan vuorovaikutusta kansalaisten kanssa ja toteuttamaan asianmukaisia jatkotoimia vaaditun allekirjoittajamäärän saaneiden eurooppalaisten kansalaisaloitteiden johdosta; suhtautuu myönteisesti toteutettuihin merkittäviin ponnisteluihin järjestää yhdessä muiden valiokuntien kanssa neljä julkista kuulemista vaaditun allekirjoittajamäärän saaneista eurooppalaisista kansalaisaloitteista, joiden järjestäjät saivat näin mahdollisuuden esitellä aloitteen tavoitteita ja tehdä yhteistyötä Euroopan parlamentin jäsenten ja komission edustajien kanssa; korostaa, että komission sitoumus vastata päteviin eurooppalaisiin kansalaisaloitteisiin on keskeisen tärkeää, jotta vaalitaan kansalaisten luottamusta eurooppalaiseen kansalaisaloitteeseen merkittävimpänä osallistavan demokratian välineenä;</w:t>
      </w:r>
    </w:p>
    <w:p w:rsidR="00C15A23" w:rsidRPr="006F7E1E" w:rsidRDefault="00C860B3" w:rsidP="00AA5641">
      <w:pPr>
        <w:pStyle w:val="NormalHanging12a"/>
        <w:widowControl/>
      </w:pPr>
      <w:r w:rsidRPr="006F7E1E">
        <w:t>39</w:t>
      </w:r>
      <w:r w:rsidR="00C15A23" w:rsidRPr="006F7E1E">
        <w:t>.</w:t>
      </w:r>
      <w:r w:rsidR="00C15A23" w:rsidRPr="006F7E1E">
        <w:tab/>
        <w:t>kehottaa komissiota ottamaan asianmukaisesti huomioon eurooppalaisista kansalaisaloitteista annetut parlamentin päätöslauselmat ja tehostamaan yhteistyötään kansalaisten kanssa erityisesti varmistamalla vaaditun allekirjoittajamäärän saaneiden eurooppalaisten kansalaisaloitteiden asianmukaisen ja tehokkaan seurannan, jotta vahvistetaan demokraattista prosessia ja varmistetaan, että kansalaisten ääni otetaan asianmukaisesti huomioon EU:n päätöksenteossa;</w:t>
      </w:r>
    </w:p>
    <w:p w:rsidR="00C15A23" w:rsidRPr="006F7E1E" w:rsidRDefault="00C860B3" w:rsidP="00AA5641">
      <w:pPr>
        <w:pStyle w:val="NormalHanging12a"/>
        <w:widowControl/>
        <w:rPr>
          <w:rFonts w:eastAsia="Calibri"/>
        </w:rPr>
      </w:pPr>
      <w:r w:rsidRPr="006F7E1E">
        <w:t>40</w:t>
      </w:r>
      <w:r w:rsidR="00C15A23" w:rsidRPr="006F7E1E">
        <w:t>.</w:t>
      </w:r>
      <w:r w:rsidR="00C15A23" w:rsidRPr="006F7E1E">
        <w:tab/>
        <w:t>korostaa, että vetoomusportaali on keskeinen väline sujuvan, tehokkaan ja avoimen vetoomusmenettelyn varmistamiseksi; suhtautuu tässä yhteydessä myönteisesti tietosuojan ja tietoturvaominaisuuksien parannuksiin, joiden ansiosta portaali on kansalaisille käyttäjäystävällisempi ja turvallisempi; korostaa, että on jatkettava pyrkimyksiä tehdä portaalista helppokäyttöisempi, myös viittomakielisille käyttäjille ja vammaisille henkilöille; panee merkille, että vetoomusportaali on ollut yksi Euroopan parlamentin suosituimmista verkkosivustoista ja että se on siten monille EU:n kansalaisille ensimmäinen yhteyspiste Euroopan parlamenttiin;</w:t>
      </w:r>
    </w:p>
    <w:p w:rsidR="00C15A23" w:rsidRPr="006F7E1E" w:rsidRDefault="00C860B3" w:rsidP="00AA5641">
      <w:pPr>
        <w:pStyle w:val="NormalHanging12a"/>
        <w:widowControl/>
      </w:pPr>
      <w:r w:rsidRPr="006F7E1E">
        <w:t>41</w:t>
      </w:r>
      <w:r w:rsidR="00C15A23" w:rsidRPr="006F7E1E">
        <w:t>.</w:t>
      </w:r>
      <w:r w:rsidR="00C15A23" w:rsidRPr="006F7E1E">
        <w:tab/>
        <w:t xml:space="preserve">muistuttaa vetoomusvaliokunnan eurooppalaisesta ulottuvuudesta ja siitä, että kaikkien 27 jäsenvaltion kansalaiset voivat lähestyä sitä unionin toiminnan alaan kuuluvissa kysymyksissä; katsoo, että valiokunnalla on erityinen vastuu tämän eurooppalaisen ulottuvuuden vaalimisesta ja Euroopan yhtenäisyyden ja yhdentymisen kansalaisille tuoman lisäarvon osoittamisesta ja että sen on jatkettava EU:n lainsäädännön rikkomiseen sekä nykyisen EU:n lainsäädännön porsaanreikiin ja puutteisiin liittyvien kysymysten käsittelyä; katsoo, että välttämällä oikea-aikaisesti sellaisten vetoomusten käsittelyä, jotka kuuluvat selkeästi kansallisen toimivallan piiriin, ja antamalla tarvittaessa kattavia selityksiä ja ohjeita vaihtoehtoisista toimintatavoista voitaisiin edistää rakentavaa toimintamallia ja lisätä kansalaisten osallistumista; katsoo tässä yhteydessä, että Euroopan parlamentin olisi lisättävä toimiaan vetoomusvaliokuntansa roolin ja työn edistämiseksi ja tiedotettava kaikille EU:n kansalaisille mahdollisuudesta </w:t>
      </w:r>
      <w:r w:rsidR="00C15A23" w:rsidRPr="006F7E1E">
        <w:lastRenderedPageBreak/>
        <w:t>esittää vetoomus Euroopan parlamentille; muistuttaa, että koska valiokuntien kokouksiin on varattu vain vähän aikaa, suurin osa vetoomuksista käsitellään kirjallisessa menettelyssä; muistuttaa tässä yhteydessä, että kaikki vastaanotetut vetoomukset, myös kansainvälisiin asioihin liittyvät vetoomukset, olisi käsiteltävä riittävän avoimesti ja puolueettomasti; katsoo, että valiokunnassa käsiteltävien vetoomusten valinnassa olisi otettava huomioon vastaanotettujen vetoomusten maantieteellinen ja poliittinen tasapaino; katsoo lisäksi, että maantieteelliseen tasapainoon olisi pyrittävä myös valiokunnan tiedonhankintamatkojen järjestämisessä sekä vuositasolla että kunkin vaalikauden aikana;</w:t>
      </w:r>
    </w:p>
    <w:p w:rsidR="00C15A23" w:rsidRPr="006F7E1E" w:rsidRDefault="00C860B3" w:rsidP="00AA5641">
      <w:pPr>
        <w:pStyle w:val="NormalHanging12a"/>
        <w:widowControl/>
      </w:pPr>
      <w:r w:rsidRPr="006F7E1E">
        <w:t>42</w:t>
      </w:r>
      <w:r w:rsidR="00C15A23" w:rsidRPr="006F7E1E">
        <w:t>.</w:t>
      </w:r>
      <w:r w:rsidR="00C15A23" w:rsidRPr="006F7E1E">
        <w:tab/>
        <w:t>suhtautuu myönteisesti tammikuun 2023 täysistunnossa hyväksyttyyn lyhyeen päätöslauselmaesitykseen Euroopan paikallisen kaupan pääkaupungin perustamisesta</w:t>
      </w:r>
      <w:r w:rsidR="00C15A23" w:rsidRPr="006F7E1E">
        <w:rPr>
          <w:rStyle w:val="FootnoteReference"/>
        </w:rPr>
        <w:footnoteReference w:id="7"/>
      </w:r>
      <w:r w:rsidR="00C15A23" w:rsidRPr="006F7E1E">
        <w:t>; korostaa, että tämä saavutus on vetoomusvaliokunnalle erinomainen tulos, ja toteaa, että tämä hanke on onnistuneesti sisällytetty vuoden 2024 talousarvioon valmistelutoimena, jonka kokonaisbudjetti on kolme miljoonaa euroa; muistuttaa, että komissio esitteli virallisesti Barcelonassa joulukuussa 2023 hankkeen Euroopan pienten vähittäiskauppojen pääkaupungin perustamisesta;</w:t>
      </w:r>
    </w:p>
    <w:p w:rsidR="0084330C" w:rsidRPr="006F7E1E" w:rsidRDefault="00C860B3" w:rsidP="00AA5641">
      <w:pPr>
        <w:pStyle w:val="NormalHanging12a"/>
        <w:widowControl/>
      </w:pPr>
      <w:r w:rsidRPr="006F7E1E">
        <w:t>43</w:t>
      </w:r>
      <w:r w:rsidR="00C15A23" w:rsidRPr="006F7E1E">
        <w:t>.</w:t>
      </w:r>
      <w:r w:rsidR="00C15A23" w:rsidRPr="006F7E1E">
        <w:tab/>
        <w:t>kehottaa puhemiestä välittämään tämän päätöslauselman ja vetoomusvaliokunnan mietinnön neuvostolle, komissiolle, Euroopan oikeusasiamiehelle, jäsenvaltioiden hallituksille ja parlamenteille sekä jäsenvaltioiden vetoomusvaliokunnille ja kansallisille oikeusasiamiehille tai vastaaville toimivaltaisille elimille.</w:t>
      </w:r>
    </w:p>
    <w:sectPr w:rsidR="0084330C" w:rsidRPr="006F7E1E" w:rsidSect="0084330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5C7" w:rsidRPr="0084330C" w:rsidRDefault="00CF25C7">
      <w:r w:rsidRPr="0084330C">
        <w:separator/>
      </w:r>
    </w:p>
  </w:endnote>
  <w:endnote w:type="continuationSeparator" w:id="0">
    <w:p w:rsidR="00CF25C7" w:rsidRPr="0084330C" w:rsidRDefault="00CF25C7">
      <w:r w:rsidRPr="008433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5C7" w:rsidRPr="0084330C" w:rsidRDefault="00CF25C7">
      <w:r w:rsidRPr="0084330C">
        <w:separator/>
      </w:r>
    </w:p>
  </w:footnote>
  <w:footnote w:type="continuationSeparator" w:id="0">
    <w:p w:rsidR="00CF25C7" w:rsidRPr="0084330C" w:rsidRDefault="00CF25C7">
      <w:r w:rsidRPr="0084330C">
        <w:continuationSeparator/>
      </w:r>
    </w:p>
  </w:footnote>
  <w:footnote w:id="1">
    <w:p w:rsidR="00E828BD" w:rsidRPr="00D00D5E" w:rsidRDefault="00E828BD" w:rsidP="00D00D5E">
      <w:pPr>
        <w:pStyle w:val="FootnoteText"/>
        <w:ind w:left="567" w:hanging="567"/>
        <w:rPr>
          <w:sz w:val="24"/>
          <w:szCs w:val="24"/>
          <w:lang w:val="fi-FI"/>
        </w:rPr>
      </w:pPr>
      <w:r w:rsidRPr="00C860B3">
        <w:rPr>
          <w:rStyle w:val="FootnoteReference"/>
          <w:sz w:val="24"/>
          <w:szCs w:val="24"/>
        </w:rPr>
        <w:footnoteRef/>
      </w:r>
      <w:r w:rsidRPr="00D00D5E">
        <w:rPr>
          <w:sz w:val="24"/>
          <w:szCs w:val="24"/>
          <w:lang w:val="fi-FI"/>
        </w:rPr>
        <w:t xml:space="preserve"> </w:t>
      </w:r>
      <w:r w:rsidRPr="00C860B3">
        <w:rPr>
          <w:sz w:val="24"/>
          <w:szCs w:val="24"/>
          <w:lang w:val="fi-FI"/>
        </w:rPr>
        <w:tab/>
      </w:r>
      <w:r w:rsidRPr="00D00D5E">
        <w:rPr>
          <w:sz w:val="24"/>
          <w:szCs w:val="24"/>
          <w:lang w:val="fi-FI"/>
        </w:rPr>
        <w:t xml:space="preserve">EUVL C, C/2024/3999, 17.7.2024, ELI: </w:t>
      </w:r>
      <w:hyperlink r:id="rId1" w:history="1">
        <w:r w:rsidRPr="00D00D5E">
          <w:rPr>
            <w:rStyle w:val="Hyperlink"/>
            <w:sz w:val="24"/>
            <w:szCs w:val="24"/>
            <w:lang w:val="fi-FI"/>
          </w:rPr>
          <w:t>http://data.europa.eu/eli/C/2024/3999/oj</w:t>
        </w:r>
      </w:hyperlink>
      <w:r w:rsidRPr="00D00D5E">
        <w:rPr>
          <w:sz w:val="24"/>
          <w:szCs w:val="24"/>
          <w:lang w:val="fi-FI"/>
        </w:rPr>
        <w:t>.</w:t>
      </w:r>
    </w:p>
  </w:footnote>
  <w:footnote w:id="2">
    <w:p w:rsidR="00A25234" w:rsidRPr="00D00D5E" w:rsidRDefault="00A25234" w:rsidP="00D00D5E">
      <w:pPr>
        <w:pStyle w:val="FootnoteText"/>
        <w:ind w:left="567" w:hanging="567"/>
        <w:rPr>
          <w:sz w:val="24"/>
          <w:szCs w:val="24"/>
          <w:lang w:val="fi-FI"/>
        </w:rPr>
      </w:pPr>
      <w:r w:rsidRPr="00C860B3">
        <w:rPr>
          <w:rStyle w:val="FootnoteReference"/>
          <w:sz w:val="24"/>
          <w:szCs w:val="24"/>
        </w:rPr>
        <w:footnoteRef/>
      </w:r>
      <w:r w:rsidRPr="00D00D5E">
        <w:rPr>
          <w:sz w:val="24"/>
          <w:szCs w:val="24"/>
          <w:lang w:val="fi-FI"/>
        </w:rPr>
        <w:t xml:space="preserve"> </w:t>
      </w:r>
      <w:r w:rsidRPr="00C860B3">
        <w:rPr>
          <w:sz w:val="24"/>
          <w:szCs w:val="24"/>
          <w:lang w:val="fi-FI"/>
        </w:rPr>
        <w:tab/>
      </w:r>
      <w:r w:rsidRPr="00D00D5E">
        <w:rPr>
          <w:sz w:val="24"/>
          <w:szCs w:val="24"/>
          <w:lang w:val="fi-FI"/>
        </w:rPr>
        <w:t xml:space="preserve">Neuvoston direktiivi 92/43/ETY, annettu 21. toukokuuta 1992, luontotyyppien sekä luonnonvaraisen eläimistön ja kasviston suojelusta (EYVL L 206, 22.7.1992, s. 7, ELI: </w:t>
      </w:r>
      <w:hyperlink r:id="rId2" w:history="1">
        <w:r w:rsidRPr="00D00D5E">
          <w:rPr>
            <w:rStyle w:val="Hyperlink"/>
            <w:sz w:val="24"/>
            <w:szCs w:val="24"/>
            <w:lang w:val="fi-FI"/>
          </w:rPr>
          <w:t>http://data.europa.eu/eli/dir/1992/43/oj</w:t>
        </w:r>
      </w:hyperlink>
      <w:r w:rsidRPr="00D00D5E">
        <w:rPr>
          <w:sz w:val="24"/>
          <w:szCs w:val="24"/>
          <w:lang w:val="fi-FI"/>
        </w:rPr>
        <w:t>).</w:t>
      </w:r>
    </w:p>
  </w:footnote>
  <w:footnote w:id="3">
    <w:p w:rsidR="00A25234" w:rsidRPr="00D00D5E" w:rsidRDefault="00A25234" w:rsidP="00D00D5E">
      <w:pPr>
        <w:pStyle w:val="FootnoteText"/>
        <w:ind w:left="567" w:hanging="567"/>
        <w:rPr>
          <w:sz w:val="24"/>
          <w:szCs w:val="24"/>
          <w:lang w:val="fi-FI"/>
        </w:rPr>
      </w:pPr>
      <w:r w:rsidRPr="00C860B3">
        <w:rPr>
          <w:rStyle w:val="FootnoteReference"/>
          <w:sz w:val="24"/>
          <w:szCs w:val="24"/>
        </w:rPr>
        <w:footnoteRef/>
      </w:r>
      <w:r w:rsidRPr="00D00D5E">
        <w:rPr>
          <w:sz w:val="24"/>
          <w:szCs w:val="24"/>
          <w:lang w:val="fi-FI"/>
        </w:rPr>
        <w:t xml:space="preserve"> </w:t>
      </w:r>
      <w:r w:rsidRPr="00C860B3">
        <w:rPr>
          <w:sz w:val="24"/>
          <w:szCs w:val="24"/>
          <w:lang w:val="fi-FI"/>
        </w:rPr>
        <w:tab/>
      </w:r>
      <w:r w:rsidRPr="00D00D5E">
        <w:rPr>
          <w:sz w:val="24"/>
          <w:szCs w:val="24"/>
          <w:lang w:val="fi-FI"/>
        </w:rPr>
        <w:t xml:space="preserve">Euroopan parlamentin ja neuvoston direktiivi 2009/147/EY, annettu 30. marraskuuta 2009, luonnonvaraisten lintujen suojelusta (EUVL L 20, 26.1.2010, s. 7, ELI: </w:t>
      </w:r>
      <w:hyperlink r:id="rId3" w:history="1">
        <w:r w:rsidRPr="00D00D5E">
          <w:rPr>
            <w:rStyle w:val="Hyperlink"/>
            <w:sz w:val="24"/>
            <w:szCs w:val="24"/>
            <w:lang w:val="fi-FI"/>
          </w:rPr>
          <w:t>http://data.europa.eu/eli/dir/2009/147/oj</w:t>
        </w:r>
      </w:hyperlink>
      <w:r w:rsidRPr="00D00D5E">
        <w:rPr>
          <w:sz w:val="24"/>
          <w:szCs w:val="24"/>
          <w:lang w:val="fi-FI"/>
        </w:rPr>
        <w:t>).</w:t>
      </w:r>
    </w:p>
  </w:footnote>
  <w:footnote w:id="4">
    <w:p w:rsidR="0096671B" w:rsidRPr="00D00D5E" w:rsidRDefault="0096671B" w:rsidP="00D00D5E">
      <w:pPr>
        <w:pStyle w:val="FootnoteText"/>
        <w:ind w:left="567" w:hanging="567"/>
        <w:rPr>
          <w:sz w:val="24"/>
          <w:szCs w:val="24"/>
          <w:lang w:val="fi-FI"/>
        </w:rPr>
      </w:pPr>
      <w:r w:rsidRPr="00C860B3">
        <w:rPr>
          <w:rStyle w:val="FootnoteReference"/>
          <w:sz w:val="24"/>
          <w:szCs w:val="24"/>
        </w:rPr>
        <w:footnoteRef/>
      </w:r>
      <w:r w:rsidRPr="00D00D5E">
        <w:rPr>
          <w:sz w:val="24"/>
          <w:szCs w:val="24"/>
          <w:lang w:val="fi-FI"/>
        </w:rPr>
        <w:t xml:space="preserve"> </w:t>
      </w:r>
      <w:r w:rsidRPr="00C860B3">
        <w:rPr>
          <w:sz w:val="24"/>
          <w:szCs w:val="24"/>
          <w:lang w:val="fi-FI"/>
        </w:rPr>
        <w:tab/>
      </w:r>
      <w:r w:rsidRPr="00D00D5E">
        <w:rPr>
          <w:sz w:val="24"/>
          <w:szCs w:val="24"/>
          <w:lang w:val="fi-FI"/>
        </w:rPr>
        <w:t xml:space="preserve">EUVL C, C/2024/6559, 12.11.2024, ELI: </w:t>
      </w:r>
      <w:hyperlink r:id="rId4" w:history="1">
        <w:r w:rsidRPr="00D00D5E">
          <w:rPr>
            <w:rStyle w:val="Hyperlink"/>
            <w:sz w:val="24"/>
            <w:szCs w:val="24"/>
            <w:lang w:val="fi-FI"/>
          </w:rPr>
          <w:t>http://data.europa.eu/eli/C/2024/6559/oj</w:t>
        </w:r>
      </w:hyperlink>
      <w:r w:rsidRPr="00D00D5E">
        <w:rPr>
          <w:i/>
          <w:sz w:val="24"/>
          <w:szCs w:val="24"/>
          <w:lang w:val="fi-FI"/>
        </w:rPr>
        <w:t xml:space="preserve">. </w:t>
      </w:r>
    </w:p>
  </w:footnote>
  <w:footnote w:id="5">
    <w:p w:rsidR="00C15A23" w:rsidRPr="00C860B3" w:rsidRDefault="00C15A23" w:rsidP="00017B2B">
      <w:pPr>
        <w:pStyle w:val="FootnoteText"/>
        <w:ind w:left="567" w:hanging="567"/>
        <w:rPr>
          <w:sz w:val="24"/>
          <w:szCs w:val="24"/>
          <w:lang w:val="fi-FI"/>
        </w:rPr>
      </w:pPr>
      <w:r w:rsidRPr="00C860B3">
        <w:rPr>
          <w:rStyle w:val="FootnoteReference"/>
          <w:sz w:val="24"/>
          <w:szCs w:val="24"/>
          <w:lang w:val="fi-FI"/>
        </w:rPr>
        <w:footnoteRef/>
      </w:r>
      <w:r w:rsidR="0084330C" w:rsidRPr="00C860B3">
        <w:rPr>
          <w:sz w:val="24"/>
          <w:szCs w:val="24"/>
          <w:lang w:val="fi-FI"/>
        </w:rPr>
        <w:t xml:space="preserve"> </w:t>
      </w:r>
      <w:r w:rsidR="0084330C" w:rsidRPr="00C860B3">
        <w:rPr>
          <w:sz w:val="24"/>
          <w:szCs w:val="24"/>
          <w:lang w:val="fi-FI"/>
        </w:rPr>
        <w:tab/>
      </w:r>
      <w:r w:rsidRPr="00C860B3">
        <w:rPr>
          <w:sz w:val="24"/>
          <w:szCs w:val="24"/>
          <w:lang w:val="fi-FI"/>
        </w:rPr>
        <w:t>Parlamentti hyväksyi mietinnön 23. marraskuuta 2023 antamassaan päätöslauselmassa vetoomusvaliokunnan vuonna 2022 käsittelemistä asioista, EUVL C, C/2024/4220, 24.7.2024, ELI: http://data.europa.eu/eli/C/2024/4220/oj.</w:t>
      </w:r>
    </w:p>
  </w:footnote>
  <w:footnote w:id="6">
    <w:p w:rsidR="00E85F72" w:rsidRPr="00D00D5E" w:rsidRDefault="00E85F72" w:rsidP="00D00D5E">
      <w:pPr>
        <w:pStyle w:val="FootnoteText"/>
        <w:ind w:left="567" w:hanging="567"/>
        <w:rPr>
          <w:sz w:val="24"/>
          <w:szCs w:val="24"/>
          <w:lang w:val="fi-FI"/>
        </w:rPr>
      </w:pPr>
      <w:r w:rsidRPr="00C860B3">
        <w:rPr>
          <w:rStyle w:val="FootnoteReference"/>
          <w:sz w:val="24"/>
          <w:szCs w:val="24"/>
        </w:rPr>
        <w:footnoteRef/>
      </w:r>
      <w:r w:rsidRPr="00D00D5E">
        <w:rPr>
          <w:sz w:val="24"/>
          <w:szCs w:val="24"/>
          <w:lang w:val="fi-FI"/>
        </w:rPr>
        <w:t xml:space="preserve"> </w:t>
      </w:r>
      <w:r w:rsidRPr="00D00D5E">
        <w:rPr>
          <w:sz w:val="24"/>
          <w:szCs w:val="24"/>
          <w:lang w:val="fi-FI"/>
        </w:rPr>
        <w:tab/>
        <w:t xml:space="preserve">Euroopan parlamentin ja neuvoston asetus (EU) 2016/399, annettu 9 päivänä maaliskuuta 2016, henkilöiden liikkumista rajojen yli koskevasta unionin säännöstöstä (Schengenin rajasäännöstö), 25–30 artikla, (EUVL L 77, 23.3.2016, s. 1, ELI: </w:t>
      </w:r>
      <w:hyperlink r:id="rId5" w:history="1">
        <w:r w:rsidRPr="00D00D5E">
          <w:rPr>
            <w:rStyle w:val="Hyperlink"/>
            <w:sz w:val="24"/>
            <w:szCs w:val="24"/>
            <w:lang w:val="fi-FI"/>
          </w:rPr>
          <w:t>http://data.europa.eu/eli/reg/2016/399/oj</w:t>
        </w:r>
      </w:hyperlink>
      <w:r w:rsidRPr="00D00D5E">
        <w:rPr>
          <w:sz w:val="24"/>
          <w:szCs w:val="24"/>
          <w:lang w:val="fi-FI"/>
        </w:rPr>
        <w:t>).</w:t>
      </w:r>
    </w:p>
  </w:footnote>
  <w:footnote w:id="7">
    <w:p w:rsidR="00C15A23" w:rsidRPr="00C860B3" w:rsidRDefault="00C15A23" w:rsidP="00017B2B">
      <w:pPr>
        <w:pStyle w:val="FootnoteText"/>
        <w:ind w:left="567" w:hanging="567"/>
        <w:rPr>
          <w:sz w:val="24"/>
          <w:szCs w:val="24"/>
          <w:lang w:val="fi-FI"/>
        </w:rPr>
      </w:pPr>
      <w:r w:rsidRPr="00C860B3">
        <w:rPr>
          <w:rStyle w:val="FootnoteReference"/>
          <w:sz w:val="24"/>
          <w:szCs w:val="24"/>
          <w:lang w:val="fi-FI"/>
        </w:rPr>
        <w:footnoteRef/>
      </w:r>
      <w:r w:rsidR="0084330C" w:rsidRPr="00C860B3">
        <w:rPr>
          <w:sz w:val="24"/>
          <w:szCs w:val="24"/>
          <w:lang w:val="fi-FI"/>
        </w:rPr>
        <w:t xml:space="preserve"> </w:t>
      </w:r>
      <w:r w:rsidR="0084330C" w:rsidRPr="00C860B3">
        <w:rPr>
          <w:sz w:val="24"/>
          <w:szCs w:val="24"/>
          <w:lang w:val="fi-FI"/>
        </w:rPr>
        <w:tab/>
      </w:r>
      <w:hyperlink r:id="rId6" w:history="1">
        <w:r w:rsidRPr="00C860B3">
          <w:rPr>
            <w:rStyle w:val="Hyperlink"/>
            <w:color w:val="auto"/>
            <w:sz w:val="24"/>
            <w:szCs w:val="24"/>
            <w:u w:val="none"/>
            <w:lang w:val="fi-FI"/>
          </w:rPr>
          <w:t>EUVL C 214, 16.6.2023, s. 2</w:t>
        </w:r>
      </w:hyperlink>
      <w:r w:rsidRPr="00C860B3">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3/2025"/>
    <w:docVar w:name="dvlangue" w:val="FI"/>
    <w:docVar w:name="dvnumam" w:val="0"/>
    <w:docVar w:name="dvpe" w:val="768.068"/>
    <w:docVar w:name="dvrapporteur" w:val="Esittelijä: "/>
    <w:docVar w:name="dvtitre" w:val="Euroopan parlamentin päätöslauselma xx. xxxkuuta 2025 vetoomusvaliokunnan vuonna 2023 käsittelemistä asioista(2025/2027(INI))"/>
  </w:docVars>
  <w:rsids>
    <w:rsidRoot w:val="00CF25C7"/>
    <w:rsid w:val="00002272"/>
    <w:rsid w:val="00017B2B"/>
    <w:rsid w:val="00063FF7"/>
    <w:rsid w:val="00064002"/>
    <w:rsid w:val="000677B9"/>
    <w:rsid w:val="000831BA"/>
    <w:rsid w:val="000A42CC"/>
    <w:rsid w:val="000E7DD9"/>
    <w:rsid w:val="0010095E"/>
    <w:rsid w:val="00125B37"/>
    <w:rsid w:val="00187494"/>
    <w:rsid w:val="0019409D"/>
    <w:rsid w:val="001F32AE"/>
    <w:rsid w:val="002767FF"/>
    <w:rsid w:val="002B18FE"/>
    <w:rsid w:val="002B5493"/>
    <w:rsid w:val="00306B6B"/>
    <w:rsid w:val="00343214"/>
    <w:rsid w:val="00361C00"/>
    <w:rsid w:val="00395FA1"/>
    <w:rsid w:val="003B7F10"/>
    <w:rsid w:val="003D136F"/>
    <w:rsid w:val="003E15D4"/>
    <w:rsid w:val="00411CCE"/>
    <w:rsid w:val="0041666E"/>
    <w:rsid w:val="00421060"/>
    <w:rsid w:val="00471C19"/>
    <w:rsid w:val="004867E3"/>
    <w:rsid w:val="00494A28"/>
    <w:rsid w:val="004C0004"/>
    <w:rsid w:val="004C5D52"/>
    <w:rsid w:val="0050519A"/>
    <w:rsid w:val="005072A1"/>
    <w:rsid w:val="00514517"/>
    <w:rsid w:val="00545068"/>
    <w:rsid w:val="00545827"/>
    <w:rsid w:val="00560270"/>
    <w:rsid w:val="005B1244"/>
    <w:rsid w:val="005C2568"/>
    <w:rsid w:val="005F1B17"/>
    <w:rsid w:val="006037C0"/>
    <w:rsid w:val="006631B6"/>
    <w:rsid w:val="00680577"/>
    <w:rsid w:val="006A7FDF"/>
    <w:rsid w:val="006F74FA"/>
    <w:rsid w:val="006F7E1E"/>
    <w:rsid w:val="00731ADD"/>
    <w:rsid w:val="00734777"/>
    <w:rsid w:val="00747932"/>
    <w:rsid w:val="00751A4A"/>
    <w:rsid w:val="00751D8C"/>
    <w:rsid w:val="00756632"/>
    <w:rsid w:val="00762C74"/>
    <w:rsid w:val="00786EC0"/>
    <w:rsid w:val="007D1690"/>
    <w:rsid w:val="007E21B3"/>
    <w:rsid w:val="007E22AD"/>
    <w:rsid w:val="00817416"/>
    <w:rsid w:val="00842779"/>
    <w:rsid w:val="0084330C"/>
    <w:rsid w:val="00865F67"/>
    <w:rsid w:val="00881A7B"/>
    <w:rsid w:val="008840E5"/>
    <w:rsid w:val="00887B3E"/>
    <w:rsid w:val="008C2AC6"/>
    <w:rsid w:val="00930C23"/>
    <w:rsid w:val="0093193B"/>
    <w:rsid w:val="009509D8"/>
    <w:rsid w:val="00950B64"/>
    <w:rsid w:val="0095368A"/>
    <w:rsid w:val="0096671B"/>
    <w:rsid w:val="00981893"/>
    <w:rsid w:val="00A1687D"/>
    <w:rsid w:val="00A25234"/>
    <w:rsid w:val="00A43E52"/>
    <w:rsid w:val="00A4678D"/>
    <w:rsid w:val="00A778C7"/>
    <w:rsid w:val="00AA5641"/>
    <w:rsid w:val="00AB41FE"/>
    <w:rsid w:val="00AB441E"/>
    <w:rsid w:val="00AB6293"/>
    <w:rsid w:val="00AE0928"/>
    <w:rsid w:val="00AF3B82"/>
    <w:rsid w:val="00B12E95"/>
    <w:rsid w:val="00B22876"/>
    <w:rsid w:val="00B558F0"/>
    <w:rsid w:val="00BC4FBC"/>
    <w:rsid w:val="00BD48FE"/>
    <w:rsid w:val="00BD7BD8"/>
    <w:rsid w:val="00BE6ADC"/>
    <w:rsid w:val="00C05BFE"/>
    <w:rsid w:val="00C15A23"/>
    <w:rsid w:val="00C23CD4"/>
    <w:rsid w:val="00C61C0C"/>
    <w:rsid w:val="00C860B3"/>
    <w:rsid w:val="00C941CB"/>
    <w:rsid w:val="00CC2357"/>
    <w:rsid w:val="00CF071A"/>
    <w:rsid w:val="00CF25C7"/>
    <w:rsid w:val="00D00D5E"/>
    <w:rsid w:val="00D058B8"/>
    <w:rsid w:val="00D1515F"/>
    <w:rsid w:val="00D56C11"/>
    <w:rsid w:val="00D834A0"/>
    <w:rsid w:val="00D872DF"/>
    <w:rsid w:val="00D91E21"/>
    <w:rsid w:val="00DA7FCD"/>
    <w:rsid w:val="00DB2CEA"/>
    <w:rsid w:val="00E365E1"/>
    <w:rsid w:val="00E820A4"/>
    <w:rsid w:val="00E828BD"/>
    <w:rsid w:val="00E85F72"/>
    <w:rsid w:val="00EB006A"/>
    <w:rsid w:val="00EB4772"/>
    <w:rsid w:val="00ED169E"/>
    <w:rsid w:val="00ED4235"/>
    <w:rsid w:val="00F04346"/>
    <w:rsid w:val="00F075DC"/>
    <w:rsid w:val="00F149E9"/>
    <w:rsid w:val="00F227C6"/>
    <w:rsid w:val="00F5134D"/>
    <w:rsid w:val="00F74202"/>
    <w:rsid w:val="00F87713"/>
    <w:rsid w:val="00FB4360"/>
    <w:rsid w:val="00FD00F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174C1"/>
  <w15:chartTrackingRefBased/>
  <w15:docId w15:val="{5D7F6B66-E41F-418E-A085-B06EEEC2B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15A23"/>
    <w:pPr>
      <w:spacing w:after="240"/>
      <w:ind w:left="567" w:hanging="567"/>
    </w:pPr>
  </w:style>
  <w:style w:type="paragraph" w:customStyle="1" w:styleId="EPComma">
    <w:name w:val="EPComma"/>
    <w:basedOn w:val="Normal"/>
    <w:uiPriority w:val="99"/>
    <w:rsid w:val="00C15A23"/>
    <w:pPr>
      <w:spacing w:before="480" w:after="240"/>
    </w:pPr>
  </w:style>
  <w:style w:type="character" w:styleId="Hyperlink">
    <w:name w:val="Hyperlink"/>
    <w:basedOn w:val="DefaultParagraphFont"/>
    <w:unhideWhenUsed/>
    <w:rsid w:val="00C15A23"/>
    <w:rPr>
      <w:color w:val="0000FF"/>
      <w:u w:val="single"/>
    </w:rPr>
  </w:style>
  <w:style w:type="character" w:customStyle="1" w:styleId="NormalHanging12aChar">
    <w:name w:val="NormalHanging12a Char"/>
    <w:basedOn w:val="DefaultParagraphFont"/>
    <w:link w:val="NormalHanging12a"/>
    <w:rsid w:val="00C15A23"/>
    <w:rPr>
      <w:sz w:val="24"/>
      <w:lang w:val="fi-FI"/>
    </w:rPr>
  </w:style>
  <w:style w:type="paragraph" w:styleId="Footer">
    <w:name w:val="footer"/>
    <w:basedOn w:val="Normal"/>
    <w:link w:val="FooterChar"/>
    <w:rsid w:val="00AA5641"/>
    <w:pPr>
      <w:tabs>
        <w:tab w:val="center" w:pos="4513"/>
        <w:tab w:val="right" w:pos="9026"/>
      </w:tabs>
    </w:pPr>
  </w:style>
  <w:style w:type="character" w:customStyle="1" w:styleId="FooterChar">
    <w:name w:val="Footer Char"/>
    <w:basedOn w:val="DefaultParagraphFont"/>
    <w:link w:val="Footer"/>
    <w:rsid w:val="00AA5641"/>
    <w:rPr>
      <w:sz w:val="24"/>
      <w:lang w:val="fi-FI"/>
    </w:rPr>
  </w:style>
  <w:style w:type="paragraph" w:styleId="BalloonText">
    <w:name w:val="Balloon Text"/>
    <w:basedOn w:val="Normal"/>
    <w:link w:val="BalloonTextChar"/>
    <w:rsid w:val="005B1244"/>
    <w:rPr>
      <w:rFonts w:ascii="Segoe UI" w:hAnsi="Segoe UI" w:cs="Segoe UI"/>
      <w:sz w:val="18"/>
      <w:szCs w:val="18"/>
    </w:rPr>
  </w:style>
  <w:style w:type="character" w:customStyle="1" w:styleId="BalloonTextChar">
    <w:name w:val="Balloon Text Char"/>
    <w:basedOn w:val="DefaultParagraphFont"/>
    <w:link w:val="BalloonText"/>
    <w:rsid w:val="005B1244"/>
    <w:rPr>
      <w:rFonts w:ascii="Segoe UI" w:hAnsi="Segoe UI" w:cs="Segoe UI"/>
      <w:sz w:val="18"/>
      <w:szCs w:val="18"/>
      <w:lang w:val="fi-FI"/>
    </w:rPr>
  </w:style>
  <w:style w:type="paragraph" w:customStyle="1" w:styleId="AmColumnHeading">
    <w:name w:val="AmColumnHeading"/>
    <w:basedOn w:val="Normal"/>
    <w:rsid w:val="00063FF7"/>
    <w:pPr>
      <w:spacing w:after="240"/>
      <w:jc w:val="center"/>
    </w:pPr>
    <w:rPr>
      <w:i/>
      <w:szCs w:val="24"/>
      <w:lang w:eastAsia="en-US"/>
    </w:rPr>
  </w:style>
  <w:style w:type="paragraph" w:customStyle="1" w:styleId="NormalBold">
    <w:name w:val="NormalBold"/>
    <w:basedOn w:val="Normal"/>
    <w:rsid w:val="00063FF7"/>
    <w:rPr>
      <w:b/>
      <w:szCs w:val="24"/>
      <w:lang w:eastAsia="en-US"/>
    </w:rPr>
  </w:style>
  <w:style w:type="paragraph" w:customStyle="1" w:styleId="Normal6a">
    <w:name w:val="Normal6a"/>
    <w:basedOn w:val="Normal"/>
    <w:rsid w:val="00063FF7"/>
    <w:pPr>
      <w:spacing w:after="120"/>
    </w:pPr>
    <w:rPr>
      <w:szCs w:val="24"/>
      <w:lang w:eastAsia="en-US"/>
    </w:rPr>
  </w:style>
  <w:style w:type="paragraph" w:customStyle="1" w:styleId="AmNumberTabs">
    <w:name w:val="AmNumberTabs"/>
    <w:basedOn w:val="Normal"/>
    <w:rsid w:val="00063FF7"/>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063FF7"/>
    <w:pPr>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47/oj" TargetMode="External"/><Relationship Id="rId2" Type="http://schemas.openxmlformats.org/officeDocument/2006/relationships/hyperlink" Target="http://data.europa.eu/eli/dir/1992/43/oj" TargetMode="External"/><Relationship Id="rId1" Type="http://schemas.openxmlformats.org/officeDocument/2006/relationships/hyperlink" Target="http://data.europa.eu/eli/C/2024/3999/oj" TargetMode="External"/><Relationship Id="rId6" Type="http://schemas.openxmlformats.org/officeDocument/2006/relationships/hyperlink" Target="https://eur-lex.europa.eu/legal-content/FI/TXT/?uri=celex:52023IP0006" TargetMode="External"/><Relationship Id="rId5" Type="http://schemas.openxmlformats.org/officeDocument/2006/relationships/hyperlink" Target="http://data.europa.eu/eli/reg/2016/399/oj" TargetMode="External"/><Relationship Id="rId4" Type="http://schemas.openxmlformats.org/officeDocument/2006/relationships/hyperlink" Target="http://data.europa.eu/eli/C/2024/655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0E578-A437-45B5-B8A8-BABC2F2C2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5241</Words>
  <Characters>45234</Characters>
  <Application>Microsoft Office Word</Application>
  <DocSecurity>0</DocSecurity>
  <Lines>1103</Lines>
  <Paragraphs>490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COLLIANDER Vilja Alma Maria</cp:lastModifiedBy>
  <cp:revision>2</cp:revision>
  <cp:lastPrinted>2004-11-19T15:42:00Z</cp:lastPrinted>
  <dcterms:created xsi:type="dcterms:W3CDTF">2025-06-11T09:12:00Z</dcterms:created>
  <dcterms:modified xsi:type="dcterms:W3CDTF">2025-06-11T09:12:00Z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A10-0063/2025</vt:lpwstr>
  </property>
  <property fmtid="{D5CDD505-2E9C-101B-9397-08002B2CF9AE}" pid="4" name="&lt;Type&gt;">
    <vt:lpwstr>RR</vt:lpwstr>
  </property>
  <property fmtid="{D5CDD505-2E9C-101B-9397-08002B2CF9AE}" pid="5" name="&lt;Model&gt;">
    <vt:lpwstr/>
  </property>
</Properties>
</file>