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3F11" w:rsidTr="0010095E">
        <w:trPr>
          <w:trHeight w:hRule="exact" w:val="1418"/>
        </w:trPr>
        <w:tc>
          <w:tcPr>
            <w:tcW w:w="6804" w:type="dxa"/>
            <w:shd w:val="clear" w:color="auto" w:fill="auto"/>
            <w:vAlign w:val="center"/>
          </w:tcPr>
          <w:p w:rsidR="00751A4A" w:rsidRPr="00553F11" w:rsidRDefault="003E6227" w:rsidP="0010095E">
            <w:pPr>
              <w:pStyle w:val="EPName"/>
            </w:pPr>
            <w:r w:rsidRPr="00553F11">
              <w:t>Eiropas Parlaments</w:t>
            </w:r>
          </w:p>
          <w:p w:rsidR="00751A4A" w:rsidRPr="00553F11" w:rsidRDefault="005F1B17" w:rsidP="005F1B17">
            <w:pPr>
              <w:pStyle w:val="EPTerm"/>
              <w:rPr>
                <w:rStyle w:val="HideTWBExt"/>
                <w:noProof w:val="0"/>
                <w:vanish w:val="0"/>
                <w:color w:val="auto"/>
              </w:rPr>
            </w:pPr>
            <w:r w:rsidRPr="00553F11">
              <w:t>2024</w:t>
            </w:r>
            <w:r w:rsidR="00817416" w:rsidRPr="00553F11">
              <w:t>-202</w:t>
            </w:r>
            <w:r w:rsidRPr="00553F11">
              <w:t>9</w:t>
            </w:r>
          </w:p>
        </w:tc>
        <w:tc>
          <w:tcPr>
            <w:tcW w:w="2268" w:type="dxa"/>
            <w:shd w:val="clear" w:color="auto" w:fill="auto"/>
          </w:tcPr>
          <w:p w:rsidR="00751A4A" w:rsidRPr="00553F11" w:rsidRDefault="00187494" w:rsidP="0010095E">
            <w:pPr>
              <w:pStyle w:val="EPLogo"/>
            </w:pPr>
            <w:r w:rsidRPr="00553F1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3F11" w:rsidRDefault="00D058B8" w:rsidP="004C5D52">
      <w:pPr>
        <w:pStyle w:val="LineTop"/>
      </w:pPr>
    </w:p>
    <w:p w:rsidR="00680577" w:rsidRPr="00553F11" w:rsidRDefault="003E6227" w:rsidP="00680577">
      <w:pPr>
        <w:pStyle w:val="EPBodyTA1"/>
      </w:pPr>
      <w:r w:rsidRPr="00553F11">
        <w:t>PIEŅEMTIE TEKSTI</w:t>
      </w:r>
    </w:p>
    <w:p w:rsidR="00D058B8" w:rsidRPr="00553F11" w:rsidRDefault="00D058B8" w:rsidP="00D058B8">
      <w:pPr>
        <w:pStyle w:val="LineBottom"/>
      </w:pPr>
    </w:p>
    <w:p w:rsidR="003E6227" w:rsidRPr="00553F11" w:rsidRDefault="003E6227" w:rsidP="003E6227">
      <w:pPr>
        <w:pStyle w:val="ATHeading1"/>
      </w:pPr>
      <w:bookmarkStart w:id="0" w:name="TANumber"/>
      <w:r w:rsidRPr="00553F11">
        <w:t>P10_TA(2025)0</w:t>
      </w:r>
      <w:bookmarkEnd w:id="0"/>
      <w:r w:rsidR="00010354" w:rsidRPr="00553F11">
        <w:t>114</w:t>
      </w:r>
    </w:p>
    <w:p w:rsidR="003E6227" w:rsidRPr="00553F11" w:rsidRDefault="003E6227" w:rsidP="003E6227">
      <w:pPr>
        <w:pStyle w:val="ATHeading2"/>
      </w:pPr>
      <w:bookmarkStart w:id="1" w:name="title"/>
      <w:r w:rsidRPr="00553F11">
        <w:t>Lūgumrakstu komitejas apspriedes 2023. gadā</w:t>
      </w:r>
      <w:bookmarkEnd w:id="1"/>
    </w:p>
    <w:p w:rsidR="003E6227" w:rsidRPr="00553F11" w:rsidRDefault="003E6227" w:rsidP="003E6227">
      <w:pPr>
        <w:rPr>
          <w:i/>
          <w:vanish/>
        </w:rPr>
      </w:pPr>
      <w:r w:rsidRPr="00553F11">
        <w:rPr>
          <w:i/>
        </w:rPr>
        <w:fldChar w:fldCharType="begin"/>
      </w:r>
      <w:r w:rsidRPr="00553F11">
        <w:rPr>
          <w:i/>
        </w:rPr>
        <w:instrText xml:space="preserve"> TC"(</w:instrText>
      </w:r>
      <w:bookmarkStart w:id="2" w:name="DocNumber"/>
      <w:r w:rsidRPr="00553F11">
        <w:rPr>
          <w:i/>
        </w:rPr>
        <w:instrText>A10-0063/2025</w:instrText>
      </w:r>
      <w:bookmarkEnd w:id="2"/>
      <w:r w:rsidRPr="00553F11">
        <w:rPr>
          <w:i/>
        </w:rPr>
        <w:instrText xml:space="preserve"> - Referents: </w:instrText>
      </w:r>
      <w:proofErr w:type="spellStart"/>
      <w:r w:rsidRPr="00553F11">
        <w:rPr>
          <w:i/>
        </w:rPr>
        <w:instrText>Gheorghe</w:instrText>
      </w:r>
      <w:proofErr w:type="spellEnd"/>
      <w:r w:rsidRPr="00553F11">
        <w:rPr>
          <w:i/>
        </w:rPr>
        <w:instrText xml:space="preserve"> </w:instrText>
      </w:r>
      <w:proofErr w:type="spellStart"/>
      <w:r w:rsidRPr="00553F11">
        <w:rPr>
          <w:i/>
        </w:rPr>
        <w:instrText>Falcă</w:instrText>
      </w:r>
      <w:proofErr w:type="spellEnd"/>
      <w:r w:rsidRPr="00553F11">
        <w:rPr>
          <w:i/>
        </w:rPr>
        <w:instrText xml:space="preserve">)"\l3 \n&gt; \* MERGEFORMAT </w:instrText>
      </w:r>
      <w:r w:rsidRPr="00553F11">
        <w:rPr>
          <w:i/>
        </w:rPr>
        <w:fldChar w:fldCharType="end"/>
      </w:r>
    </w:p>
    <w:p w:rsidR="003E6227" w:rsidRPr="00553F11" w:rsidRDefault="003E6227" w:rsidP="003E6227">
      <w:pPr>
        <w:rPr>
          <w:vanish/>
        </w:rPr>
      </w:pPr>
      <w:bookmarkStart w:id="3" w:name="Commission"/>
      <w:r w:rsidRPr="00553F11">
        <w:rPr>
          <w:vanish/>
        </w:rPr>
        <w:t>Lūgumrakstu komiteja</w:t>
      </w:r>
      <w:bookmarkEnd w:id="3"/>
    </w:p>
    <w:p w:rsidR="003E6227" w:rsidRPr="00553F11" w:rsidRDefault="003E6227" w:rsidP="003E6227">
      <w:pPr>
        <w:rPr>
          <w:vanish/>
        </w:rPr>
      </w:pPr>
      <w:bookmarkStart w:id="4" w:name="PE"/>
      <w:r w:rsidRPr="00553F11">
        <w:rPr>
          <w:vanish/>
        </w:rPr>
        <w:t>PE768.068</w:t>
      </w:r>
      <w:bookmarkEnd w:id="4"/>
    </w:p>
    <w:p w:rsidR="0050341E" w:rsidRPr="00553F11" w:rsidRDefault="003E6227" w:rsidP="00A11A24">
      <w:pPr>
        <w:pStyle w:val="ATHeading3"/>
      </w:pPr>
      <w:bookmarkStart w:id="5" w:name="Sujet"/>
      <w:r w:rsidRPr="00553F11">
        <w:t xml:space="preserve">Eiropas Parlamenta 2025. gada </w:t>
      </w:r>
      <w:r w:rsidR="00A11A24" w:rsidRPr="00553F11">
        <w:t>22</w:t>
      </w:r>
      <w:r w:rsidRPr="00553F11">
        <w:t xml:space="preserve">. </w:t>
      </w:r>
      <w:r w:rsidR="00A11A24" w:rsidRPr="00553F11">
        <w:t>maija</w:t>
      </w:r>
      <w:r w:rsidRPr="00553F11">
        <w:t xml:space="preserve"> rezolūcija par Lūgumrakstu komitejas apspriedēm 2023. gadā</w:t>
      </w:r>
      <w:bookmarkEnd w:id="5"/>
      <w:r w:rsidRPr="00553F11">
        <w:t xml:space="preserve"> </w:t>
      </w:r>
      <w:bookmarkStart w:id="6" w:name="References"/>
      <w:r w:rsidRPr="00553F11">
        <w:t>(2025/2027(INI))</w:t>
      </w:r>
      <w:bookmarkEnd w:id="6"/>
    </w:p>
    <w:p w:rsidR="0050341E" w:rsidRPr="00553F11" w:rsidRDefault="0050341E" w:rsidP="0050341E">
      <w:pPr>
        <w:pStyle w:val="EPComma"/>
      </w:pPr>
      <w:r w:rsidRPr="00553F11">
        <w:rPr>
          <w:i/>
        </w:rPr>
        <w:t>Eiropas Parlaments</w:t>
      </w:r>
      <w:r w:rsidRPr="00553F11">
        <w:t>,</w:t>
      </w:r>
    </w:p>
    <w:p w:rsidR="0050341E" w:rsidRPr="00553F11" w:rsidRDefault="0050341E" w:rsidP="0050341E">
      <w:pPr>
        <w:pStyle w:val="NormalHanging12a"/>
      </w:pPr>
      <w:r w:rsidRPr="00553F11">
        <w:t>–</w:t>
      </w:r>
      <w:r w:rsidRPr="00553F11">
        <w:tab/>
        <w:t>ņemot vērā iepriekšējās rezolūcijas par Lūgumrakstu komitejas apspriežu rezultātiem,</w:t>
      </w:r>
    </w:p>
    <w:p w:rsidR="0050341E" w:rsidRPr="00553F11" w:rsidRDefault="0050341E" w:rsidP="0050341E">
      <w:pPr>
        <w:pStyle w:val="NormalHanging12a"/>
      </w:pPr>
      <w:r w:rsidRPr="00553F11">
        <w:t>–</w:t>
      </w:r>
      <w:r w:rsidRPr="00553F11">
        <w:tab/>
        <w:t>ņemot vērā Līguma par Eiropas Savienību (LES) 10. un 11. pantu,</w:t>
      </w:r>
    </w:p>
    <w:p w:rsidR="0050341E" w:rsidRPr="00553F11" w:rsidRDefault="0050341E" w:rsidP="0050341E">
      <w:pPr>
        <w:pStyle w:val="NormalHanging12a"/>
      </w:pPr>
      <w:r w:rsidRPr="00553F11">
        <w:t>–</w:t>
      </w:r>
      <w:r w:rsidRPr="00553F11">
        <w:tab/>
        <w:t>ņemot vērā Līguma par Eiropas Savienības darbību (LESD) 20., 24. un 227. pantu par ES pilsoņu un iedzīvotāju tiesībām informēt Parlamentu par savām bažām,</w:t>
      </w:r>
    </w:p>
    <w:p w:rsidR="0050341E" w:rsidRPr="00553F11" w:rsidRDefault="0050341E" w:rsidP="0050341E">
      <w:pPr>
        <w:pStyle w:val="NormalHanging12a"/>
      </w:pPr>
      <w:r w:rsidRPr="00553F11">
        <w:t>–</w:t>
      </w:r>
      <w:r w:rsidRPr="00553F11">
        <w:tab/>
        <w:t xml:space="preserve">ņemot vērā LESD 228. pantu par Eiropas </w:t>
      </w:r>
      <w:proofErr w:type="spellStart"/>
      <w:r w:rsidRPr="00553F11">
        <w:t>Ombuda</w:t>
      </w:r>
      <w:proofErr w:type="spellEnd"/>
      <w:r w:rsidRPr="00553F11">
        <w:t xml:space="preserve"> pienākumiem un darbību,</w:t>
      </w:r>
    </w:p>
    <w:p w:rsidR="0050341E" w:rsidRPr="00553F11" w:rsidRDefault="0050341E" w:rsidP="0050341E">
      <w:pPr>
        <w:pStyle w:val="NormalHanging12a"/>
      </w:pPr>
      <w:r w:rsidRPr="00553F11">
        <w:t>–</w:t>
      </w:r>
      <w:r w:rsidRPr="00553F11">
        <w:tab/>
        <w:t xml:space="preserve">ņemot vērā Eiropas Savienības </w:t>
      </w:r>
      <w:proofErr w:type="spellStart"/>
      <w:r w:rsidRPr="00553F11">
        <w:t>Pamattiesību</w:t>
      </w:r>
      <w:proofErr w:type="spellEnd"/>
      <w:r w:rsidRPr="00553F11">
        <w:t xml:space="preserve"> hartas 44. pantu par tiesībām iesniegt lūgumrakstu Eiropas Parlamentam,</w:t>
      </w:r>
    </w:p>
    <w:p w:rsidR="0050341E" w:rsidRPr="00553F11" w:rsidRDefault="0050341E" w:rsidP="0050341E">
      <w:pPr>
        <w:pStyle w:val="NormalHanging12a"/>
      </w:pPr>
      <w:r w:rsidRPr="00553F11">
        <w:t>–</w:t>
      </w:r>
      <w:r w:rsidRPr="00553F11">
        <w:tab/>
        <w:t>ņemot vērā LESD noteikumus, kas attiecas uz pārkāpuma procedūru, jo īpaši 258. un 260. pantu,</w:t>
      </w:r>
    </w:p>
    <w:p w:rsidR="00467519" w:rsidRPr="00553F11" w:rsidRDefault="00467519" w:rsidP="0050341E">
      <w:pPr>
        <w:pStyle w:val="NormalHanging12a"/>
      </w:pPr>
      <w:r w:rsidRPr="00553F11">
        <w:t>–</w:t>
      </w:r>
      <w:r w:rsidRPr="00553F11">
        <w:tab/>
        <w:t>ņemot vērā ANO Personu ar invaliditāti tiesību komitejas 2025. gada 21. marta noslēguma secinājumus par Eiropas Savienības otro un trešo apvienoto periodisko ziņojumu,</w:t>
      </w:r>
    </w:p>
    <w:p w:rsidR="0050341E" w:rsidRPr="00553F11" w:rsidRDefault="0050341E" w:rsidP="0050341E">
      <w:pPr>
        <w:pStyle w:val="NormalHanging12a"/>
      </w:pPr>
      <w:r w:rsidRPr="00553F11">
        <w:t>–</w:t>
      </w:r>
      <w:r w:rsidRPr="00553F11">
        <w:tab/>
        <w:t>ņemot vērā Reglamenta 55. pantu un 233. panta 7. punktu,</w:t>
      </w:r>
    </w:p>
    <w:p w:rsidR="0050341E" w:rsidRPr="00553F11" w:rsidRDefault="0050341E" w:rsidP="0050341E">
      <w:pPr>
        <w:pStyle w:val="NormalHanging12a"/>
      </w:pPr>
      <w:r w:rsidRPr="00553F11">
        <w:t>–</w:t>
      </w:r>
      <w:r w:rsidRPr="00553F11">
        <w:tab/>
        <w:t>ņemot vērā Lūgumrakstu komitejas ziņojumu (A10-0063/2025),</w:t>
      </w:r>
    </w:p>
    <w:p w:rsidR="0050341E" w:rsidRPr="00553F11" w:rsidRDefault="0050341E" w:rsidP="0050341E">
      <w:pPr>
        <w:pStyle w:val="NormalHanging12a"/>
      </w:pPr>
      <w:r w:rsidRPr="00553F11">
        <w:t>A.</w:t>
      </w:r>
      <w:r w:rsidRPr="00553F11">
        <w:tab/>
        <w:t>tā kā gada ziņojuma par Lūgumrakstu komitejas apspriežu rezultātiem mērķis ir analizēt 2023. gadā saņemtos lūgumrakstus un attiecības ar citām iestādēm, kā arī sniegt precīzu redzējumu par 2023. gadā sasniegtajiem mērķiem;</w:t>
      </w:r>
    </w:p>
    <w:p w:rsidR="0050341E" w:rsidRPr="00553F11" w:rsidRDefault="0050341E" w:rsidP="0050341E">
      <w:pPr>
        <w:pStyle w:val="NormalHanging12a"/>
      </w:pPr>
      <w:r w:rsidRPr="00553F11">
        <w:t>B.</w:t>
      </w:r>
      <w:r w:rsidRPr="00553F11">
        <w:tab/>
        <w:t xml:space="preserve">tā kā 2023. gadā Parlaments saņēma 1452 lūgumrakstus, kas ir par 16,2 % vairāk nekā 2022. gadā iesniegtie 1217 lūgumraksti un par 4,0 % vairāk nekā 2021. gadā iesniegtie 1392 lūgumraksti; tā kā kopējais saņemto lūgumrakstu skaits joprojām ir ievērojami mazāks nekā 2013. un 2014. gadā, kad Parlaments saņēma attiecīgi 2891 un 2715 </w:t>
      </w:r>
      <w:r w:rsidRPr="00553F11">
        <w:lastRenderedPageBreak/>
        <w:t>lūgumrakstus;</w:t>
      </w:r>
    </w:p>
    <w:p w:rsidR="0050341E" w:rsidRPr="00553F11" w:rsidRDefault="0050341E" w:rsidP="0050341E">
      <w:pPr>
        <w:pStyle w:val="NormalHanging12a"/>
      </w:pPr>
      <w:r w:rsidRPr="00553F11">
        <w:t>C.</w:t>
      </w:r>
      <w:r w:rsidRPr="00553F11">
        <w:tab/>
        <w:t>tā kā 2023. gadā to lietotāju skaits, kuri atbalstīja vienu vai vairākus lūgumrakstus Parlamenta Lūgumrakstu portālā, bija 26 331, kas ir ievērojami vairāk par 2022. gadā reģistrēto 22 441 lietotāju (abi skaitļi ir ievērojami mazāki par 2021. gadā reģistrētajiem 209 272 lietotājiem); tā kā 2023. gadā nedaudz palielinājās arī klikšķu skaits lūgumrakstu atbalstam, kopumā sasniedzot 29 287 (salīdzinājumā ar 27 927 klikšķiem 2022. gadā un 217 876 klikšķiem 2021. gadā);</w:t>
      </w:r>
    </w:p>
    <w:p w:rsidR="0050341E" w:rsidRPr="00553F11" w:rsidRDefault="0050341E" w:rsidP="0050341E">
      <w:pPr>
        <w:pStyle w:val="NormalHanging12a"/>
      </w:pPr>
      <w:r w:rsidRPr="00553F11">
        <w:t>D.</w:t>
      </w:r>
      <w:r w:rsidRPr="00553F11">
        <w:tab/>
        <w:t>tā kā kopējais lūgumrakstu skaits attiecībā pret visiem ES iedzīvotājiem tomēr joprojām ir neliels, atklājot, ka vēl ir jāpastiprina centieni, ar kuriem palielina iedzīvotāju informētību par viņu tiesībām iesniegt lūgumrakstus un par lūgumrakstu potenciālo lietderību, jo tie ir uzskatāmi par iestāžu un dalībvalstu uzmanības piesaistīšanas līdzekli jautājumiem, kas iedzīvotājus ietekmē tieši; tā kā iedzīvotāji, izmantojot tiesības iesniegt lūgumrakstu, sagaida, ka ES iestādes nodrošinās pievienoto vērtību viņu problēmu risināšanai;</w:t>
      </w:r>
    </w:p>
    <w:p w:rsidR="0050341E" w:rsidRPr="00553F11" w:rsidRDefault="0050341E" w:rsidP="0050341E">
      <w:pPr>
        <w:pStyle w:val="NormalHanging12a"/>
      </w:pPr>
      <w:r w:rsidRPr="00553F11">
        <w:t>E.</w:t>
      </w:r>
      <w:r w:rsidRPr="00553F11">
        <w:tab/>
        <w:t xml:space="preserve">tā kā lūgumrakstu </w:t>
      </w:r>
      <w:proofErr w:type="spellStart"/>
      <w:r w:rsidRPr="00553F11">
        <w:t>pieņemamības</w:t>
      </w:r>
      <w:proofErr w:type="spellEnd"/>
      <w:r w:rsidRPr="00553F11">
        <w:t xml:space="preserve"> kritēriji ir noteikti LESD 227. pantā un Parlamenta Reglamenta 232. panta 1. punktā, kuros noteikts, ka lūgumrakstus iesniedz ES pilsonis vai fiziska vai juridiska persona, kuras dzīvesvieta vai juridiskā adrese ir kādā dalībvalstī un kuru tieši skar jautājumi, kas ietilpst ES darbības jomās;</w:t>
      </w:r>
    </w:p>
    <w:p w:rsidR="0050341E" w:rsidRPr="00553F11" w:rsidRDefault="0050341E" w:rsidP="0050341E">
      <w:pPr>
        <w:pStyle w:val="NormalHanging12a"/>
      </w:pPr>
      <w:r w:rsidRPr="00553F11">
        <w:t>F.</w:t>
      </w:r>
      <w:r w:rsidRPr="00553F11">
        <w:tab/>
        <w:t>tā kā no 2023. gadā iesniegtajiem 1452 lūgumrakstiem 429 lūgumraksti tika atzīti par nepieņemamiem, bet 13 tika atsaukti; tā kā lielais nepieņemamo lūgumrakstu īpatsvars (29,55 %) 2023. gadā apliecina, ka joprojām lielā mērā trūkst skaidrības par ES kompetences jomām; tā kā, lai samazinātu nepieņemamo lūgumrakstu skaitu, vēl ir jāpieliek pūles, lai sīkāk precizētu ES darbības jomu;</w:t>
      </w:r>
    </w:p>
    <w:p w:rsidR="00467519" w:rsidRPr="00553F11" w:rsidRDefault="00BF3E87" w:rsidP="0050341E">
      <w:pPr>
        <w:pStyle w:val="NormalHanging12a"/>
      </w:pPr>
      <w:r w:rsidRPr="00553F11">
        <w:t>G</w:t>
      </w:r>
      <w:r w:rsidR="00467519" w:rsidRPr="00553F11">
        <w:t>.</w:t>
      </w:r>
      <w:r w:rsidR="00467519" w:rsidRPr="00553F11">
        <w:tab/>
        <w:t xml:space="preserve">tā kā Lūgumrakstu komitejai (PETI) bija nozīmīga loma Rumānijas un Bulgārijas pilsoņu diskriminācijas apkarošanā tad, kad šīs valstis vēl nebija pievienojušās Šengenas zonai; tā kā PETI komiteja sniedza būtisku ieguldījumu, atbalstot vienlīdzīgu attieksmi un novēršot nepamatotos šķēršļus, ar kuriem </w:t>
      </w:r>
      <w:proofErr w:type="spellStart"/>
      <w:r w:rsidR="00467519" w:rsidRPr="00553F11">
        <w:t>saskārās</w:t>
      </w:r>
      <w:proofErr w:type="spellEnd"/>
      <w:r w:rsidR="00467519" w:rsidRPr="00553F11">
        <w:t xml:space="preserve"> šo valstu iedzīvotāji; tā kā sākumpunkts bija lūgumraksts Nr. 0004/2023, ko “</w:t>
      </w:r>
      <w:proofErr w:type="spellStart"/>
      <w:r w:rsidR="00467519" w:rsidRPr="00553F11">
        <w:t>Asociația</w:t>
      </w:r>
      <w:proofErr w:type="spellEnd"/>
      <w:r w:rsidR="00467519" w:rsidRPr="00553F11">
        <w:t xml:space="preserve"> </w:t>
      </w:r>
      <w:proofErr w:type="spellStart"/>
      <w:r w:rsidR="00467519" w:rsidRPr="00553F11">
        <w:t>pentru</w:t>
      </w:r>
      <w:proofErr w:type="spellEnd"/>
      <w:r w:rsidR="00467519" w:rsidRPr="00553F11">
        <w:t xml:space="preserve"> </w:t>
      </w:r>
      <w:r w:rsidR="00467519" w:rsidRPr="00553F11">
        <w:rPr>
          <w:i/>
        </w:rPr>
        <w:t xml:space="preserve">Energie </w:t>
      </w:r>
      <w:proofErr w:type="spellStart"/>
      <w:r w:rsidR="00467519" w:rsidRPr="00553F11">
        <w:rPr>
          <w:i/>
        </w:rPr>
        <w:t>Curată</w:t>
      </w:r>
      <w:proofErr w:type="spellEnd"/>
      <w:r w:rsidR="00467519" w:rsidRPr="00553F11">
        <w:rPr>
          <w:i/>
        </w:rPr>
        <w:t xml:space="preserve"> </w:t>
      </w:r>
      <w:proofErr w:type="spellStart"/>
      <w:r w:rsidR="00467519" w:rsidRPr="00553F11">
        <w:rPr>
          <w:i/>
        </w:rPr>
        <w:t>și</w:t>
      </w:r>
      <w:proofErr w:type="spellEnd"/>
      <w:r w:rsidR="00467519" w:rsidRPr="00553F11">
        <w:rPr>
          <w:i/>
        </w:rPr>
        <w:t xml:space="preserve"> </w:t>
      </w:r>
      <w:proofErr w:type="spellStart"/>
      <w:r w:rsidR="00467519" w:rsidRPr="00553F11">
        <w:rPr>
          <w:i/>
        </w:rPr>
        <w:t>Combaterea</w:t>
      </w:r>
      <w:proofErr w:type="spellEnd"/>
      <w:r w:rsidR="00467519" w:rsidRPr="00553F11">
        <w:rPr>
          <w:i/>
        </w:rPr>
        <w:t xml:space="preserve"> </w:t>
      </w:r>
      <w:proofErr w:type="spellStart"/>
      <w:r w:rsidR="00467519" w:rsidRPr="00553F11">
        <w:rPr>
          <w:i/>
        </w:rPr>
        <w:t>Schimbărilor</w:t>
      </w:r>
      <w:proofErr w:type="spellEnd"/>
      <w:r w:rsidR="00467519" w:rsidRPr="00553F11">
        <w:rPr>
          <w:i/>
        </w:rPr>
        <w:t xml:space="preserve"> </w:t>
      </w:r>
      <w:proofErr w:type="spellStart"/>
      <w:r w:rsidR="00467519" w:rsidRPr="00553F11">
        <w:rPr>
          <w:i/>
        </w:rPr>
        <w:t>Climatice</w:t>
      </w:r>
      <w:proofErr w:type="spellEnd"/>
      <w:r w:rsidR="00467519" w:rsidRPr="00553F11">
        <w:t xml:space="preserve">” vārdā iesniedza </w:t>
      </w:r>
      <w:proofErr w:type="spellStart"/>
      <w:r w:rsidR="00467519" w:rsidRPr="00553F11">
        <w:rPr>
          <w:i/>
        </w:rPr>
        <w:t>Răzvan</w:t>
      </w:r>
      <w:proofErr w:type="spellEnd"/>
      <w:r w:rsidR="00467519" w:rsidRPr="00553F11">
        <w:rPr>
          <w:i/>
        </w:rPr>
        <w:t xml:space="preserve"> </w:t>
      </w:r>
      <w:proofErr w:type="spellStart"/>
      <w:r w:rsidR="00467519" w:rsidRPr="00553F11">
        <w:rPr>
          <w:i/>
        </w:rPr>
        <w:t>Eugen</w:t>
      </w:r>
      <w:proofErr w:type="spellEnd"/>
      <w:r w:rsidR="00467519" w:rsidRPr="00553F11">
        <w:rPr>
          <w:i/>
        </w:rPr>
        <w:t xml:space="preserve"> </w:t>
      </w:r>
      <w:proofErr w:type="spellStart"/>
      <w:r w:rsidR="00467519" w:rsidRPr="00553F11">
        <w:rPr>
          <w:i/>
        </w:rPr>
        <w:t>Nicolescu</w:t>
      </w:r>
      <w:proofErr w:type="spellEnd"/>
      <w:r w:rsidR="00467519" w:rsidRPr="00553F11">
        <w:t>, uz kura pamata tika sagatavota rezolūcija plenārsēdei par pievienošanos Šengenas zona</w:t>
      </w:r>
      <w:r w:rsidR="00E137F1">
        <w:t xml:space="preserve">i, kas tika pieņemta saskaņā ar </w:t>
      </w:r>
      <w:bookmarkStart w:id="7" w:name="_GoBack"/>
      <w:bookmarkEnd w:id="7"/>
      <w:r w:rsidR="00467519" w:rsidRPr="00553F11">
        <w:t>Reglamenta 227. panta 2. punktu</w:t>
      </w:r>
      <w:r w:rsidR="00467519" w:rsidRPr="00553F11">
        <w:rPr>
          <w:rStyle w:val="FootnoteReference"/>
        </w:rPr>
        <w:footnoteReference w:id="1"/>
      </w:r>
      <w:r w:rsidR="00467519" w:rsidRPr="00553F11">
        <w:t>;</w:t>
      </w:r>
    </w:p>
    <w:p w:rsidR="0050341E" w:rsidRPr="00553F11" w:rsidRDefault="00BF3E87" w:rsidP="0050341E">
      <w:pPr>
        <w:pStyle w:val="NormalHanging12a"/>
      </w:pPr>
      <w:r w:rsidRPr="00553F11">
        <w:t>H</w:t>
      </w:r>
      <w:r w:rsidR="0050341E" w:rsidRPr="00553F11">
        <w:t>.</w:t>
      </w:r>
      <w:r w:rsidR="0050341E" w:rsidRPr="00553F11">
        <w:tab/>
        <w:t xml:space="preserve">tā kā tiesības iesniegt lūgumrakstu Parlamentam ir ES pilsoņu </w:t>
      </w:r>
      <w:proofErr w:type="spellStart"/>
      <w:r w:rsidR="0050341E" w:rsidRPr="00553F11">
        <w:t>pamattiesības</w:t>
      </w:r>
      <w:proofErr w:type="spellEnd"/>
      <w:r w:rsidR="0050341E" w:rsidRPr="00553F11">
        <w:t>, kas gan pilsoņiem, gan iedzīvotājiem piedāvā atklātu, demokrātisku un pārredzamu mehānismu, kā tieši uzrunāt viņu ievēlētos pārstāvjus; tā kā šis būtiskais instruments dod pilsoņiem iespēju aktīvi un efektīvi piedalīties ES dzīvē; tā kā, iesniedzot lūgumrakstus, ES iedzīvotāji var sūdzēties par ES tiesību aktu īstenošanas neizpildi un palīdzēt atklāt ES tiesību aktu pārkāpumus;</w:t>
      </w:r>
    </w:p>
    <w:p w:rsidR="0050341E" w:rsidRPr="00553F11" w:rsidRDefault="00BF3E87" w:rsidP="0050341E">
      <w:pPr>
        <w:pStyle w:val="NormalHanging12a"/>
      </w:pPr>
      <w:r w:rsidRPr="00553F11">
        <w:t>I</w:t>
      </w:r>
      <w:r w:rsidR="0050341E" w:rsidRPr="00553F11">
        <w:t>.</w:t>
      </w:r>
      <w:r w:rsidR="0050341E" w:rsidRPr="00553F11">
        <w:tab/>
      </w:r>
      <w:r w:rsidR="00467519" w:rsidRPr="00553F11">
        <w:t xml:space="preserve">tā kā Parlaments ir vienīgā ES pilsoņu pašu ievēlētā ES iestāde; tā kā tiesības iesniegt lūgumrakstu Eiropas Parlamentam ir starp ES pilsoņu un iedzīvotāju </w:t>
      </w:r>
      <w:proofErr w:type="spellStart"/>
      <w:r w:rsidR="00467519" w:rsidRPr="00553F11">
        <w:t>pamattiesībām</w:t>
      </w:r>
      <w:proofErr w:type="spellEnd"/>
      <w:r w:rsidR="00467519" w:rsidRPr="00553F11">
        <w:t xml:space="preserve"> un ļauj viņiem nepastarpināti uzrunāt savus pārstāvjus Parlamentā; tā kā piekļūstamu formātu ierobežotas pieejamības dēļ un tādēļ, ka nacionālās zīmju valodas (NZV) netiek uzskatītas par daļu no ES daudzvalodības politikas daudzām personām ar invaliditāti nav vienlīdzīgas piekļuves informācijai un komunikācijai; tā kā Parlaments jau ilgu </w:t>
      </w:r>
      <w:r w:rsidR="00467519" w:rsidRPr="00553F11">
        <w:lastRenderedPageBreak/>
        <w:t>laiku ir bijis starptautiskā lūgumrakstu iesniegšanas procesa izveides priekšgalā un tam joprojām ir Eiropā visatvērtākā, demokrātiskākā un pārredzamākā lūgumrakstu iesniegšanas sistēma, kas nodrošina lūgumrakstu iesniedzēju aktīvu un īstenu līdzdalību Parlamenta darbībās; tā kā tad, kad pilsoņi izmanto savas tiesības iesniegt lūgumrakstu, viņi sagaida, ka ES iestādes sniegs pievienoto vērtību, proti, viņu problēmu risināšanā sadarbosies ar Komisiju un dalībvalstu iestādēm;</w:t>
      </w:r>
    </w:p>
    <w:p w:rsidR="0050341E" w:rsidRPr="00553F11" w:rsidRDefault="00BF3E87" w:rsidP="0050341E">
      <w:pPr>
        <w:pStyle w:val="NormalHanging12a"/>
      </w:pPr>
      <w:r w:rsidRPr="00553F11">
        <w:t>J</w:t>
      </w:r>
      <w:r w:rsidR="0050341E" w:rsidRPr="00553F11">
        <w:t>.</w:t>
      </w:r>
      <w:r w:rsidR="0050341E" w:rsidRPr="00553F11">
        <w:tab/>
        <w:t>tā kā informācija, ko lūgumrakstu iesniedzēji sniedz savos lūgumrakstos un komiteju sanāksmēs, kopā ar Komisijas novērtējumiem un dalībvalstu un citu struktūru atbildēm sniedz vērtīgu ieguldījumu citu parlamentāro komiteju darbā, jo pieņemamie lūgumraksti tiek nosūtīti attiecīgajai komitejai atzinuma vai informācijas sniegšanai; tā kā šā iemesla dēļ lūgumrakstiem var būt nozīme arī likumdošanas procesā, jo tie sniedz konkrētu atgriezenisko saiti par ES politikas ietekmi un ļauj ar politiku risināt jaunās vajadzības;</w:t>
      </w:r>
    </w:p>
    <w:p w:rsidR="0050341E" w:rsidRPr="00553F11" w:rsidRDefault="00BF3E87" w:rsidP="0050341E">
      <w:pPr>
        <w:pStyle w:val="NormalHanging12a"/>
      </w:pPr>
      <w:r w:rsidRPr="00553F11">
        <w:t>K</w:t>
      </w:r>
      <w:r w:rsidR="0050341E" w:rsidRPr="00553F11">
        <w:t>.</w:t>
      </w:r>
      <w:r w:rsidR="0050341E" w:rsidRPr="00553F11">
        <w:tab/>
        <w:t xml:space="preserve">tā kā Lūgumrakstu komitejas darbības pamatā ir lūgumrakstu iesniedzēju sniegtais ieguldījums, kas ļauj Parlamentam labāk reaģēt uz sūdzībām un bažām saistībā ar ES </w:t>
      </w:r>
      <w:proofErr w:type="spellStart"/>
      <w:r w:rsidR="0050341E" w:rsidRPr="00553F11">
        <w:t>pamattiesību</w:t>
      </w:r>
      <w:proofErr w:type="spellEnd"/>
      <w:r w:rsidR="0050341E" w:rsidRPr="00553F11">
        <w:t xml:space="preserve"> ievērošanu un ES tiesību aktu īstenošanu dalībvalstīs; tā kā šā iemesla dēļ lūgumraksti ir noderīgs informācijas avots par ES tiesību nepareizas piemērošanas vai pārkāpšanas gadījumiem, ļaujot novērtēt un piemērot ES tiesību aktus un novērtēt to ietekmi uz ES pilsoņu un iedzīvotāju tiesībām; tā kā 2023. gadā </w:t>
      </w:r>
      <w:proofErr w:type="spellStart"/>
      <w:r w:rsidR="0050341E" w:rsidRPr="00553F11">
        <w:t>pamattiesības</w:t>
      </w:r>
      <w:proofErr w:type="spellEnd"/>
      <w:r w:rsidR="0050341E" w:rsidRPr="00553F11">
        <w:t xml:space="preserve"> figurēja iesniegto lūgumrakstu pirmajā trijniekā; tā kā saistībā ar strukturēto dialogu ar Komisiju Lūgumrakstu komiteja aicināja Komisiju apkarot Eiropas Savienībā diskrimināciju, tai skaitā ar iniciatīvām, kas garantē vienlīdzīgas tiesības, un pastiprināt pasākumus, kas vērsti pret visu veidu diskrimināciju, tostarp dzimuma, rases, etniskās izcelsmes, invaliditātes, vecuma, reliģiskās piederības vai pārliecības un seksuālās orientācijas dēļ;</w:t>
      </w:r>
    </w:p>
    <w:p w:rsidR="0050341E" w:rsidRPr="00553F11" w:rsidRDefault="00BF3E87" w:rsidP="0050341E">
      <w:pPr>
        <w:pStyle w:val="NormalHanging12a"/>
        <w:rPr>
          <w:b/>
          <w:i/>
        </w:rPr>
      </w:pPr>
      <w:r w:rsidRPr="00553F11">
        <w:t>L</w:t>
      </w:r>
      <w:r w:rsidR="0050341E" w:rsidRPr="00553F11">
        <w:t>.</w:t>
      </w:r>
      <w:r w:rsidR="0050341E" w:rsidRPr="00553F11">
        <w:tab/>
        <w:t>tā kā saskaņā ar LES 17. pantu Komisijai ir jānodrošina Līgumu un saskaņā ar tiem pieņemto pasākumu pareiza piemērošana; tā kā Komisijas stratēģiskajai pieejai lūgumrakstos izvirzīto jautājumu risināšanai ir pilnībā jāatbilst Līgumiem, lai nodrošinātu visefektīvākos tālākos pasākumus saistībā ar lūgumrakstiem, lai garantētu pilnīgu un savlaicīgu no ES tiesību aktiem izrietošo pilsoņu tiesību aizsardzību;</w:t>
      </w:r>
    </w:p>
    <w:p w:rsidR="0050341E" w:rsidRPr="00553F11" w:rsidRDefault="00BF3E87" w:rsidP="0050341E">
      <w:pPr>
        <w:pStyle w:val="NormalHanging12a"/>
      </w:pPr>
      <w:r w:rsidRPr="00553F11">
        <w:t>M</w:t>
      </w:r>
      <w:r w:rsidR="0050341E" w:rsidRPr="00553F11">
        <w:t>.</w:t>
      </w:r>
      <w:r w:rsidR="0050341E" w:rsidRPr="00553F11">
        <w:tab/>
        <w:t xml:space="preserve">tā kā ikviens lūgumraksts ir jāizskata un jāpārbauda rūpīgi, efektīvi un pārredzami, kā to paredz Eiropas Savienības </w:t>
      </w:r>
      <w:proofErr w:type="spellStart"/>
      <w:r w:rsidR="0050341E" w:rsidRPr="00553F11">
        <w:t>Pamattiesību</w:t>
      </w:r>
      <w:proofErr w:type="spellEnd"/>
      <w:r w:rsidR="0050341E" w:rsidRPr="00553F11">
        <w:t xml:space="preserve"> hartas 41. pantā noteiktie standarti par tiesībām uz labu pārvaldību; tā kā visiem lūgumrakstu iesniedzējiem ir tiesības saprātīgā laikposmā saņemt atbildi, kas informē viņu par komitejas pieņemto lēmumu par </w:t>
      </w:r>
      <w:proofErr w:type="spellStart"/>
      <w:r w:rsidR="0050341E" w:rsidRPr="00553F11">
        <w:t>pieņemamību</w:t>
      </w:r>
      <w:proofErr w:type="spellEnd"/>
      <w:r w:rsidR="0050341E" w:rsidRPr="00553F11">
        <w:t xml:space="preserve"> un veiktajiem turpmākajiem pasākumiem, kas sniegta viņa valodā vai lūgumrakstā lietotajā valodā; tā kā savlaicīga un efektīva Komisijas un dalībvalstu reaģēšana uz jautājumiem, uz ko norādīts lūgumrakstos, kopā ar attiecīgā gadījumā risinājumiem, kā kompensēt nodarīto, palīdz uzlabot pilsoņu uzticēšanos Savienībai un tās politikai;</w:t>
      </w:r>
    </w:p>
    <w:p w:rsidR="0050341E" w:rsidRPr="00553F11" w:rsidRDefault="00BF3E87" w:rsidP="0050341E">
      <w:pPr>
        <w:pStyle w:val="NormalHanging12a"/>
      </w:pPr>
      <w:r w:rsidRPr="00553F11">
        <w:t>N</w:t>
      </w:r>
      <w:r w:rsidR="0050341E" w:rsidRPr="00553F11">
        <w:t>.</w:t>
      </w:r>
      <w:r w:rsidR="0050341E" w:rsidRPr="00553F11">
        <w:tab/>
        <w:t>tā kā Lūgumrakstu komiteja piešķir ārkārtīgi lielu nozīmi lūgumrakstu izskatīšanai un publiskai apspriešanai savās sanāksmēs; tā kā lūgumraksta iesniedzējiem ir tiesības prezentēt savu lūgumrakstu un viņi bieži vien piedalās apspriešanā, tādējādi aktīvi sniedzot ieguldījumu komitejas darbā; tā kā 2023. gadā Lūgumrakstu komiteja rīkoja 10 komitejas sanāksmes, kurās tika apspriests 191 lūgumraksts, piedaloties 114 lūgumrakstu iesniedzējiem, kas aktīvi iesaistījās uzstājoties;</w:t>
      </w:r>
    </w:p>
    <w:p w:rsidR="0050341E" w:rsidRPr="00553F11" w:rsidRDefault="00BF3E87" w:rsidP="0050341E">
      <w:pPr>
        <w:pStyle w:val="NormalHanging12a"/>
      </w:pPr>
      <w:r w:rsidRPr="00553F11">
        <w:t>O</w:t>
      </w:r>
      <w:r w:rsidR="0050341E" w:rsidRPr="00553F11">
        <w:t>.</w:t>
      </w:r>
      <w:r w:rsidR="0050341E" w:rsidRPr="00553F11">
        <w:tab/>
        <w:t xml:space="preserve">tā kā 2023. gadā iesniegtajos lūgumrakstos izvirzītie galvenie </w:t>
      </w:r>
      <w:proofErr w:type="spellStart"/>
      <w:r w:rsidR="0050341E" w:rsidRPr="00553F11">
        <w:t>problēmjautājumi</w:t>
      </w:r>
      <w:proofErr w:type="spellEnd"/>
      <w:r w:rsidR="0050341E" w:rsidRPr="00553F11">
        <w:t xml:space="preserve"> bija saistīti ar vidi, </w:t>
      </w:r>
      <w:proofErr w:type="spellStart"/>
      <w:r w:rsidR="0050341E" w:rsidRPr="00553F11">
        <w:t>pamattiesībām</w:t>
      </w:r>
      <w:proofErr w:type="spellEnd"/>
      <w:r w:rsidR="0050341E" w:rsidRPr="00553F11">
        <w:t>, personīgiem jautājumiem un tieslietām;</w:t>
      </w:r>
    </w:p>
    <w:p w:rsidR="0050341E" w:rsidRPr="00553F11" w:rsidRDefault="00BF3E87" w:rsidP="0050341E">
      <w:pPr>
        <w:pStyle w:val="NormalHanging12a"/>
      </w:pPr>
      <w:r w:rsidRPr="00553F11">
        <w:lastRenderedPageBreak/>
        <w:t>P</w:t>
      </w:r>
      <w:r w:rsidR="0050341E" w:rsidRPr="00553F11">
        <w:t>.</w:t>
      </w:r>
      <w:r w:rsidR="0050341E" w:rsidRPr="00553F11">
        <w:rPr>
          <w:color w:val="FF0000"/>
        </w:rPr>
        <w:t xml:space="preserve"> </w:t>
      </w:r>
      <w:r w:rsidR="0050341E" w:rsidRPr="00553F11">
        <w:rPr>
          <w:color w:val="FF0000"/>
        </w:rPr>
        <w:tab/>
      </w:r>
      <w:r w:rsidR="0050341E" w:rsidRPr="00553F11">
        <w:t>tā kā Lūgumrakstu komiteja, pieņemot sanāksmes darba kārtību, pievērš uzmanību lūgumrakstiem un tematiem, kas ir būtiski apspriešanas ES līmenī ziņā, un nepieciešamībai saglabāt līdzsvarotu ģeogrāfisko pārstāvību — atbilstīgi saņemtajiem lūgumrakstiem;</w:t>
      </w:r>
    </w:p>
    <w:p w:rsidR="0050341E" w:rsidRPr="00553F11" w:rsidRDefault="00BF3E87" w:rsidP="0050341E">
      <w:pPr>
        <w:pStyle w:val="NormalHanging12a"/>
      </w:pPr>
      <w:r w:rsidRPr="00553F11">
        <w:t>Q</w:t>
      </w:r>
      <w:r w:rsidR="0050341E" w:rsidRPr="00553F11">
        <w:t>.</w:t>
      </w:r>
      <w:r w:rsidR="0050341E" w:rsidRPr="00553F11">
        <w:tab/>
        <w:t>tā kā 82,4 % no 2023. gadā saņemtajiem lūgumrakstiem tika iesniegti Parlamenta Lūgumrakstu portālā, kas ir neliels pieaugums salīdzinājumā ar 2022. gadu (79,05 %), tādējādi vēlreiz apstiprinot, ka tas pilsoņiem ir kļuvis par visbiežāk izmantoto kanālu lūgumrakstu iesniegšanai Parlamentam;</w:t>
      </w:r>
    </w:p>
    <w:p w:rsidR="0050341E" w:rsidRPr="00553F11" w:rsidRDefault="00BF3E87" w:rsidP="0050341E">
      <w:pPr>
        <w:pStyle w:val="NormalHanging12a"/>
      </w:pPr>
      <w:r w:rsidRPr="00553F11">
        <w:t>R</w:t>
      </w:r>
      <w:r w:rsidR="0050341E" w:rsidRPr="00553F11">
        <w:t>.</w:t>
      </w:r>
      <w:r w:rsidR="0050341E" w:rsidRPr="00553F11">
        <w:tab/>
        <w:t>tā kā 2023. gada februārī Lūgumrakstu portāls tika pārveidots un atkārtoti palaists, lai tas atbilstu pašreizējām vajadzībām un nodrošinātu iespēju dalībvalstu iedzīvotājiem ērtāk īstenot savas tiesības iesniegt lūgumrakstus Parlamentam; tā kā atjauninātais Lūgumrakstu portāls (versija 2.0) ir sekmīgi integrēts Parlamenta tīmekļa publicēšanas rīkā, nodrošinot ātrāku un vienkāršāku satura atjaunināšanu un jaunas funkcijas (tostarp septiņas ātrās uzsākšanas pamācības, kas ietver skaidrus un pakāpeniskus norādījumus par lūgumrakstu iesniegšanu, izsekošanu un atbalstīšanu); tā kā jaunā meklētājprogramma, kuras pamatā ir elastīga meklēšanas tehnoloģija, uzlabo lietotāju pieredzi, jo tā efektīvi nodrošina precīzākus rezultātus jaunajā portālā, kurā prioritāte ir uz iedzīvotājiem vērsta pieeja; tā kā 2023. gadā visi lūgumraksti tika sagatavoti un publicēti savlaicīgi, dažu dienu laikā pēc to pieņemšanas, un visi iekšējie un ārējie atbalsta pieprasījumi attiecībā uz Lūgumrakstu portāla izmantošanu un saturu tika sekmīgi, savlaicīgi un visās valodās apmierināti;</w:t>
      </w:r>
    </w:p>
    <w:p w:rsidR="0050341E" w:rsidRPr="00553F11" w:rsidRDefault="00BF3E87" w:rsidP="0050341E">
      <w:pPr>
        <w:pStyle w:val="NormalHanging12a"/>
      </w:pPr>
      <w:r w:rsidRPr="00553F11">
        <w:t>S</w:t>
      </w:r>
      <w:r w:rsidR="0050341E" w:rsidRPr="00553F11">
        <w:t>.</w:t>
      </w:r>
      <w:r w:rsidR="0050341E" w:rsidRPr="00553F11">
        <w:tab/>
        <w:t xml:space="preserve">tā kā 2023. gadā Lūgumrakstu komiteja (PETI) rīkoja četrus faktu vākšanas braucienus, kuru laikā deputāti devās uz Rumāniju, lai pārbaudītu brūno lāču populācijas pārvaldību un aizsardzību un nelikumīgu mežizstrādi, uz </w:t>
      </w:r>
      <w:proofErr w:type="spellStart"/>
      <w:r w:rsidR="0050341E" w:rsidRPr="00553F11">
        <w:t>Donegalu</w:t>
      </w:r>
      <w:proofErr w:type="spellEnd"/>
      <w:r w:rsidR="0050341E" w:rsidRPr="00553F11">
        <w:t xml:space="preserve"> (Īrija), lai izmeklētu defektīvu vizlu saturošu bloku izmantošanu būvniecībā Īrijā, un uz Kataloniju (Spānija), lai </w:t>
      </w:r>
      <w:proofErr w:type="spellStart"/>
      <w:r w:rsidR="0050341E" w:rsidRPr="00553F11">
        <w:rPr>
          <w:i/>
          <w:iCs/>
        </w:rPr>
        <w:t>in</w:t>
      </w:r>
      <w:proofErr w:type="spellEnd"/>
      <w:r w:rsidR="0050341E" w:rsidRPr="00553F11">
        <w:rPr>
          <w:i/>
          <w:iCs/>
        </w:rPr>
        <w:t xml:space="preserve"> situ</w:t>
      </w:r>
      <w:r w:rsidR="0050341E" w:rsidRPr="00553F11">
        <w:t xml:space="preserve"> novērtētu valodas </w:t>
      </w:r>
      <w:proofErr w:type="spellStart"/>
      <w:r w:rsidR="0050341E" w:rsidRPr="00553F11">
        <w:t>imersijas</w:t>
      </w:r>
      <w:proofErr w:type="spellEnd"/>
      <w:r w:rsidR="0050341E" w:rsidRPr="00553F11">
        <w:t xml:space="preserve"> modeli Katalonijā; tā kā PETI komitejas locekļi bija arī Nodarbinātības un sociālo lietu komitejas, Pilsoņu brīvību, tieslietu un </w:t>
      </w:r>
      <w:proofErr w:type="spellStart"/>
      <w:r w:rsidR="0050341E" w:rsidRPr="00553F11">
        <w:t>iekšlietu</w:t>
      </w:r>
      <w:proofErr w:type="spellEnd"/>
      <w:r w:rsidR="0050341E" w:rsidRPr="00553F11">
        <w:t xml:space="preserve"> komitejas un PETI komitejas kopīgajā delegācijā, kas devās uz Ņujorku, lai piedalītos Konvencijas par personu ar invaliditāti tiesībām (CRPD COSP) dalībvalstu konferences 16. sesijā;</w:t>
      </w:r>
    </w:p>
    <w:p w:rsidR="0050341E" w:rsidRPr="00553F11" w:rsidRDefault="00BF3E87" w:rsidP="0050341E">
      <w:pPr>
        <w:pStyle w:val="NormalHanging12a"/>
      </w:pPr>
      <w:r w:rsidRPr="00553F11">
        <w:t>T</w:t>
      </w:r>
      <w:r w:rsidR="0050341E" w:rsidRPr="00553F11">
        <w:t>.</w:t>
      </w:r>
      <w:r w:rsidR="0050341E" w:rsidRPr="00553F11">
        <w:tab/>
        <w:t xml:space="preserve">tā kā saskaņā ar Parlamenta Reglamentu Lūgumrakstu komiteja ir arī atbildīga par attiecībām ar Eiropas </w:t>
      </w:r>
      <w:proofErr w:type="spellStart"/>
      <w:r w:rsidR="0050341E" w:rsidRPr="00553F11">
        <w:t>Ombudu</w:t>
      </w:r>
      <w:proofErr w:type="spellEnd"/>
      <w:r w:rsidR="0050341E" w:rsidRPr="00553F11">
        <w:t xml:space="preserve">, kas izmeklē sūdzības par ES iestāžu un struktūru administratīvām kļūmēm; tā kā iepriekšējā Eiropas </w:t>
      </w:r>
      <w:proofErr w:type="spellStart"/>
      <w:r w:rsidR="0050341E" w:rsidRPr="00553F11">
        <w:t>ombude</w:t>
      </w:r>
      <w:proofErr w:type="spellEnd"/>
      <w:r w:rsidR="0050341E" w:rsidRPr="00553F11">
        <w:t xml:space="preserve"> </w:t>
      </w:r>
      <w:proofErr w:type="spellStart"/>
      <w:r w:rsidR="0050341E" w:rsidRPr="00553F11">
        <w:rPr>
          <w:i/>
        </w:rPr>
        <w:t>Emily</w:t>
      </w:r>
      <w:proofErr w:type="spellEnd"/>
      <w:r w:rsidR="0050341E" w:rsidRPr="00553F11">
        <w:rPr>
          <w:i/>
        </w:rPr>
        <w:t xml:space="preserve"> </w:t>
      </w:r>
      <w:proofErr w:type="spellStart"/>
      <w:r w:rsidR="0050341E" w:rsidRPr="00553F11">
        <w:rPr>
          <w:i/>
        </w:rPr>
        <w:t>O’Reilly</w:t>
      </w:r>
      <w:proofErr w:type="spellEnd"/>
      <w:r w:rsidR="0050341E" w:rsidRPr="00553F11">
        <w:t xml:space="preserve"> savu 2022. gada ziņojumu Lūgumrakstu komitejai iesniedza tās 2023. gada 27. jūnija sanāksmē;</w:t>
      </w:r>
    </w:p>
    <w:p w:rsidR="0050341E" w:rsidRPr="00553F11" w:rsidRDefault="00BF3E87" w:rsidP="0050341E">
      <w:pPr>
        <w:pStyle w:val="NormalHanging12a"/>
      </w:pPr>
      <w:r w:rsidRPr="00553F11">
        <w:t>U</w:t>
      </w:r>
      <w:r w:rsidR="0050341E" w:rsidRPr="00553F11">
        <w:t>.</w:t>
      </w:r>
      <w:r w:rsidR="0050341E" w:rsidRPr="00553F11">
        <w:tab/>
        <w:t xml:space="preserve">tā kā Lūgumrakstu komiteja ir iesaistījusies Eiropas </w:t>
      </w:r>
      <w:proofErr w:type="spellStart"/>
      <w:r w:rsidR="0050341E" w:rsidRPr="00553F11">
        <w:t>ombudu</w:t>
      </w:r>
      <w:proofErr w:type="spellEnd"/>
      <w:r w:rsidR="0050341E" w:rsidRPr="00553F11">
        <w:t xml:space="preserve"> tīklā, pie kura pieder arī Eiropas </w:t>
      </w:r>
      <w:proofErr w:type="spellStart"/>
      <w:r w:rsidR="0050341E" w:rsidRPr="00553F11">
        <w:t>Ombuds</w:t>
      </w:r>
      <w:proofErr w:type="spellEnd"/>
      <w:r w:rsidR="0050341E" w:rsidRPr="00553F11">
        <w:t xml:space="preserve">, valsts un reģionālie </w:t>
      </w:r>
      <w:proofErr w:type="spellStart"/>
      <w:r w:rsidR="0050341E" w:rsidRPr="00553F11">
        <w:t>ombudi</w:t>
      </w:r>
      <w:proofErr w:type="spellEnd"/>
      <w:r w:rsidR="0050341E" w:rsidRPr="00553F11">
        <w:t xml:space="preserve"> un līdzīgas dalībvalstu, kandidātvalstu un citu Eiropas Ekonomikas zonas valstu struktūras un kurš tiecas sekmēt informācijas apmaiņu par ES tiesību aktiem un politiku un dalīties ar </w:t>
      </w:r>
      <w:proofErr w:type="spellStart"/>
      <w:r w:rsidR="0050341E" w:rsidRPr="00553F11">
        <w:t>paraugpraksi</w:t>
      </w:r>
      <w:proofErr w:type="spellEnd"/>
      <w:r w:rsidR="0050341E" w:rsidRPr="00553F11">
        <w:t>,</w:t>
      </w:r>
    </w:p>
    <w:p w:rsidR="0050341E" w:rsidRPr="00553F11" w:rsidRDefault="0050341E" w:rsidP="0050341E">
      <w:pPr>
        <w:pStyle w:val="NormalHanging12a"/>
      </w:pPr>
      <w:r w:rsidRPr="00553F11">
        <w:t>1.</w:t>
      </w:r>
      <w:r w:rsidRPr="00553F11">
        <w:tab/>
        <w:t>uzsver Lūgumrakstu komitejas būtisko lomu ES pilsoņu un iedzīvotāju tiesību aizsardzībā un veicināšanā, jo šī komiteja nodrošina, ka lūgumrakstu iesniedzēju bažas un sūdzības tiek izskatītas savlaicīgi, efektīvi un atbilstīgi un ka visi lūgumrakstu iesniedzēji tiek informēti par veiktajām darbībām un progresu, kas panākts saistībā ar viņu lūgumrakstiem; atgādina, ka visi lūgumraksti tiek izskatīti atklātā, demokrātiskā un pārredzamā lūgumrakstu izskatīšanas procesā;</w:t>
      </w:r>
    </w:p>
    <w:p w:rsidR="000D125D" w:rsidRPr="00553F11" w:rsidRDefault="00553F11" w:rsidP="0050341E">
      <w:pPr>
        <w:pStyle w:val="NormalHanging12a"/>
      </w:pPr>
      <w:r w:rsidRPr="00553F11">
        <w:lastRenderedPageBreak/>
        <w:t>2</w:t>
      </w:r>
      <w:r w:rsidR="000D125D" w:rsidRPr="00553F11">
        <w:t>.</w:t>
      </w:r>
      <w:r w:rsidR="000D125D" w:rsidRPr="00553F11">
        <w:tab/>
        <w:t xml:space="preserve">atzinīgi vērtē būtisko darbu, ko Lūgumrakstu komiteja paveikusi saistībā ar lūgumrakstiem par </w:t>
      </w:r>
      <w:proofErr w:type="spellStart"/>
      <w:r w:rsidR="000D125D" w:rsidRPr="00553F11">
        <w:t>Akamas</w:t>
      </w:r>
      <w:proofErr w:type="spellEnd"/>
      <w:r w:rsidR="000D125D" w:rsidRPr="00553F11">
        <w:t xml:space="preserve"> pussalu, kas ir bioloģiski visdaudzveidīgākā Kipras teritorija, kura gadu desmitiem ir piedzīvojusi atkārtotus sistēmiskus Dzīvotņu direktīvas</w:t>
      </w:r>
      <w:r w:rsidR="000D125D" w:rsidRPr="00553F11">
        <w:rPr>
          <w:rStyle w:val="FootnoteReference"/>
        </w:rPr>
        <w:footnoteReference w:id="2"/>
      </w:r>
      <w:r w:rsidR="000D125D" w:rsidRPr="00553F11">
        <w:t xml:space="preserve"> un Putnu direktīvas</w:t>
      </w:r>
      <w:r w:rsidR="000D125D" w:rsidRPr="00553F11">
        <w:rPr>
          <w:rStyle w:val="FootnoteReference"/>
        </w:rPr>
        <w:footnoteReference w:id="3"/>
      </w:r>
      <w:r w:rsidR="000D125D" w:rsidRPr="00553F11">
        <w:t xml:space="preserve"> pārkāpumus, jo trūkst efektīvu un juridiski saistošu pasākumu šīs teritorijas aizsardzībai, un ņemot vērā Kipras kompetento iestāžu nesenos plānus, kas postoši ietekmēs šīs teritorijas ļoti trauslās dabiskās ekosistēmas, pārkāpjot ES vides tiesību aktus; uzsver, ka pēc Lūgumrakstu komitejas darba šajā jautājumā Komisija 2024. gada 13. martā nolēma vērsties Eiropas Savienības Tiesā (EST) pret Kipru par to, ka Kipras iestādes nav ievērojušas Dzīvotņu direktīvu; pauž nožēlu par to, ka laikā, kas pagājis kopš minētā lēmuma, proti, vairāk nekā gadu, Komisija nav iesniegusi lietu EST un tādējādi nav oficiāli uzsākusi tiesvedību;</w:t>
      </w:r>
    </w:p>
    <w:p w:rsidR="000D125D" w:rsidRPr="00553F11" w:rsidRDefault="00553F11" w:rsidP="0050341E">
      <w:pPr>
        <w:pStyle w:val="NormalHanging12a"/>
      </w:pPr>
      <w:r w:rsidRPr="00553F11">
        <w:t>3</w:t>
      </w:r>
      <w:r w:rsidR="000D125D" w:rsidRPr="00553F11">
        <w:t>.</w:t>
      </w:r>
      <w:r w:rsidR="000D125D" w:rsidRPr="00553F11">
        <w:tab/>
        <w:t>uzsver Lūgumrakstu komitejas galveno darbu saistībā ar darba ņēmēju tiesību aizsardzību pret diskrimināciju un terminētu līgumu ļaunprātīgu izmantošanu Itālijas publiskajā sektorā; atzinīgi vērtē to, ka Komisija ir pienācīgi ņēmusi vērā lūgumrakstu iesniedzēju iesniegtos ļoti pamatotos juridiskos dokumentus, kas tika rūpīgi izvērtēti dažādās Lūgumrakstu komitejas sanāksmēs, kad tā nolēma vērsties EST pret Itāliju par to, ka tā nav izbeigusi terminētu līgumu ļaunprātīgu izmantošanu un diskriminējošus darba nosacījumus, tādējādi pārkāpjot Padomes Direktīvu 1999/70/EK;</w:t>
      </w:r>
    </w:p>
    <w:p w:rsidR="00553F11" w:rsidRPr="00553F11" w:rsidRDefault="00553F11" w:rsidP="00553F11">
      <w:pPr>
        <w:pStyle w:val="NormalHanging12a"/>
      </w:pPr>
      <w:r w:rsidRPr="00553F11">
        <w:t>4.</w:t>
      </w:r>
      <w:r w:rsidRPr="00553F11">
        <w:tab/>
        <w:t xml:space="preserve">uzteic PETI komiteju par to, ka tā ir izskatījusi lūgumrakstu Nr. 1168/2023, ko asociācijas “Kopā mēs ceļam labklājību” vārdā iesniedza </w:t>
      </w:r>
      <w:proofErr w:type="spellStart"/>
      <w:r w:rsidRPr="00553F11">
        <w:rPr>
          <w:i/>
        </w:rPr>
        <w:t>Mihai</w:t>
      </w:r>
      <w:proofErr w:type="spellEnd"/>
      <w:r w:rsidRPr="00553F11">
        <w:rPr>
          <w:i/>
        </w:rPr>
        <w:t xml:space="preserve"> </w:t>
      </w:r>
      <w:proofErr w:type="spellStart"/>
      <w:r w:rsidRPr="00553F11">
        <w:rPr>
          <w:i/>
        </w:rPr>
        <w:t>Igna</w:t>
      </w:r>
      <w:proofErr w:type="spellEnd"/>
      <w:r w:rsidRPr="00553F11">
        <w:t xml:space="preserve"> un kurā aicināts atgūt Rumānijas nacionālo bagātību un vēsturiskos arhīvus, kas pašlaik atrodas Krievijā; uzsver šo debašu lielo vēsturisko nozīmi visām tām dalībvalstīm, kuras izlaupījusi Krievija, jo īpaši saistībā ar notiekošo karu Ukrainā, jo tas izgaismo plašākas problēmas, kas saistītas ar kultūras saglabāšanu un nacionālā mantojuma aizsardzību ģeopolitiskā konflikta laikā; uzsver, ka PETI komitejas iesaistīšanās šajā jautājumā apliecina tās apņemšanos ievērot ES pilsoņu un dalībvalstu tiesības, aizsargāt Rumānijas vēsturisko mantojumu un starptautiski atbalstīt tās likumīgās prasības; atgādina par pēc tam plenārsēdē pieņemto rezolūciju par Krievijas piesavinātās nacionālas bagātības atdošanu Rumānijai</w:t>
      </w:r>
      <w:r w:rsidRPr="00553F11">
        <w:rPr>
          <w:rStyle w:val="FootnoteReference"/>
        </w:rPr>
        <w:footnoteReference w:id="4"/>
      </w:r>
      <w:r w:rsidRPr="00553F11">
        <w:t>;</w:t>
      </w:r>
    </w:p>
    <w:p w:rsidR="0050341E" w:rsidRPr="00553F11" w:rsidRDefault="00BF3E87" w:rsidP="0050341E">
      <w:pPr>
        <w:pStyle w:val="NormalHanging12a"/>
      </w:pPr>
      <w:r w:rsidRPr="00553F11">
        <w:t>5</w:t>
      </w:r>
      <w:r w:rsidR="0050341E" w:rsidRPr="00553F11">
        <w:t>.</w:t>
      </w:r>
      <w:r w:rsidR="0050341E" w:rsidRPr="00553F11">
        <w:tab/>
      </w:r>
      <w:r w:rsidR="00AE0E9D" w:rsidRPr="00553F11">
        <w:t xml:space="preserve">atkārtoti uzsver, cik svarīgi ir pastāvīgi rīkot publiskas debates par ES darbības jomām, lai nodrošinātu, ka iedzīvotāji ir pienācīgi informēti par ES kompetences jomām un dažādiem lēmumu pieņemšanas līmeņiem; aicina sadarbībā ar valstu un reģionālajiem </w:t>
      </w:r>
      <w:proofErr w:type="spellStart"/>
      <w:r w:rsidR="00AE0E9D" w:rsidRPr="00553F11">
        <w:t>ombudiem</w:t>
      </w:r>
      <w:proofErr w:type="spellEnd"/>
      <w:r w:rsidR="00AE0E9D" w:rsidRPr="00553F11">
        <w:t xml:space="preserve">, NVO un izglītības iestādēm visā ES izvērst informācijas un komunikācijas kampaņu, kam nav papildu izmaksu (t. i., tiek izmantoti esošie Eiropas Parlamenta vietējo biroju resursi) visās oficiālajās ES valodās, lai visu dalībvalstu pilsoņu vidū palielinātu informētību par tiesībām iesniegt lūgumrakstu, īpaši uzrunājot cilvēkus no laukiem, nelabvēlīgā situācijā esošām kopienām, </w:t>
      </w:r>
      <w:proofErr w:type="spellStart"/>
      <w:r w:rsidR="00AE0E9D" w:rsidRPr="00553F11">
        <w:t>marginalizētās</w:t>
      </w:r>
      <w:proofErr w:type="spellEnd"/>
      <w:r w:rsidR="00AE0E9D" w:rsidRPr="00553F11">
        <w:t xml:space="preserve"> grupas, kā arī cilvēkus attālos reģionos un salās; ierosina veidā, kas nerada papildu izmaksas, paplašināt šos uzrunāšanas centienus, izmantojot sociālos medijus un vietējo kopienu rīkotus pasākumus, uzsver nepieciešamību paplašināt sabiedrības informētību un rīkot plašākas izpratnes veidošanas kampaņas, aktīvi iesaistot komunikācijas dienestus, lai palīdzētu </w:t>
      </w:r>
      <w:r w:rsidR="00AE0E9D" w:rsidRPr="00553F11">
        <w:lastRenderedPageBreak/>
        <w:t>uzlabot iedzīvotāju zināšanas par viņu tiesībām iesniegt lūgumrakstus, kā arī par ES atbildības jomām un Lūgumrakstu komitejas kompetencēm un tādējādi samazinātu nepieņemamu lūgumrakstu skaitu un palielinātu pilsoņu iesaistīšanos lēmumu pieņemšanā; iesaka uzlabot Lūgumrakstu portāla digitālo pieejamību, tai skaitā pielāgojot to cilvēkiem ar invaliditāti un uzlabojot tulkojumu visās oficiālajās ES valodās kvalitāti; iesaka izpētīt esošo IT rīku potenciālu palielināt pilsoņu atbalstu portālam, tostarp izpētīt iespējas pāradresēt uz attiecīgajiem sūdzību iesniegšanas mehānismiem;</w:t>
      </w:r>
    </w:p>
    <w:p w:rsidR="0050341E" w:rsidRPr="00553F11" w:rsidRDefault="00BF3E87" w:rsidP="0050341E">
      <w:pPr>
        <w:pStyle w:val="NormalHanging12a"/>
      </w:pPr>
      <w:r w:rsidRPr="00553F11">
        <w:t>6</w:t>
      </w:r>
      <w:r w:rsidR="0050341E" w:rsidRPr="00553F11">
        <w:t>.</w:t>
      </w:r>
      <w:r w:rsidR="0050341E" w:rsidRPr="00553F11">
        <w:tab/>
        <w:t>atgādina par Lūgumrakstu komitejas Eiropas dimensiju, proti, visu 27 dalībvalstu iedzīvotājiem ir iespēja vērsties pie tās jautājumos, kas ietilpst ES līgumu un ES tiesību aktu darbības jomā; uzskata, ka komitejai ir īpaša atbildība atbalstīt šo Eiropas dimensiju un apliecināt iedzīvotājiem Eiropas vienotības un integrācijas pievienoto vērtību;</w:t>
      </w:r>
      <w:r w:rsidR="00AE0E9D" w:rsidRPr="00553F11">
        <w:t xml:space="preserve"> uzsver, ka Eiropas dimensijas pamatā jābūt solidaritātei, sociālo un ekonomisko tiesību veicināšanai, mazākumtautību valodu un kultūru aizsardzībai un aktīvai cīņai pret klimata pārmaiņām;</w:t>
      </w:r>
    </w:p>
    <w:p w:rsidR="0050341E" w:rsidRPr="00553F11" w:rsidRDefault="00BF3E87" w:rsidP="0050341E">
      <w:pPr>
        <w:pStyle w:val="NormalHanging12a"/>
      </w:pPr>
      <w:r w:rsidRPr="00553F11">
        <w:t>7</w:t>
      </w:r>
      <w:r w:rsidR="0050341E" w:rsidRPr="00553F11">
        <w:t>.</w:t>
      </w:r>
      <w:r w:rsidR="0050341E" w:rsidRPr="00553F11">
        <w:tab/>
        <w:t xml:space="preserve">norāda, ka lūgumraksti ir unikāla iespēja Parlamentam un citām ES iestādēm tieši sazināties ar ES iedzīvotājiem un uzturēt ar tiem regulāru dialogu, it īpaši gadījumos, kad tos ietekmē ES tiesību aktu nepareiza piemērošana vai pārkāpumi; uzsver vajadzību veicināt ES iestāžu sadarbību ar valsts, reģionālajām un vietējām iestādēm jautājumos, kas ir saistīti ar ES tiesību aktu īstenošanu un ievērošanu; uzskata, ka šādai sadarbībai ir izšķiroša nozīme, kad tiek risinātas un kliedētas iedzīvotāju bažas par ES tiesību aktu piemērošanu, un tā veicina ES demokrātiskās leģitimitātes un </w:t>
      </w:r>
      <w:proofErr w:type="spellStart"/>
      <w:r w:rsidR="0050341E" w:rsidRPr="00553F11">
        <w:t>pārskatatbildības</w:t>
      </w:r>
      <w:proofErr w:type="spellEnd"/>
      <w:r w:rsidR="0050341E" w:rsidRPr="00553F11">
        <w:t xml:space="preserve"> stiprināšanu; tādēļ aicina dalībvalstu pārstāvjus piedalīties komitejas sanāksmēs un savlaicīgi un izsmeļoši reaģēt uz Lūgumrakstu komitejas lūgumiem sniegt paskaidrojumus vai atbildēt uz informāciju, ko tā ir nosūtījusi valstu iestādēm;</w:t>
      </w:r>
      <w:r w:rsidR="00AE0E9D" w:rsidRPr="00553F11">
        <w:t xml:space="preserve"> norāda, ka 2023. gadā ir palielinājies to lūgumrakstu skaits, kas norāda uz strukturālām atšķirībām, tostarp atalgojuma un pensijas ienākumu ziņā starp iedzīvotāju grupām; prasa šīs bažas sistemātiski analizēt un risināt, koordinējot rīcību ar attiecīgajām komitejām un Komisiju; turklāt aicina uzlabot aizsardzību un atbalstu personām, kuras pakļautas izmantošanai vai atstumtībai un saskaras ar šķēršļiem piekļuvē pienācīgiem atbalsta mehānismiem un tiesiskumam;</w:t>
      </w:r>
    </w:p>
    <w:p w:rsidR="0050341E" w:rsidRPr="00553F11" w:rsidRDefault="00BF3E87" w:rsidP="0050341E">
      <w:pPr>
        <w:pStyle w:val="NormalHanging12a"/>
      </w:pPr>
      <w:r w:rsidRPr="00553F11">
        <w:t>8</w:t>
      </w:r>
      <w:r w:rsidR="0050341E" w:rsidRPr="00553F11">
        <w:t>.</w:t>
      </w:r>
      <w:r w:rsidR="0050341E" w:rsidRPr="00553F11">
        <w:tab/>
        <w:t xml:space="preserve">atgādina, ka lūgumraksti ievērojami veicina Komisijas kā Līgumu ievērošanas </w:t>
      </w:r>
      <w:proofErr w:type="spellStart"/>
      <w:r w:rsidR="0050341E" w:rsidRPr="00553F11">
        <w:t>uzraudzītājiestādes</w:t>
      </w:r>
      <w:proofErr w:type="spellEnd"/>
      <w:r w:rsidR="0050341E" w:rsidRPr="00553F11">
        <w:t xml:space="preserve"> lomu, nodrošinot pilsoņiem papildu instrumentu ziņošanai par iespējamiem ES tiesību aktu pārkāpumiem; uzsver, ka Lūgumrakstu komitejas un Komisijas konstruktīva sadarbība, izmantojot savlaicīgas un detalizētas Komisijas atbildes, kuru pamatā būtu lūgumrakstos izvirzīto jautājumu rūpīga pārbaude, ir būtiska, lai nodrošinātu lūgumrakstu sekmīgu izskatīšanu;</w:t>
      </w:r>
    </w:p>
    <w:p w:rsidR="0050341E" w:rsidRPr="00553F11" w:rsidRDefault="00BF3E87" w:rsidP="0050341E">
      <w:pPr>
        <w:pStyle w:val="NormalHanging12a"/>
      </w:pPr>
      <w:r w:rsidRPr="00553F11">
        <w:t>9</w:t>
      </w:r>
      <w:r w:rsidR="0050341E" w:rsidRPr="00553F11">
        <w:t>.</w:t>
      </w:r>
      <w:r w:rsidR="0050341E" w:rsidRPr="00553F11">
        <w:tab/>
        <w:t xml:space="preserve">atkārtoti aicina Komisiju sniegt juridiskus skaidrojumus par galvenajiem kritērijiem, kas ir ES tiesību piemērošanas stratēģijas pamatā, regulāri informēt Lūgumrakstu komiteju par pārkāpuma procedūru gaitu un nodrošināt, ka Lūgumrakstu komiteja var piekļūt visiem dokumentiem un attiecīgajai informācijai par pārkāpuma procedūrām un likumdošanas iniciatīvām, kas sāktas, pamatojoties uz saņemtajiem lūgumrakstiem, un par EU Pilot procedūrām; uzskata, ka lielāka </w:t>
      </w:r>
      <w:proofErr w:type="spellStart"/>
      <w:r w:rsidR="0050341E" w:rsidRPr="00553F11">
        <w:t>pārredzamība</w:t>
      </w:r>
      <w:proofErr w:type="spellEnd"/>
      <w:r w:rsidR="0050341E" w:rsidRPr="00553F11">
        <w:t xml:space="preserve"> un regulāra atgriezeniskā saite par to, kā Komisija izskata notiekošās pārkāpuma procedūras, labvēlīgi ietekmētu komitejas turpmākos pasākumus saistībā ar iesniegtajiem lūgumrakstiem; atzinīgi vērtē Komisijas neseno iniciatīvu iekļaut lūgumrakstus Komisijas pārkāpumu reģistra meklēšanas sistēmā; uzsver, ka ir svarīgi, lai Komisija veiktu savlaicīgu izmeklēšanu saistībā ar tiem lūgumrakstiem, kuros norādīts uz tādiem tiesību pārkāpumiem, kas skar </w:t>
      </w:r>
      <w:r w:rsidR="0050341E" w:rsidRPr="00553F11">
        <w:lastRenderedPageBreak/>
        <w:t xml:space="preserve">lielu skaitu ES pilsoņu un iedzīvotāju, nepieciešamības gadījumā apspriežoties ar attiecīgās valsts </w:t>
      </w:r>
      <w:proofErr w:type="spellStart"/>
      <w:r w:rsidR="0050341E" w:rsidRPr="00553F11">
        <w:t>ombudu</w:t>
      </w:r>
      <w:proofErr w:type="spellEnd"/>
      <w:r w:rsidR="0050341E" w:rsidRPr="00553F11">
        <w:t xml:space="preserve">; pauž bažas par veidu, kā Komisija apietas ar daļu pret dalībvalstīm uzsākto pārkāpuma procedūru, tostarp gadījumos, kad uz problēmu norādīts lielā daudzumā lūgumrakstu; mudina Komisiju ieviest visus pasākumus, kas nepieciešami, lai uzlabotu pārkāpuma procedūru pārvaldības </w:t>
      </w:r>
      <w:proofErr w:type="spellStart"/>
      <w:r w:rsidR="0050341E" w:rsidRPr="00553F11">
        <w:t>pārredzamību</w:t>
      </w:r>
      <w:proofErr w:type="spellEnd"/>
      <w:r w:rsidR="0050341E" w:rsidRPr="00553F11">
        <w:t xml:space="preserve"> un efektivitāti, jo citādi pilsoņiem tās liekas neizprotamas;</w:t>
      </w:r>
    </w:p>
    <w:p w:rsidR="0050341E" w:rsidRPr="00553F11" w:rsidRDefault="00BF3E87" w:rsidP="0050341E">
      <w:pPr>
        <w:pStyle w:val="NormalHanging12a"/>
      </w:pPr>
      <w:r w:rsidRPr="00553F11">
        <w:t>10</w:t>
      </w:r>
      <w:r w:rsidR="0050341E" w:rsidRPr="00553F11">
        <w:t>.</w:t>
      </w:r>
      <w:r w:rsidR="0050341E" w:rsidRPr="00553F11">
        <w:tab/>
        <w:t xml:space="preserve">aicina Komisiju izvērtēt, vai valstu iestādes veic vajadzīgos pasākumus, ar kuriem reaģē uz iedzīvotāju bažām, kas ir paustas viņu lūgumrakstos gadījumos, kad netiek ievēroti ES tiesību akti, un vajadzības gadījumā uzsākt pārkāpuma procedūru; uzsver, ka savlaicīgai un </w:t>
      </w:r>
      <w:proofErr w:type="spellStart"/>
      <w:r w:rsidR="0050341E" w:rsidRPr="00553F11">
        <w:t>proaktīvai</w:t>
      </w:r>
      <w:proofErr w:type="spellEnd"/>
      <w:r w:rsidR="0050341E" w:rsidRPr="00553F11">
        <w:t xml:space="preserve"> Komisijas rīcībai ES tiesību aktu pārkāpumu gadījumos ir izšķiroša nozīme, lai novērstu to, ka šie pārkāpumi kļūst par sistēmiskiem pārkāpumiem, kas var mazināt pilsoņu uzticēšanos Eiropas iestādēm;</w:t>
      </w:r>
      <w:r w:rsidR="00AE0E9D" w:rsidRPr="00553F11">
        <w:t xml:space="preserve"> </w:t>
      </w:r>
    </w:p>
    <w:p w:rsidR="00D220CB" w:rsidRPr="00553F11" w:rsidRDefault="00BF3E87" w:rsidP="0050341E">
      <w:pPr>
        <w:pStyle w:val="NormalHanging12a"/>
      </w:pPr>
      <w:r w:rsidRPr="00553F11">
        <w:t>11</w:t>
      </w:r>
      <w:r w:rsidR="00D220CB" w:rsidRPr="00553F11">
        <w:t>.</w:t>
      </w:r>
      <w:r w:rsidR="00D220CB" w:rsidRPr="00553F11">
        <w:tab/>
        <w:t xml:space="preserve">atgādina, ka vārda brīvība ir viens no Eiropas demokrātijas </w:t>
      </w:r>
      <w:proofErr w:type="spellStart"/>
      <w:r w:rsidR="00D220CB" w:rsidRPr="00553F11">
        <w:t>pamatpīlāriem</w:t>
      </w:r>
      <w:proofErr w:type="spellEnd"/>
      <w:r w:rsidR="00D220CB" w:rsidRPr="00553F11">
        <w:t xml:space="preserve">; nosoda jebkādus mēģinājumus cenzēt, </w:t>
      </w:r>
      <w:proofErr w:type="spellStart"/>
      <w:r w:rsidR="00D220CB" w:rsidRPr="00553F11">
        <w:t>marginalizēt</w:t>
      </w:r>
      <w:proofErr w:type="spellEnd"/>
      <w:r w:rsidR="00D220CB" w:rsidRPr="00553F11">
        <w:t xml:space="preserve"> vai iebiedēt pilsoņus vai viņu ievēlētos pārstāvjus viņu politisko uzskatu dēļ; uzsver arī to, ka vēlēšanu rezultātu respektēšana valstu un Eiropas līmenī ir būtiska, lai saglabātu iedzīvotāju uzticēšanos demokrātiskajam procesam;</w:t>
      </w:r>
    </w:p>
    <w:p w:rsidR="0050341E" w:rsidRPr="00553F11" w:rsidRDefault="00BF3E87" w:rsidP="0050341E">
      <w:pPr>
        <w:pStyle w:val="NormalHanging12a"/>
      </w:pPr>
      <w:r w:rsidRPr="00553F11">
        <w:t>12</w:t>
      </w:r>
      <w:r w:rsidR="0050341E" w:rsidRPr="00553F11">
        <w:t>.</w:t>
      </w:r>
      <w:r w:rsidR="0050341E" w:rsidRPr="00553F11">
        <w:tab/>
        <w:t>uzsver, ka ir vajadzīga aktīvāka sadarbība starp dalībvalstīm un Lūgumrakstu komiteju, lai virzītu to lūgumrakstu izskatīšanu, kuru gadījumā ir vajadzīgas ātras atbildes un valsts iestāžu reakcija. atgādina, ka novēlota dalībvalstu reakcija traucē savlaicīgi atrisināt problēmas, uz kurām pilsoņi norādījuši, un tam var būt negatīva ietekme arī uz Savienības tiesību aktu pārkāpumu novēršanu; norāda, ka dalībvalstīm ir jāgarantē atbilde uz lūgumrakstiem noteiktajā trīs mēnešu termiņā; uzsver, ka labāka koordinācija un dialogs padarītu pilsoņu raižu pārvaldību efektīvāku, novērstu nevajadzīgus kavējumus un uzlabotu lūgumrakstu procesa efektivitāti;</w:t>
      </w:r>
    </w:p>
    <w:p w:rsidR="00D220CB" w:rsidRPr="00553F11" w:rsidRDefault="00BF3E87" w:rsidP="0050341E">
      <w:pPr>
        <w:pStyle w:val="NormalHanging12a"/>
      </w:pPr>
      <w:r w:rsidRPr="00553F11">
        <w:t>13</w:t>
      </w:r>
      <w:r w:rsidR="00D220CB" w:rsidRPr="00553F11">
        <w:t>.</w:t>
      </w:r>
      <w:r w:rsidR="00D220CB" w:rsidRPr="00553F11">
        <w:tab/>
        <w:t xml:space="preserve">ar bažām norāda, ka attiecīgās izglītības iestādes vēl nav pilnībā īstenojušas Lūgumrakstu komitejas 2024. gada 19. marta ziņojumā sniegtos ieteikumus, ko tā izveidoja pēc darba brauciena uz Kataloniju, jo īpaši ieteikumus par visu apmācāmo un viņu ģimeņu valodu tiesību aizsardzību; pauž dziļu nožēlu par spriedzi, ar ko Komitejas locekļi </w:t>
      </w:r>
      <w:proofErr w:type="spellStart"/>
      <w:r w:rsidR="00D220CB" w:rsidRPr="00553F11">
        <w:t>saskārušies</w:t>
      </w:r>
      <w:proofErr w:type="spellEnd"/>
      <w:r w:rsidR="00D220CB" w:rsidRPr="00553F11">
        <w:t xml:space="preserve"> Barselonas apmeklējuma laikā 2023. gada 18.–20. decembrī, un aicina uz </w:t>
      </w:r>
      <w:proofErr w:type="spellStart"/>
      <w:r w:rsidR="00D220CB" w:rsidRPr="00553F11">
        <w:t>cieņpilnu</w:t>
      </w:r>
      <w:proofErr w:type="spellEnd"/>
      <w:r w:rsidR="00D220CB" w:rsidRPr="00553F11">
        <w:t xml:space="preserve"> dialogu un sadarbību starp visām ieinteresētajām personām, lai nodrošinātu, ka demokrātiskās iestādes var īstenot savas pilnvaras savstarpējas cieņas un izpratnes gaisotnē;</w:t>
      </w:r>
    </w:p>
    <w:p w:rsidR="0050341E" w:rsidRPr="00553F11" w:rsidRDefault="00BF3E87" w:rsidP="0050341E">
      <w:pPr>
        <w:pStyle w:val="NormalHanging12a"/>
        <w:rPr>
          <w:b/>
          <w:i/>
        </w:rPr>
      </w:pPr>
      <w:r w:rsidRPr="00553F11">
        <w:t>14</w:t>
      </w:r>
      <w:r w:rsidR="0050341E" w:rsidRPr="00553F11">
        <w:t>.</w:t>
      </w:r>
      <w:r w:rsidR="0050341E" w:rsidRPr="00553F11">
        <w:rPr>
          <w:b/>
          <w:i/>
        </w:rPr>
        <w:tab/>
      </w:r>
      <w:r w:rsidR="0050341E" w:rsidRPr="00553F11">
        <w:t xml:space="preserve">stingri nosoda aizskaršanu un iebiedēšanu, kurai Lūgumrakstu komitejas delegācijas oficiālie locekļi tika pakļauti faktu vākšanas braucienā uz Barselonu 2023. gada 18.–20. decembrī, lai </w:t>
      </w:r>
      <w:proofErr w:type="spellStart"/>
      <w:r w:rsidR="0050341E" w:rsidRPr="00553F11">
        <w:rPr>
          <w:i/>
          <w:iCs/>
        </w:rPr>
        <w:t>in</w:t>
      </w:r>
      <w:proofErr w:type="spellEnd"/>
      <w:r w:rsidR="0050341E" w:rsidRPr="00553F11">
        <w:rPr>
          <w:i/>
          <w:iCs/>
        </w:rPr>
        <w:t xml:space="preserve"> situ</w:t>
      </w:r>
      <w:r w:rsidR="0050341E" w:rsidRPr="00553F11">
        <w:t xml:space="preserve"> novērtētu valodas </w:t>
      </w:r>
      <w:proofErr w:type="spellStart"/>
      <w:r w:rsidR="0050341E" w:rsidRPr="00553F11">
        <w:t>imersijas</w:t>
      </w:r>
      <w:proofErr w:type="spellEnd"/>
      <w:r w:rsidR="0050341E" w:rsidRPr="00553F11">
        <w:t xml:space="preserve"> modeli Katalonijā, tā ietekmi uz ģimenēm, kas pārceļas uz autonomo apgabalu un dzīvo tajā, kā arī uz daudzvalodību, </w:t>
      </w:r>
      <w:proofErr w:type="spellStart"/>
      <w:r w:rsidR="0050341E" w:rsidRPr="00553F11">
        <w:t>nediskrimināciju</w:t>
      </w:r>
      <w:proofErr w:type="spellEnd"/>
      <w:r w:rsidR="0050341E" w:rsidRPr="00553F11">
        <w:t xml:space="preserve"> un tiesiskuma principu;</w:t>
      </w:r>
    </w:p>
    <w:p w:rsidR="0050341E" w:rsidRPr="00553F11" w:rsidRDefault="00BF3E87" w:rsidP="0050341E">
      <w:pPr>
        <w:pStyle w:val="NormalHanging12a"/>
        <w:rPr>
          <w:b/>
          <w:i/>
        </w:rPr>
      </w:pPr>
      <w:r w:rsidRPr="00553F11">
        <w:t>15</w:t>
      </w:r>
      <w:r w:rsidR="0050341E" w:rsidRPr="00553F11">
        <w:t>.</w:t>
      </w:r>
      <w:r w:rsidR="0050341E" w:rsidRPr="00553F11">
        <w:tab/>
        <w:t>pauž nožēlu par to, ka šā reģiona kompetentās izglītības iestādes nav īstenojušas Lūgumrakstu komitejas 2024. gada 19. marta ziņojumā pēc darba brauciena sniegtos ieteikumus, kuru mērķis ir aizsargāt apmācāmo un viņu ģimeņu lingvistiskās tiesības;</w:t>
      </w:r>
    </w:p>
    <w:p w:rsidR="0050341E" w:rsidRPr="00553F11" w:rsidRDefault="00BF3E87" w:rsidP="0050341E">
      <w:pPr>
        <w:pStyle w:val="NormalHanging12a"/>
      </w:pPr>
      <w:r w:rsidRPr="00553F11">
        <w:t>16</w:t>
      </w:r>
      <w:r w:rsidR="0050341E" w:rsidRPr="00553F11">
        <w:t>.</w:t>
      </w:r>
      <w:r w:rsidR="0050341E" w:rsidRPr="00553F11">
        <w:tab/>
        <w:t xml:space="preserve">atgādina, ka e-lūgumrakstu datubāze ir būtisks iekšējais instruments, kas Lūgumrakstu komitejas locekļiem ļauj piekļūt visai nepieciešamajai informācijai, lai sekotu līdzi katra lūgumraksta izskatīšanas gaitai un varētu pieņemt pamatotus lēmumus par lūgumrakstu izskatīšanu; atzīmē, ka e-lūgumrakstu datubāzei ir arī svarīga loma saziņā ar </w:t>
      </w:r>
      <w:r w:rsidR="0050341E" w:rsidRPr="00553F11">
        <w:lastRenderedPageBreak/>
        <w:t>lūgumrakstu iesniedzējiem;</w:t>
      </w:r>
    </w:p>
    <w:p w:rsidR="0050341E" w:rsidRPr="00553F11" w:rsidRDefault="00BF3E87" w:rsidP="0050341E">
      <w:pPr>
        <w:pStyle w:val="NormalHanging12a"/>
      </w:pPr>
      <w:r w:rsidRPr="00553F11">
        <w:t>17</w:t>
      </w:r>
      <w:r w:rsidR="0050341E" w:rsidRPr="00553F11">
        <w:t>.</w:t>
      </w:r>
      <w:r w:rsidR="0050341E" w:rsidRPr="00553F11">
        <w:tab/>
        <w:t xml:space="preserve">atgādina par Komisijas apņemšanos kopā ar Parlamentu izveidot </w:t>
      </w:r>
      <w:proofErr w:type="spellStart"/>
      <w:r w:rsidR="0050341E" w:rsidRPr="00553F11">
        <w:t>starpiestāžu</w:t>
      </w:r>
      <w:proofErr w:type="spellEnd"/>
      <w:r w:rsidR="0050341E" w:rsidRPr="00553F11">
        <w:t xml:space="preserve"> IT instrumentu, lai apmainītos ar informāciju un dokumentiem par visām turpmākajām darbībām, kas veiktas saistībā ar lūgumrakstiem, tādām kā pārkāpuma procedūras, tiesību aktu priekšlikumi vai atbildes, ko sniegušas valstu iestādes, tādējādi uzlabojot lūgumrakstu izskatīšanas </w:t>
      </w:r>
      <w:proofErr w:type="spellStart"/>
      <w:r w:rsidR="0050341E" w:rsidRPr="00553F11">
        <w:t>pārredzamību</w:t>
      </w:r>
      <w:proofErr w:type="spellEnd"/>
      <w:r w:rsidR="0050341E" w:rsidRPr="00553F11">
        <w:t xml:space="preserve"> un efektivitāti, kas plašākā kontekstā veicinātu pilsoņu uzticēšanos ES iestādēm un Eiropas projektam;</w:t>
      </w:r>
    </w:p>
    <w:p w:rsidR="0050341E" w:rsidRPr="00553F11" w:rsidRDefault="00BF3E87" w:rsidP="0050341E">
      <w:pPr>
        <w:pStyle w:val="NormalHanging12a"/>
      </w:pPr>
      <w:r w:rsidRPr="00553F11">
        <w:t>18</w:t>
      </w:r>
      <w:r w:rsidR="0050341E" w:rsidRPr="00553F11">
        <w:t>.</w:t>
      </w:r>
      <w:r w:rsidR="0050341E" w:rsidRPr="00553F11">
        <w:tab/>
      </w:r>
      <w:r w:rsidR="00D220CB" w:rsidRPr="00553F11">
        <w:t>atgādina, ka sadarbībai ar citām Parlamenta komitejām ir būtiska nozīme vispusīgā lūgumrakstu izskatīšanā un īpaša uzmanība jāpievērš lūgumrakstiem par dzimumu līdztiesību, ģimeņu daudzveidību, vides taisnīgumu un mazākumtautību tiesībām, kas attiecas uz valodu; norāda, ka 2023. gadā citām komitejām tika nosūtīti 34 lūgumi sniegt atzinumu (par 31 lūgumrakstu) un 223 informācijas pieprasījumi; norāda, ka no 34 pieprasītajiem atzinumiem līdz 2023. gada beigām tika saņemtas tikai 25 atbildes (14 gadījumos tika sniegts atzinums, savukārt 10 gadījumos komiteja nolēma neizstrādāt atzinumu, un četros gadījumos oficiāls lēmums nav paziņots); atgādina, ka lūgumrakstu iesniedzēji tiek informēti par lēmumiem pieprasīt citu komiteju atzinumus saistībā ar lūgumrakstu izskatīšanu; uzsver, ka parlamentārajām komitejām būtu jāpastiprina centieni aktīvi piedalīties lūgumrakstu izskatīšanā, daloties ar savām zināšanām, lai Parlaments varētu ātrāk un vispusīgāk reaģēt uz iedzīvotāju bažām;</w:t>
      </w:r>
    </w:p>
    <w:p w:rsidR="0050341E" w:rsidRPr="00553F11" w:rsidRDefault="00BF3E87" w:rsidP="0050341E">
      <w:pPr>
        <w:pStyle w:val="NormalHanging12a"/>
      </w:pPr>
      <w:r w:rsidRPr="00553F11">
        <w:t>19</w:t>
      </w:r>
      <w:r w:rsidR="0050341E" w:rsidRPr="00553F11">
        <w:t>.</w:t>
      </w:r>
      <w:r w:rsidR="0050341E" w:rsidRPr="00553F11">
        <w:tab/>
        <w:t xml:space="preserve">uzskata, ka lūgumrakstu tīkls ir noderīgs instruments, kas veicina ar lūgumrakstiem saistītos turpmākos pasākumus parlamentārajā un likumdošanas darbā; uzskata, ka regulāras lūgumrakstu tīkla sanāksmes ir ļoti svarīgas, lai nodrošinātu Lūgumrakstu komitejas darbības lielāku </w:t>
      </w:r>
      <w:proofErr w:type="spellStart"/>
      <w:r w:rsidR="0050341E" w:rsidRPr="00553F11">
        <w:t>pamanāmību</w:t>
      </w:r>
      <w:proofErr w:type="spellEnd"/>
      <w:r w:rsidR="0050341E" w:rsidRPr="00553F11">
        <w:t xml:space="preserve"> un labāku izpratni par tās darbu un misiju, kā arī stiprinātu sadarbību ar citām Parlamenta komitejām; </w:t>
      </w:r>
    </w:p>
    <w:p w:rsidR="0050341E" w:rsidRPr="00553F11" w:rsidRDefault="00BF3E87" w:rsidP="0050341E">
      <w:pPr>
        <w:pStyle w:val="NormalHanging12a"/>
      </w:pPr>
      <w:r w:rsidRPr="00553F11">
        <w:t>20</w:t>
      </w:r>
      <w:r w:rsidR="0050341E" w:rsidRPr="00553F11">
        <w:t>.</w:t>
      </w:r>
      <w:r w:rsidR="0050341E" w:rsidRPr="00553F11">
        <w:tab/>
        <w:t>uzsver, ka Lūgumrakstu komiteja pauda savu nostāju par svarīgiem jautājumiem, kas izvirzīti lūgumrakstos, pieņemot ziņojumu par Lūgumrakstu komitejas apspriežu rezultātiem 2022. gadā</w:t>
      </w:r>
      <w:r w:rsidR="0050341E" w:rsidRPr="00553F11">
        <w:rPr>
          <w:rStyle w:val="FootnoteReference"/>
        </w:rPr>
        <w:footnoteReference w:id="5"/>
      </w:r>
      <w:r w:rsidR="0050341E" w:rsidRPr="00553F11">
        <w:t>;</w:t>
      </w:r>
    </w:p>
    <w:p w:rsidR="0050341E" w:rsidRPr="00553F11" w:rsidRDefault="00BF3E87" w:rsidP="0050341E">
      <w:pPr>
        <w:pStyle w:val="NormalHanging12a"/>
      </w:pPr>
      <w:r w:rsidRPr="00553F11">
        <w:t>21</w:t>
      </w:r>
      <w:r w:rsidR="0050341E" w:rsidRPr="00553F11">
        <w:t>.</w:t>
      </w:r>
      <w:r w:rsidR="0050341E" w:rsidRPr="00553F11">
        <w:tab/>
        <w:t xml:space="preserve">uzsver, ka salīdzinājumā ar 2022. gadu ir nedaudz samazinājies iesniegto lūgumrakstu skaits par ārējo attiecību jautājumiem; norāda, ka tas varētu būt izskaidrojams ar jauno ģeopolitisko kontekstu 2023. gadā, jo īpaši samazinājās lūgumrakstu skaits saistībā ar karu Ukrainā, bet ievērojami pieauga lūgumrakstu saistībā ar jaunajiem konfliktiem Tuvajos Austrumos skaits; norāda, ka Lūgumrakstu komiteja cita starpā pieņēma zināšanai iedzīvotāju bažas par sankcijām, drošību, konfliktu risināšanu, vīzu politiku, ES kandidātvalstu progresu, savā darba kārtībā iekļaujot vairākus lūgumrakstus, kuros jo īpaši risināti jautājumi, kas saistīti ar bēgļu, it sevišķi bērnu, stāvokli un Venecuēlas bēgļu stāvokli ES; atzīst to komiteju centienus, kuras jau aktīvi risina šos jautājumus, un uzsver, ka Ārlietu komitejai un Pilsoņu brīvību, tieslietu un </w:t>
      </w:r>
      <w:proofErr w:type="spellStart"/>
      <w:r w:rsidR="0050341E" w:rsidRPr="00553F11">
        <w:t>iekšlietu</w:t>
      </w:r>
      <w:proofErr w:type="spellEnd"/>
      <w:r w:rsidR="0050341E" w:rsidRPr="00553F11">
        <w:t xml:space="preserve"> komitejai šie lūgumraksti būtu jāņem vērā savos apsvērumos;</w:t>
      </w:r>
    </w:p>
    <w:p w:rsidR="0050341E" w:rsidRPr="00553F11" w:rsidRDefault="00BF3E87" w:rsidP="0050341E">
      <w:pPr>
        <w:pStyle w:val="NormalHanging12a"/>
      </w:pPr>
      <w:r w:rsidRPr="00553F11">
        <w:t>22</w:t>
      </w:r>
      <w:r w:rsidR="0050341E" w:rsidRPr="00553F11">
        <w:t>.</w:t>
      </w:r>
      <w:r w:rsidR="0050341E" w:rsidRPr="00553F11">
        <w:tab/>
        <w:t xml:space="preserve">pieņem zināšanai, ka veselība, kas 2022. gadā bija viens no galvenajām lūgumrakstu tematiem, saglabāja savu svarīgumu arī 2023. gadā; īpaši norāda, ka Lūgumrakstu komiteja izskatīja un apsprieda lūgumrakstus par ķīmisko vielu un smago metālu aizliegumu bērnu rotaļlietās, par atbalstu veselīgām un videi nekaitīgām pārtikas </w:t>
      </w:r>
      <w:r w:rsidR="0050341E" w:rsidRPr="00553F11">
        <w:lastRenderedPageBreak/>
        <w:t>sistēmām un dzīvesveidam un par ES regulu īstenošanu attiecībā uz pievienoto cukuru pārtikā, kas paredzēta zīdaiņiem un maziem bērniem;</w:t>
      </w:r>
    </w:p>
    <w:p w:rsidR="0050341E" w:rsidRPr="00553F11" w:rsidRDefault="00BF3E87" w:rsidP="0050341E">
      <w:pPr>
        <w:pStyle w:val="NormalHanging12a"/>
      </w:pPr>
      <w:r w:rsidRPr="00553F11">
        <w:t>23</w:t>
      </w:r>
      <w:r w:rsidR="0050341E" w:rsidRPr="00553F11">
        <w:t>.</w:t>
      </w:r>
      <w:r w:rsidR="0050341E" w:rsidRPr="00553F11">
        <w:tab/>
      </w:r>
      <w:r w:rsidR="003C1F94" w:rsidRPr="00553F11">
        <w:t xml:space="preserve">vērš uzmanību uz to, ka ir iesniegti un apspriesti daudzi lūgumraksti par iedzīvotāju bažām saistībā ar </w:t>
      </w:r>
      <w:proofErr w:type="spellStart"/>
      <w:r w:rsidR="003C1F94" w:rsidRPr="00553F11">
        <w:t>robežpārbaužu</w:t>
      </w:r>
      <w:proofErr w:type="spellEnd"/>
      <w:r w:rsidR="003C1F94" w:rsidRPr="00553F11">
        <w:t xml:space="preserve"> atjaunošanu starp dažām dalībvalstīm, aktualizējot to, cik problemātiski ir ierobežot personu brīvu pārvietošanos ES teritorijā, un citus aspektus, piemēram, Šengenas zonas paplašināšanas stiprās un vājās puses; atgādina, ka dalībvalstis var atjaunot robežkontroli uz iekšējām robežām</w:t>
      </w:r>
      <w:r w:rsidR="003C1F94" w:rsidRPr="00553F11">
        <w:rPr>
          <w:rStyle w:val="FootnoteReference"/>
        </w:rPr>
        <w:footnoteReference w:id="6"/>
      </w:r>
      <w:r w:rsidR="003C1F94" w:rsidRPr="00553F11">
        <w:t xml:space="preserve">, ja pastāv nopietns apdraudējums sabiedriskajai kārtībai vai iekšējai drošībai vai ārkārtas apstākļos, kas apdraud Šengenas zonas vispārējo darbību; novērtē nozīmīgo Lūgumrakstu komitejas lomu, īpaši virkni pasākumu, ko tā veica, tai skaitā 2023. gada 27. jūnijā pieņēma īsu rezolūcijas priekšlikumu par pievienošanos Šengenas zonai un virzīja ar šo jautājumu saistītu Parlamenta rezolūciju, lai paustu stingru atbalstu Šengenas zonas paplašināšanai un Rumānijas un Bulgārijas uzņemšanai tajā, kā arī to, ka 2023. gada 18. jūlijā tā kopā ar Pilsoņu brīvību, tieslietu un </w:t>
      </w:r>
      <w:proofErr w:type="spellStart"/>
      <w:r w:rsidR="003C1F94" w:rsidRPr="00553F11">
        <w:t>iekšlietu</w:t>
      </w:r>
      <w:proofErr w:type="spellEnd"/>
      <w:r w:rsidR="003C1F94" w:rsidRPr="00553F11">
        <w:t xml:space="preserve"> komiteju organizēja atklātu uzklausīšanu par Šengenas robežām; atzinīgi vērtē Padomes vienprātīgo lēmumu uzņemt abas valstis Šengenas zonā no 2025. gada 1. janvāra, kas ļauj tām izmantot visas ES vienotā tirgus pamatbrīvības; uzsver, ka liegums dalībvalstīm pievienoties Šengenas zonai, neraugoties uz visu nepieciešamo prasību izpildi, bija diskriminējošs lēmums, kam nebija juridiska pamatojuma un kas smagi skāra daudzus ES pilsoņus;</w:t>
      </w:r>
    </w:p>
    <w:p w:rsidR="0050341E" w:rsidRPr="00553F11" w:rsidRDefault="00BF3E87" w:rsidP="0050341E">
      <w:pPr>
        <w:pStyle w:val="NormalHanging12a"/>
        <w:rPr>
          <w:b/>
          <w:i/>
        </w:rPr>
      </w:pPr>
      <w:r w:rsidRPr="00553F11">
        <w:t>24</w:t>
      </w:r>
      <w:r w:rsidR="0050341E" w:rsidRPr="00553F11">
        <w:t>.</w:t>
      </w:r>
      <w:r w:rsidR="0050341E" w:rsidRPr="00553F11">
        <w:rPr>
          <w:b/>
          <w:i/>
        </w:rPr>
        <w:tab/>
      </w:r>
      <w:r w:rsidR="0050341E" w:rsidRPr="00553F11">
        <w:t>pieņem zināšanai Spānijas izcelsmes lūgumrakstu pēkšņo pieaugumu 2023. gada otrajā pusē saistībā ar draudiem tiesiskumam Spānijā, ko rada Spānijas valdības nodoms pieņemt Amnestijas likumu, kas ir pretrunā konstitucionālajiem un Eiropas tiesību aktiem;</w:t>
      </w:r>
      <w:r w:rsidR="00F509FB" w:rsidRPr="00553F11">
        <w:t xml:space="preserve"> pauž nožēlu par Spānijas valdības veiktajiem uzbrukumiem tiesiskumam un varas dalīšanai;</w:t>
      </w:r>
    </w:p>
    <w:p w:rsidR="0050341E" w:rsidRPr="00553F11" w:rsidRDefault="00BF3E87" w:rsidP="0050341E">
      <w:pPr>
        <w:pStyle w:val="NormalHanging12a"/>
      </w:pPr>
      <w:r w:rsidRPr="00553F11">
        <w:t>25</w:t>
      </w:r>
      <w:r w:rsidR="0050341E" w:rsidRPr="00553F11">
        <w:t>.</w:t>
      </w:r>
      <w:r w:rsidR="0050341E" w:rsidRPr="00553F11">
        <w:tab/>
        <w:t>uzsver Lūgumrakstu komitejas darbu saistībā ar lūgumrakstiem par kopīgiem noteikumiem attiecībā uz vienotu standartu rokas bagāžas izmēriem, izceļot pilsoņu bažas par neērtībām un diskomfortu, ko rada aviosabiedrību nekonsekventie noteikumi par rokas bagāžu un no tiem izrietošās slēptās izmaksas; uzsver savu aicinājumu ievērot attiecīgo Tiesas nolēmumu saistībā ar ES gaisa satiksmes pakalpojumu tiesību aktu pārskatīšanu; šajā sakarā norāda uz Lūgumrakstu komitejas 2023. gada 20. septembrī pieņemto īso rezolūcijas priekšlikumu par rokas bagāžas standarta izmēriem, pēc kā rezolūcija tika pieņemta ar vienu Eiropas Parlamenta balsošanu 2023. gada 4. oktobrī; atzinīgi vērtē to, ka 2023. gada novembrī Komisija nāca klajā ar pasažieru tiesību regulējuma pārskatīšanu un vairākiem priekšlikumiem, kas paredzēti, lai uzlabotu pasažieru un ceļotāju pieredzi, tostarp prasību par ierobežotu skaitu kopīgu izmēru un svaru, lai mazinātu apjukumu; ar nožēlu norāda, ka pasažieri ar invaliditāti ceļojot joprojām saskaras ar pārāk daudziem šķēršļiem, jo īpaši multimodālu braucienu gadījumā; pauž nožēlu par to, ka daudzu dalībvalstu sabiedriskā transporta sistēmas neatbilst Apvienoto Nāciju Organizācijas Konvencijas par personu ar invaliditāti tiesībām (UNCRPD) prasībām;</w:t>
      </w:r>
    </w:p>
    <w:p w:rsidR="0050341E" w:rsidRPr="00553F11" w:rsidRDefault="00BF3E87" w:rsidP="0050341E">
      <w:pPr>
        <w:pStyle w:val="NormalHanging12a"/>
      </w:pPr>
      <w:r w:rsidRPr="00553F11">
        <w:t>26</w:t>
      </w:r>
      <w:r w:rsidR="0050341E" w:rsidRPr="00553F11">
        <w:t>.</w:t>
      </w:r>
      <w:r w:rsidR="0050341E" w:rsidRPr="00553F11">
        <w:tab/>
        <w:t xml:space="preserve">konstatē, ka 2023. gadā lūgumrakstu iesniedzējiem joprojām nopietnas bažas radīja vides jautājumi, jo vairāk nekā 21 % lūgumrakstu bija veltīti vides jautājumiem; pauž nožēlu, ka daži no šiem lūgumrakstiem attiecas uz ES tiesību aktu nepareizu īstenošanu </w:t>
      </w:r>
      <w:r w:rsidR="0050341E" w:rsidRPr="00553F11">
        <w:lastRenderedPageBreak/>
        <w:t>dalībvalstīs, un pret dažām dalībvalstīm jau ir uzsāktas pārkāpuma procedūras par ES vides tiesību aktu pārkāpumiem; atzīmē, ka daudzos lūgumrakstos ir ietvertas sūdzības par gaisa kvalitāti, trokšņa piesārņojumu, atkritumu apsaimniekošanu/apstrādi, dabīgo ekosistēmu pasliktināšanos un Dzīvotņu direktīvas pārkāpumiem dažādās dalībvalstīs; uzsver 2023. gada 24. maijā organizēto publisko uzklausīšanu par Dzīvotņu direktīvas īstenošanas stāvokli; atzīmē Lūgumrakstu komitejas 2023. gadā turpināto darbu saistībā ar klimata pārmaiņu ietekmi dažādās jomās — ne tikai vides jomā, bet arī zemes izmantošanā —, iekļaujot darba kārtībā vairākus par šiem tematiem saņemtos lūgumrakstus; norāda uz 2023. gada 22. martā organizēto semināru par klimata pārmaiņu ietekmi uz sociālo nodrošinājumu un visneaizsargātākajām grupām, kā arī uz 2023. gada 18. jūlijā prezentēto pētījumu par kompensāciju klimata pārmaiņu katastrofās cietušajiem;</w:t>
      </w:r>
    </w:p>
    <w:p w:rsidR="0050341E" w:rsidRPr="00553F11" w:rsidRDefault="00BF3E87" w:rsidP="0050341E">
      <w:pPr>
        <w:pStyle w:val="NormalHanging12a"/>
      </w:pPr>
      <w:r w:rsidRPr="00553F11">
        <w:t>27</w:t>
      </w:r>
      <w:r w:rsidR="0050341E" w:rsidRPr="00553F11">
        <w:t>.</w:t>
      </w:r>
      <w:r w:rsidR="0050341E" w:rsidRPr="00553F11">
        <w:tab/>
        <w:t xml:space="preserve">vērš uzmanību uz Lūgumrakstu komitejas 2023. gada 25. janvārī organizēto semināru par zāļu cenu noteikšanas un kompensācijas </w:t>
      </w:r>
      <w:proofErr w:type="spellStart"/>
      <w:r w:rsidR="0050341E" w:rsidRPr="00553F11">
        <w:t>pārredzamību</w:t>
      </w:r>
      <w:proofErr w:type="spellEnd"/>
      <w:r w:rsidR="0050341E" w:rsidRPr="00553F11">
        <w:t xml:space="preserve">, kurā tika apspriesta </w:t>
      </w:r>
      <w:proofErr w:type="spellStart"/>
      <w:r w:rsidR="0050341E" w:rsidRPr="00553F11">
        <w:t>pārredzamība</w:t>
      </w:r>
      <w:proofErr w:type="spellEnd"/>
      <w:r w:rsidR="0050341E" w:rsidRPr="00553F11">
        <w:t xml:space="preserve"> no pacientu, patērētāju, zāļu ražotāju un akadēmisko pētījumu viedokļa; norāda, ka diskusijās galvenā uzmanība tika pievērsta uzņēmumu pētniecības un izstrādes izmaksām un pieejamajai informācijai par samaksātajām zāļu cenām, uzsverot </w:t>
      </w:r>
      <w:proofErr w:type="spellStart"/>
      <w:r w:rsidR="0050341E" w:rsidRPr="00553F11">
        <w:t>pārredzamības</w:t>
      </w:r>
      <w:proofErr w:type="spellEnd"/>
      <w:r w:rsidR="0050341E" w:rsidRPr="00553F11">
        <w:t xml:space="preserve"> nozīmi šajos jautājumos;</w:t>
      </w:r>
    </w:p>
    <w:p w:rsidR="0050341E" w:rsidRPr="00553F11" w:rsidRDefault="00BF3E87" w:rsidP="0050341E">
      <w:pPr>
        <w:pStyle w:val="NormalHanging12a"/>
      </w:pPr>
      <w:r w:rsidRPr="00553F11">
        <w:t>28</w:t>
      </w:r>
      <w:r w:rsidR="0050341E" w:rsidRPr="00553F11">
        <w:t>.</w:t>
      </w:r>
      <w:r w:rsidR="0050341E" w:rsidRPr="00553F11">
        <w:tab/>
        <w:t>uzsver, ka ir ļoti svarīgi attaisnot ES iedzīvotāju gaidas vides aizsardzības jomā, un mudina Komisiju kopā ar dalībvalstīm nodrošināt ES vides tiesību aktu pareizu īstenošanu, īpaši saistībā ar nelikumīgu mežizstrādi; norāda uz lūgumrakstiem par vides jautājumiem, kuros paustas arvien lielākas sabiedrības bažas par klimata pārmaiņu ietekmi un kuru dēļ Komisijai un dalībvalstīm ir konsekventi jāīsteno spēkā esošie ES tiesību akti vides jomā;</w:t>
      </w:r>
      <w:r w:rsidR="00020D47" w:rsidRPr="00553F11">
        <w:t xml:space="preserve"> uzsver, ka tas, ka tiek ņemtas vērā ES iedzīvotāju cerības attiecībā uz vides aizsardzību, būtu jāuzskata par tikpat svarīgu kā katras dalībvalsts ekonomiskās situācijas ņemšana vērā; uzsver, ka pārmērīgiem noteikumiem ir negatīva ietekme uz </w:t>
      </w:r>
      <w:proofErr w:type="spellStart"/>
      <w:r w:rsidR="00020D47" w:rsidRPr="00553F11">
        <w:t>jaunietekmes</w:t>
      </w:r>
      <w:proofErr w:type="spellEnd"/>
      <w:r w:rsidR="00020D47" w:rsidRPr="00553F11">
        <w:t xml:space="preserve"> valstīm; tādēļ uzsver, ka katrai dalībvalstij būtu jāļauj pieņemt lēmumus par savu pārejas procesu un ka vides tiesību aktiem nevajadzētu kavēt ekonomikas konkurētspēju;</w:t>
      </w:r>
    </w:p>
    <w:p w:rsidR="0050341E" w:rsidRPr="00553F11" w:rsidRDefault="00BF3E87" w:rsidP="0050341E">
      <w:pPr>
        <w:pStyle w:val="NormalHanging12a"/>
        <w:rPr>
          <w:b/>
          <w:i/>
        </w:rPr>
      </w:pPr>
      <w:r w:rsidRPr="00553F11">
        <w:t>29</w:t>
      </w:r>
      <w:r w:rsidR="0050341E" w:rsidRPr="00553F11">
        <w:t>.</w:t>
      </w:r>
      <w:r w:rsidR="0050341E" w:rsidRPr="00553F11">
        <w:rPr>
          <w:b/>
          <w:i/>
        </w:rPr>
        <w:tab/>
      </w:r>
      <w:r w:rsidR="0050341E" w:rsidRPr="00553F11">
        <w:t>atzīst faktu vākšanas brauciena uz Rumāniju 2023. gada 15.–18. maijā pozitīvo ietekmi uz brūnā lāča populācijas pārvaldību un aizsardzību; tomēr ar nožēlu norāda, ka joprojām ir pārāk daudz letālu negadījumu, ko izraisa brūnie lāči, uzbrūkot cilvēkiem un lauksaimniecības dzīvniekiem, tāpēc ir nepieciešama turpmāka uzraudzība un sadarbība ar valsts iestādēm;</w:t>
      </w:r>
      <w:r w:rsidR="00020D47" w:rsidRPr="00553F11">
        <w:t xml:space="preserve"> uzsver, ka prioritātei vienmēr vajadzētu būt cilvēku dzīvības aizsardzībai un drošībai;</w:t>
      </w:r>
    </w:p>
    <w:p w:rsidR="0050341E" w:rsidRPr="00553F11" w:rsidRDefault="00BF3E87" w:rsidP="0050341E">
      <w:pPr>
        <w:pStyle w:val="NormalHanging12a"/>
        <w:rPr>
          <w:b/>
          <w:i/>
        </w:rPr>
      </w:pPr>
      <w:r w:rsidRPr="00553F11">
        <w:t>30</w:t>
      </w:r>
      <w:r w:rsidR="0050341E" w:rsidRPr="00553F11">
        <w:t>.</w:t>
      </w:r>
      <w:r w:rsidR="0050341E" w:rsidRPr="00553F11">
        <w:rPr>
          <w:b/>
          <w:i/>
        </w:rPr>
        <w:tab/>
      </w:r>
      <w:r w:rsidR="0050341E" w:rsidRPr="00553F11">
        <w:t>pēc faktu vākšanas brauciena uz Rumāniju uzsver, ka ir jāpanāk līdzsvars starp savvaļas dzīvnieku aizsardzību un iedzīvotāju drošību; uzsver, ka ir jāļauj dalībvalstīm veikt pasākumus, tostarp sugu populācijas kontroli, lai novērstu draudus savu iedzīvotāju dzīvībai un īpašumam;</w:t>
      </w:r>
    </w:p>
    <w:p w:rsidR="0050341E" w:rsidRPr="00553F11" w:rsidRDefault="00BF3E87" w:rsidP="0050341E">
      <w:pPr>
        <w:pStyle w:val="NormalHanging12a"/>
      </w:pPr>
      <w:r w:rsidRPr="00553F11">
        <w:t>31</w:t>
      </w:r>
      <w:r w:rsidR="0050341E" w:rsidRPr="00553F11">
        <w:t>.</w:t>
      </w:r>
      <w:r w:rsidR="0050341E" w:rsidRPr="00553F11">
        <w:tab/>
      </w:r>
      <w:r w:rsidR="000D20C0" w:rsidRPr="00553F11">
        <w:t xml:space="preserve">uzsver Lūgumrakstu komitejas apņēmību aizsargāt personu ar invaliditāti tiesības; atgādina, ka 2023. gada 29. novembrī Lūgumrakstu komiteja rīkoja ikgadējo darbsemināru par personu ar invaliditāti tiesības; atgādina, ka tā pirmajā daļā uzmanība tika pievērsta tam, kā personas ar invaliditāti risināja nesenās krīzes (enerģijas izmaksas, karš, augsta inflācija) un kā ES pasākumi palīdzēja pārvarēt šos šķēršļus, savukārt otrajā daļā tika izskatīts jautājums par to, kā Eiropas iestādes ir izveidojušas iekļaujošu komunikāciju, kas ir pielāgota iedzīvotājiem ar invaliditāti; šajā sakarā uzsver arī to, ka komiteja 2023. gada 29. novembrī vēstules veidā pieņēma atzinumu par </w:t>
      </w:r>
      <w:r w:rsidR="000D20C0" w:rsidRPr="00553F11">
        <w:lastRenderedPageBreak/>
        <w:t xml:space="preserve">Eiropas invaliditātes kartes un Eiropas invalīdu stāvvietas izmantošanas kartes izveidi; uzsver, ka personu ar invaliditāti piekļuve sociālā nodrošinājuma pabalstiem ir valstu un to sociālās koordinācijas shēmu kompetencē un ka strīdi būtu jārisina ar esošajiem tiesu mehānismiem un to kompetencēm, kas jārespektē, nosakot pienākumu pilnībā izmantot tiesiskās aizsardzības līdzekļus, nevis ar Komisijas tiešu iejaukšanos, un ka ir jāievēro subsidiaritātes princips; šajā sakarā uzsver arī to, ka ir absolūti nepieciešams pilnībā un konsekventi transponēt Eiropas </w:t>
      </w:r>
      <w:proofErr w:type="spellStart"/>
      <w:r w:rsidR="000D20C0" w:rsidRPr="00553F11">
        <w:t>Piekļūstamības</w:t>
      </w:r>
      <w:proofErr w:type="spellEnd"/>
      <w:r w:rsidR="000D20C0" w:rsidRPr="00553F11">
        <w:t xml:space="preserve"> aktu, un aicina dalībvalstis izvairīties no kavēšanās, kas apgrūtina personas ar invaliditāti izmantot savas tiesības; atgādina, ka </w:t>
      </w:r>
      <w:proofErr w:type="spellStart"/>
      <w:r w:rsidR="000D20C0" w:rsidRPr="00553F11">
        <w:t>Piekļūstamības</w:t>
      </w:r>
      <w:proofErr w:type="spellEnd"/>
      <w:r w:rsidR="000D20C0" w:rsidRPr="00553F11">
        <w:t xml:space="preserve"> akta mērķis ir uzlabot dzīvi vismaz 87 miljoniem cilvēku, kuriem ir invaliditāte, un uzlabot viņu </w:t>
      </w:r>
      <w:proofErr w:type="spellStart"/>
      <w:r w:rsidR="000D20C0" w:rsidRPr="00553F11">
        <w:t>piekļūstamību</w:t>
      </w:r>
      <w:proofErr w:type="spellEnd"/>
      <w:r w:rsidR="000D20C0" w:rsidRPr="00553F11">
        <w:t xml:space="preserve"> cita starpā sabiedriskajam transportam, banku pakalpojumiem, datoriem, TV, e-grāmatām, interneta veikaliem;</w:t>
      </w:r>
    </w:p>
    <w:p w:rsidR="0050341E" w:rsidRPr="00553F11" w:rsidRDefault="00BF3E87" w:rsidP="0050341E">
      <w:pPr>
        <w:pStyle w:val="NormalHanging12a"/>
      </w:pPr>
      <w:r w:rsidRPr="00553F11">
        <w:t>32</w:t>
      </w:r>
      <w:r w:rsidR="0050341E" w:rsidRPr="00553F11">
        <w:t>.</w:t>
      </w:r>
      <w:r w:rsidR="0050341E" w:rsidRPr="00553F11">
        <w:tab/>
      </w:r>
      <w:r w:rsidR="003538D6" w:rsidRPr="00553F11">
        <w:t>uzsver Lūgumrakstu komitejas svarīgo ieguldījumu personu ar invaliditāti tiesību aizsardzībā, ko apliecina tās attieksme pret vairākiem lūgumrakstiem par šo delikāto jautājumu; šajā sakarā atzīst Parlamenta dienestu centienus un norāda, ka ir jārod ne tikai labākais tehniskais, bet arī vispieejamākais risinājums nedzirdīgajiem iedzīvotājiem, lai ar viņiem sazinātos viņu dzimtajā valodā valstu zīmju valodās; prasa grozīt Reglamentu ciešā sadarbībā ar Konstitucionālo jautājumu komiteju (</w:t>
      </w:r>
      <w:r w:rsidR="003538D6" w:rsidRPr="00553F11">
        <w:rPr>
          <w:i/>
        </w:rPr>
        <w:t>AFCO</w:t>
      </w:r>
      <w:r w:rsidR="003538D6" w:rsidRPr="00553F11">
        <w:t>), lai novērstu, ka saziņa ar pilsoņiem, kuri izmanto zīmju valodu, kas ir nedzirdīgi vai vājdzirdīgi, notiek tikai rakstiski, nodrošinot, ka viņi var pieprasīt izmantot savu zīmju valodu un tam ir izveidota procedūra; šajā sakarā uzsver arī to, ka komiteja 2023. gada 29. novembrī vēstules veidā pieņēma atzinumu par Eiropas invaliditātes kartes un Eiropas invalīdu stāvvietas izmantošanas kartes izveidi;</w:t>
      </w:r>
    </w:p>
    <w:p w:rsidR="0050341E" w:rsidRPr="00553F11" w:rsidRDefault="00BF3E87" w:rsidP="0050341E">
      <w:pPr>
        <w:pStyle w:val="NormalHanging12a"/>
      </w:pPr>
      <w:r w:rsidRPr="00553F11">
        <w:t>33</w:t>
      </w:r>
      <w:r w:rsidR="0050341E" w:rsidRPr="00553F11">
        <w:t>.</w:t>
      </w:r>
      <w:r w:rsidR="0050341E" w:rsidRPr="00553F11">
        <w:tab/>
        <w:t xml:space="preserve">turklāt uzsver Lūgumrakstu komitejas īpašo aizsargātājas funkciju, ko tā savā lūgumrakstu iesniedzēju uzklausīšanas kapacitātē Eiropas Savienībā veic, īstenojot ANO Konvencijas par personu ar invaliditāti tiesībām ievērošanu, un uzsver komitejas nemitīgo svarīgo darbu pie lūgumrakstiem par invaliditātes jautājumiem; norāda, ka lai arī 2023. gadā lūgumrakstu par invaliditāti skaits ir nedaudz samazinājies salīdzinājumā ar 2022. gadu, tas ir gandrīz divkāršojies salīdzinājumā ar 2021. gadu; norāda turklāt, ka diskriminācija un piekļuve sabiedriskajam transportam un nodarbinātībai joprojām galvenās problēmas, ar ko saskaras personas ar invaliditāti, un uzsver, ka Lūgumrakstu komiteja īpašu uzmanību pievērš prasībai Eiropas invaliditātes tiesībās atzīt </w:t>
      </w:r>
      <w:proofErr w:type="spellStart"/>
      <w:r w:rsidR="0050341E" w:rsidRPr="00553F11">
        <w:t>autisku</w:t>
      </w:r>
      <w:proofErr w:type="spellEnd"/>
      <w:r w:rsidR="0050341E" w:rsidRPr="00553F11">
        <w:t xml:space="preserve"> personu tiesības; atzinīgi vērtē to, ka ir pieņemts īss rezolūcijas priekšlikums par </w:t>
      </w:r>
      <w:proofErr w:type="spellStart"/>
      <w:r w:rsidR="0050341E" w:rsidRPr="00553F11">
        <w:t>autisku</w:t>
      </w:r>
      <w:proofErr w:type="spellEnd"/>
      <w:r w:rsidR="0050341E" w:rsidRPr="00553F11">
        <w:t xml:space="preserve"> personu tiesību saskaņošanu, uzsverot vajadzību uzlabot piekļuvi diagnostikai, veselības aprūpei, izglītībai, nodarbinātībai, pieejamībai un saprātīgi pielāgotai dzīvesvietai, rīcībspējai un atbalstam sabiedrībā, kultūrā un sportā, kas ir pieejams mūža garumā; turklāt vērš uzmanību uz to, ka Lūgumrakstu komitejai ir īpaša loma bērnu un viņu vecāku aizsardzībā, atzīst, ka liels skaits saņemto lūgumrakstu skar bērnu tiesības, kas prasa īpašu uzmanību un īpašu rīcību; šajā sakarā atgādina par ES </w:t>
      </w:r>
      <w:proofErr w:type="spellStart"/>
      <w:r w:rsidR="0050341E" w:rsidRPr="00553F11">
        <w:t>Pamattiesību</w:t>
      </w:r>
      <w:proofErr w:type="spellEnd"/>
      <w:r w:rsidR="0050341E" w:rsidRPr="00553F11">
        <w:t xml:space="preserve"> Hartas noteikumiem, īpaši tās 24. pantu, par bērna tiesībām, kas paredz, ka, ja vien tas nav pretrunā bērna interesēm, ikvienam bērnam ir tiesības saglabāt attiecības un uzturēt tiešu saikni ar abiem vecākiem; atgādina arī, ka ģimenes, kurās ir bērns ar </w:t>
      </w:r>
      <w:proofErr w:type="spellStart"/>
      <w:r w:rsidR="0050341E" w:rsidRPr="00553F11">
        <w:t>autismu</w:t>
      </w:r>
      <w:proofErr w:type="spellEnd"/>
      <w:r w:rsidR="0050341E" w:rsidRPr="00553F11">
        <w:t>, ir mērķis reklāmām par nepierādītām, potenciāli kaitīgām un nelegālām terapijām un ārstēšanu, kas var novest pie smagas bērna fiziskas aizskaršanas;</w:t>
      </w:r>
    </w:p>
    <w:p w:rsidR="0050341E" w:rsidRPr="00553F11" w:rsidRDefault="00BF3E87" w:rsidP="0050341E">
      <w:pPr>
        <w:pStyle w:val="NormalHanging12a"/>
        <w:rPr>
          <w:rFonts w:eastAsia="Calibri"/>
        </w:rPr>
      </w:pPr>
      <w:r w:rsidRPr="00553F11">
        <w:t>34</w:t>
      </w:r>
      <w:r w:rsidR="0050341E" w:rsidRPr="00553F11">
        <w:t>.</w:t>
      </w:r>
      <w:r w:rsidR="0050341E" w:rsidRPr="00553F11">
        <w:tab/>
        <w:t xml:space="preserve">atgādina, ka attiecības ar Eiropas </w:t>
      </w:r>
      <w:proofErr w:type="spellStart"/>
      <w:r w:rsidR="0050341E" w:rsidRPr="00553F11">
        <w:t>Ombudu</w:t>
      </w:r>
      <w:proofErr w:type="spellEnd"/>
      <w:r w:rsidR="0050341E" w:rsidRPr="00553F11">
        <w:t xml:space="preserve"> ir viens no pienākumiem, kas Lūgumrakstu komitejai uzticēts ar Parlamenta Reglamentu; atzinīgi vērtē Parlamenta konstruktīvo sadarbību ar Eiropas </w:t>
      </w:r>
      <w:proofErr w:type="spellStart"/>
      <w:r w:rsidR="0050341E" w:rsidRPr="00553F11">
        <w:t>Ombudu</w:t>
      </w:r>
      <w:proofErr w:type="spellEnd"/>
      <w:r w:rsidR="0050341E" w:rsidRPr="00553F11">
        <w:t xml:space="preserve">, ar kuru Lūgumrakstu komitejai ir kopīgi mērķi — nodrošināt ES iestāžu </w:t>
      </w:r>
      <w:proofErr w:type="spellStart"/>
      <w:r w:rsidR="0050341E" w:rsidRPr="00553F11">
        <w:t>pārredzamību</w:t>
      </w:r>
      <w:proofErr w:type="spellEnd"/>
      <w:r w:rsidR="0050341E" w:rsidRPr="00553F11">
        <w:t xml:space="preserve">, profesionalitāti un integritāti attiecībā pret Eiropas pilsoņiem, kā arī Parlamenta iesaistīšanos Eiropas </w:t>
      </w:r>
      <w:proofErr w:type="spellStart"/>
      <w:r w:rsidR="0050341E" w:rsidRPr="00553F11">
        <w:t>ombudu</w:t>
      </w:r>
      <w:proofErr w:type="spellEnd"/>
      <w:r w:rsidR="0050341E" w:rsidRPr="00553F11">
        <w:t xml:space="preserve"> tīklā;</w:t>
      </w:r>
      <w:r w:rsidR="003538D6" w:rsidRPr="00553F11">
        <w:t xml:space="preserve"> uzsver, ka ir jāpastiprina sadarbība ar Eiropas </w:t>
      </w:r>
      <w:proofErr w:type="spellStart"/>
      <w:r w:rsidR="003538D6" w:rsidRPr="00553F11">
        <w:t>Ombudu</w:t>
      </w:r>
      <w:proofErr w:type="spellEnd"/>
      <w:r w:rsidR="003538D6" w:rsidRPr="00553F11">
        <w:t xml:space="preserve">, lai nodrošinātu ātru, objektīvu un </w:t>
      </w:r>
      <w:r w:rsidR="003538D6" w:rsidRPr="00553F11">
        <w:lastRenderedPageBreak/>
        <w:t>pārredzamu reaģēšanu uz iedzīvotāju sūdzībām par jebkādiem administratīviem pārkāpumiem ES iestādēs;</w:t>
      </w:r>
    </w:p>
    <w:p w:rsidR="0050341E" w:rsidRPr="00553F11" w:rsidRDefault="00BF3E87" w:rsidP="0050341E">
      <w:pPr>
        <w:pStyle w:val="NormalHanging12a"/>
        <w:rPr>
          <w:b/>
          <w:i/>
        </w:rPr>
      </w:pPr>
      <w:r w:rsidRPr="00553F11">
        <w:t>35</w:t>
      </w:r>
      <w:r w:rsidR="0050341E" w:rsidRPr="00553F11">
        <w:t>.</w:t>
      </w:r>
      <w:r w:rsidR="0050341E" w:rsidRPr="00553F11">
        <w:rPr>
          <w:b/>
          <w:i/>
        </w:rPr>
        <w:tab/>
      </w:r>
      <w:r w:rsidR="0050341E" w:rsidRPr="00553F11">
        <w:t xml:space="preserve">uzsver svarīgo darbu, ko Lūgumrakstu komiteja veic sieviešu tiesību aizsardzībai; uzsver, ka vairākiem šai jomā iesniegtajiem lūgumrakstiem sekoja darbība, piemēram, debates par noteikta laika termiņlīgumiem, turklāt viens lūgumraksts pārtapa par pilsoņu iniciatīvu </w:t>
      </w:r>
      <w:r w:rsidR="0050341E" w:rsidRPr="00553F11">
        <w:rPr>
          <w:i/>
          <w:iCs/>
        </w:rPr>
        <w:t>“</w:t>
      </w:r>
      <w:proofErr w:type="spellStart"/>
      <w:r w:rsidR="0050341E" w:rsidRPr="00553F11">
        <w:rPr>
          <w:i/>
          <w:iCs/>
        </w:rPr>
        <w:t>Good</w:t>
      </w:r>
      <w:proofErr w:type="spellEnd"/>
      <w:r w:rsidR="0050341E" w:rsidRPr="00553F11">
        <w:rPr>
          <w:i/>
          <w:iCs/>
        </w:rPr>
        <w:t xml:space="preserve"> </w:t>
      </w:r>
      <w:proofErr w:type="spellStart"/>
      <w:r w:rsidR="0050341E" w:rsidRPr="00553F11">
        <w:rPr>
          <w:i/>
          <w:iCs/>
        </w:rPr>
        <w:t>Clothes</w:t>
      </w:r>
      <w:proofErr w:type="spellEnd"/>
      <w:r w:rsidR="0050341E" w:rsidRPr="00553F11">
        <w:rPr>
          <w:i/>
          <w:iCs/>
        </w:rPr>
        <w:t xml:space="preserve">, </w:t>
      </w:r>
      <w:proofErr w:type="spellStart"/>
      <w:r w:rsidR="0050341E" w:rsidRPr="00553F11">
        <w:rPr>
          <w:i/>
          <w:iCs/>
        </w:rPr>
        <w:t>Fair</w:t>
      </w:r>
      <w:proofErr w:type="spellEnd"/>
      <w:r w:rsidR="0050341E" w:rsidRPr="00553F11">
        <w:rPr>
          <w:i/>
          <w:iCs/>
        </w:rPr>
        <w:t xml:space="preserve"> </w:t>
      </w:r>
      <w:proofErr w:type="spellStart"/>
      <w:r w:rsidR="0050341E" w:rsidRPr="00553F11">
        <w:rPr>
          <w:i/>
          <w:iCs/>
        </w:rPr>
        <w:t>Pay</w:t>
      </w:r>
      <w:proofErr w:type="spellEnd"/>
      <w:r w:rsidR="0050341E" w:rsidRPr="00553F11">
        <w:rPr>
          <w:i/>
          <w:iCs/>
        </w:rPr>
        <w:t>”</w:t>
      </w:r>
      <w:r w:rsidR="0050341E" w:rsidRPr="00553F11">
        <w:t>, kurā uzmanība pievērsta kaitīgajiem darba apstākļiem globālajā apģērbu un apavu ražošanas nozarē, tāpat Parlaments iesniedza mutisko jautājumu par skolotāju darba apstākļiem Eiropas Savienībā, kuram arī pamatā bija par šo tematu saņemts lūgumraksts; atgādina, ir svarīgi uzlabot darba apstākļus strādniekiem ES un viņus vairāk aizsargāt, aicina dalībvalstis un Komisiju efektīvi risināt problēmas, uz kurām norāda lūgumrakstu iesniedzēju un kas saistītas ar darba ņēmēju tiesībām un arodbiedrībām;</w:t>
      </w:r>
      <w:r w:rsidR="0050341E" w:rsidRPr="00553F11">
        <w:rPr>
          <w:b/>
          <w:i/>
        </w:rPr>
        <w:t> </w:t>
      </w:r>
    </w:p>
    <w:p w:rsidR="0050341E" w:rsidRPr="00553F11" w:rsidRDefault="00BF3E87" w:rsidP="0050341E">
      <w:pPr>
        <w:pStyle w:val="NormalHanging12a"/>
        <w:rPr>
          <w:b/>
          <w:i/>
        </w:rPr>
      </w:pPr>
      <w:r w:rsidRPr="00553F11">
        <w:t>36</w:t>
      </w:r>
      <w:r w:rsidR="0050341E" w:rsidRPr="00553F11">
        <w:t>.</w:t>
      </w:r>
      <w:r w:rsidR="0050341E" w:rsidRPr="00553F11">
        <w:rPr>
          <w:b/>
          <w:i/>
        </w:rPr>
        <w:tab/>
      </w:r>
      <w:r w:rsidR="0050341E" w:rsidRPr="00553F11">
        <w:t xml:space="preserve">atgādina par Eiropas Parlamenta pētījumu par </w:t>
      </w:r>
      <w:proofErr w:type="spellStart"/>
      <w:r w:rsidR="0050341E" w:rsidRPr="00553F11">
        <w:t>bezpajumtniecību</w:t>
      </w:r>
      <w:proofErr w:type="spellEnd"/>
      <w:r w:rsidR="0050341E" w:rsidRPr="00553F11">
        <w:t xml:space="preserve"> ES, ko pasūtīja Lūgumrakstu komiteja un ar ko tā iepazīstināja savā 2023. gada novembra sanāksmē; norāda, ka šis pētījums ir devis nozīmīgu pienesumu saistībā ar šo sāpīgo sociālo un ekonomisko problēmu, kas ir viens no smagākajiem sociālās atstumtības veidiem, uzsverot, ka vispirms ir jāmaina valstu politika, lai novērstu </w:t>
      </w:r>
      <w:proofErr w:type="spellStart"/>
      <w:r w:rsidR="0050341E" w:rsidRPr="00553F11">
        <w:t>bezpajumtniecību</w:t>
      </w:r>
      <w:proofErr w:type="spellEnd"/>
      <w:r w:rsidR="0050341E" w:rsidRPr="00553F11">
        <w:t>, cita starpā nodrošinot drošus un cenas ziņā pieejamus mājokļus;</w:t>
      </w:r>
      <w:r w:rsidR="003538D6" w:rsidRPr="00553F11">
        <w:t xml:space="preserve"> atgādina, ka nelikumīgu ievākšanos mājoklī nevar uzskatīt par risinājumu </w:t>
      </w:r>
      <w:proofErr w:type="spellStart"/>
      <w:r w:rsidR="003538D6" w:rsidRPr="00553F11">
        <w:t>bezpajumtniecībai</w:t>
      </w:r>
      <w:proofErr w:type="spellEnd"/>
      <w:r w:rsidR="003538D6" w:rsidRPr="00553F11">
        <w:t xml:space="preserve">, jo tiesības uz īpašumu ir nostiprinātas ES </w:t>
      </w:r>
      <w:proofErr w:type="spellStart"/>
      <w:r w:rsidR="003538D6" w:rsidRPr="00553F11">
        <w:t>Pamattiesību</w:t>
      </w:r>
      <w:proofErr w:type="spellEnd"/>
      <w:r w:rsidR="003538D6" w:rsidRPr="00553F11">
        <w:t xml:space="preserve"> hartas 17. pantā; uzsver, ka dalībvalstīm būtu jāmeklē reāli risinājumi, nevis jāveicina nelikumīga ievākšanās mājoklī, jo mājokļu politika ir dalībvalstu ekskluzīvā kompetencē;</w:t>
      </w:r>
    </w:p>
    <w:p w:rsidR="0050341E" w:rsidRPr="00553F11" w:rsidRDefault="00BF3E87" w:rsidP="0050341E">
      <w:pPr>
        <w:pStyle w:val="NormalHanging12a"/>
        <w:rPr>
          <w:rFonts w:eastAsia="Calibri"/>
        </w:rPr>
      </w:pPr>
      <w:r w:rsidRPr="00553F11">
        <w:t>37</w:t>
      </w:r>
      <w:r w:rsidR="0050341E" w:rsidRPr="00553F11">
        <w:t>.</w:t>
      </w:r>
      <w:r w:rsidR="0050341E" w:rsidRPr="00553F11">
        <w:tab/>
        <w:t xml:space="preserve">atzīst Eiropas </w:t>
      </w:r>
      <w:proofErr w:type="spellStart"/>
      <w:r w:rsidR="0050341E" w:rsidRPr="00553F11">
        <w:t>Ombuda</w:t>
      </w:r>
      <w:proofErr w:type="spellEnd"/>
      <w:r w:rsidR="0050341E" w:rsidRPr="00553F11">
        <w:t xml:space="preserve"> regulāro ieguldījumu Lūgumrakstu komitejas darbā visa gada laikā; pauž stingru pārliecību, ka ES iestāžu, struktūru un aģentūru pienākums ir nodrošināt konsekventus un efektīvus turpmākos pasākumus, ar kuriem tās reaģē uz </w:t>
      </w:r>
      <w:proofErr w:type="spellStart"/>
      <w:r w:rsidR="0050341E" w:rsidRPr="00553F11">
        <w:t>Ombuda</w:t>
      </w:r>
      <w:proofErr w:type="spellEnd"/>
      <w:r w:rsidR="0050341E" w:rsidRPr="00553F11">
        <w:t xml:space="preserve"> ieteikumiem;</w:t>
      </w:r>
    </w:p>
    <w:p w:rsidR="0050341E" w:rsidRPr="00553F11" w:rsidRDefault="00BF3E87" w:rsidP="0050341E">
      <w:pPr>
        <w:pStyle w:val="NormalHanging12a"/>
      </w:pPr>
      <w:r w:rsidRPr="00553F11">
        <w:t>38</w:t>
      </w:r>
      <w:r w:rsidR="0050341E" w:rsidRPr="00553F11">
        <w:t>.</w:t>
      </w:r>
      <w:r w:rsidR="0050341E" w:rsidRPr="00553F11">
        <w:tab/>
        <w:t>uzsver, ka Eiropas pilsoņu iniciatīvas (EPI) ir svarīgs aktīva pilsoniskuma un sabiedrības līdzdalības instruments; atzinīgi vērtē dažu nesekmīgu EPI apspriešanu dažās sanāksmēs, — tās dažkārt vēlāk tika pārformulētas kā lūgumraksti, dodot pilsoņiem iespēju izklāstīt savas idejas un rīkot konstruktīvas diskusijas, vienlaikus veicinot viņu līdzdalību ES demokrātiskajos procesos; pieņem zināšanai, ka Komisija 2023. gadā ir reģistrējusi ievērojamu skaitu jaunu EPI, kas liecina, ka pilsoņi īsteno iespēju izmantot līdzdalības instrumentus, lai iesaistītos politikas veidošanas un likumdošanas procesos; aicina Komisiju labāk sadarboties ar pilsoņiem un veikt pienācīgus no sekmīgām EPI izrietošos pasākumus; atzinīgi vērtē centienus, kas tika īstenoti, lai sadarbībā ar citām komitejām organizētu četras atklātas uzklausīšanas par sekmīgām EPI, kas ļāva organizatoriem izklāstīt iniciatīvu mērķus un mijiedarboties ar Eiropas Parlamenta deputātiem un Eiropas Komisijas pārstāvjiem; uzsver, ka Komisijas apņēmība reaģēt uz derīgajām EPI ir būtiska, lai saglabātu iedzīvotāju uzticēšanos EPI kā nozīmīgākajam līdzdalības demokrātijas instrumentam;</w:t>
      </w:r>
    </w:p>
    <w:p w:rsidR="0050341E" w:rsidRPr="00553F11" w:rsidRDefault="00BF3E87" w:rsidP="0050341E">
      <w:pPr>
        <w:pStyle w:val="NormalHanging12a"/>
        <w:rPr>
          <w:b/>
          <w:i/>
        </w:rPr>
      </w:pPr>
      <w:r w:rsidRPr="00553F11">
        <w:t>39</w:t>
      </w:r>
      <w:r w:rsidR="0050341E" w:rsidRPr="00553F11">
        <w:t>.</w:t>
      </w:r>
      <w:r w:rsidR="0050341E" w:rsidRPr="00553F11">
        <w:rPr>
          <w:b/>
          <w:i/>
        </w:rPr>
        <w:tab/>
      </w:r>
      <w:r w:rsidR="0050341E" w:rsidRPr="00553F11">
        <w:t>mudina Komisiju pienācīgi ņemt vērā Parlamenta rezolūcijas, kas pieņemtas par Eiropas pilsoņu iniciatīvām (EPI), un pastiprināt sadarbību ar pilsoņiem, jo īpaši nodrošinot pienācīgus un efektīvus tālākos pasākumus saistībā ar sekmīgajām EPI, tādējādi stiprinot demokrātisko procesu un nodrošinot, ka pilsoņu viedoklis tiek pienācīgi atspoguļots ES politikas veidošanā;</w:t>
      </w:r>
    </w:p>
    <w:p w:rsidR="0050341E" w:rsidRPr="00553F11" w:rsidRDefault="00BF3E87" w:rsidP="0050341E">
      <w:pPr>
        <w:pStyle w:val="NormalHanging12a"/>
        <w:rPr>
          <w:rFonts w:eastAsia="Calibri"/>
        </w:rPr>
      </w:pPr>
      <w:r w:rsidRPr="00553F11">
        <w:t>40</w:t>
      </w:r>
      <w:r w:rsidR="0050341E" w:rsidRPr="00553F11">
        <w:t>.</w:t>
      </w:r>
      <w:r w:rsidR="0050341E" w:rsidRPr="00553F11">
        <w:tab/>
        <w:t xml:space="preserve">uzsver, ka Lūgumrakstu portāls ir svarīgs rīks, ar ko nodrošināt raitu, efektīvu un </w:t>
      </w:r>
      <w:r w:rsidR="0050341E" w:rsidRPr="00553F11">
        <w:lastRenderedPageBreak/>
        <w:t>pārredzamu lūgumrakstu procesu; šajā sakarā atzinīgi vērtē datu aizsardzības un drošības līdzekļu jomā panāktos uzlabojumus, kas ir padarījuši portālu iedzīvotājiem parocīgāku un drošāku; uzsver, ka ir jāturpina pilnveidot portāla pieejamību, tostarp padarot to pieejamāku zīmju valodas lietotājiem un personām ar invaliditāti; norāda, ka Lūgumrakstu tīmekļa portāls ir viena no apmeklētākajām Eiropas Parlamenta tīmekļa vietnēm, tādējādi daudziem ES iedzīvotājiem tas ir pirmais kontakts ar Parlamentu;</w:t>
      </w:r>
    </w:p>
    <w:p w:rsidR="0050341E" w:rsidRPr="00553F11" w:rsidRDefault="00BF3E87" w:rsidP="0050341E">
      <w:pPr>
        <w:pStyle w:val="NormalHanging12a"/>
      </w:pPr>
      <w:r w:rsidRPr="00553F11">
        <w:t>41</w:t>
      </w:r>
      <w:r w:rsidR="0050341E" w:rsidRPr="00553F11">
        <w:t>.</w:t>
      </w:r>
      <w:r w:rsidR="0050341E" w:rsidRPr="00553F11">
        <w:rPr>
          <w:b/>
          <w:i/>
        </w:rPr>
        <w:tab/>
      </w:r>
      <w:r w:rsidR="0050341E" w:rsidRPr="00553F11">
        <w:t xml:space="preserve">atgādina par Lūgumrakstu komitejas Eiropas dimensiju, proti, visu 27 dalībvalstu iedzīvotājiem ir iespēja vērsties pie tās jautājumos, kas ietilpst Savienības darbības jomā; uzskata, ka Lūgumrakstu komitejai ir īpašs pienākums uzturēt Eiropas dimensiju un demonstrēt pilsoņiem Eiropas vienotības un integrācijas pievienoto vērtību, kā arī turpināt risināt problēmas saistībā ar ES tiesību pārkāpumiem un novērst caurumus un trūkumus ES tiesību aktu noteikumos; uzskata, ka no lūgumrakstiem ir iespējams izvairīties ar skaidrām dalībvalstu kompetencēm un visaptverošiem skaidrojumiem un instrukcijām par alternatīvām iespējām, kas var sekmēt konstruktīvu rīcību un lielāku pilsoņu iesaistīšanos; šajā sakarā uzskata, ka Eiropas Parlamentam ir jāpalielina centieni padarīt pamanāmāku Lūgumrakstu komiteju, tās lomu un darbu un jāvairo ES pilsoņu vidū izpratne par iespēju iesniegt lūgumrakstu Eiropas Parlamentam; atgādina, ka sakarā ar ierobežoto laiku, kas atvēlēts komitejas sanāksmēm, vairākumu lūgumrakstu izskata rakstiskā procedūrā; tāpēc atgādina, ka visi lūgumraksti, kas saņemti, ieskaitot tos, kas skar starptautiskas lietas, ir jāizskata pārredzami un objektīvi; uzskata, ka lūgumrakstu atlasei izskatīšanai komitejā ir jāatspoguļo iesniegto lūgumrakstu ģeogrāfiskais un politiskais līdzsvars; turklāt uzskata, ka ģeogrāfiskais līdzsvars jāievēro arī, rīkojot komitejas faktu izpētes braucienus — gan gada, gan </w:t>
      </w:r>
      <w:proofErr w:type="spellStart"/>
      <w:r w:rsidR="0050341E" w:rsidRPr="00553F11">
        <w:t>sasaukuma</w:t>
      </w:r>
      <w:proofErr w:type="spellEnd"/>
      <w:r w:rsidR="0050341E" w:rsidRPr="00553F11">
        <w:t xml:space="preserve"> griezumā;</w:t>
      </w:r>
    </w:p>
    <w:p w:rsidR="0050341E" w:rsidRPr="00553F11" w:rsidRDefault="00BF3E87" w:rsidP="0050341E">
      <w:pPr>
        <w:pStyle w:val="NormalHanging12a"/>
      </w:pPr>
      <w:r w:rsidRPr="00553F11">
        <w:t>42</w:t>
      </w:r>
      <w:r w:rsidR="0050341E" w:rsidRPr="00553F11">
        <w:t>.</w:t>
      </w:r>
      <w:r w:rsidR="0050341E" w:rsidRPr="00553F11">
        <w:tab/>
        <w:t>atzinīgi vērtē 2023. gada janvāra plenārsesijā pieņemto īso rezolūcijas priekšlikumu par Eiropas vietējās tirdzniecības galvaspilsētas izveidi</w:t>
      </w:r>
      <w:r w:rsidR="0050341E" w:rsidRPr="00553F11">
        <w:rPr>
          <w:rStyle w:val="FootnoteReference"/>
        </w:rPr>
        <w:footnoteReference w:id="7"/>
      </w:r>
      <w:r w:rsidR="0050341E" w:rsidRPr="00553F11">
        <w:t>; uzsver, ka šis sasniegums ir lielisks rezultāts Lūgumrakstu komitejai, norādot, ka šis projekts ir sekmīgi iekļauts 2024. gada budžetā kā sagatavošanas darbība, kuras kopējais budžets ir 3 miljoni EUR; atgādina, ka projektu, kas paredz izveidot nelielu mazumtirgotāju Eiropas galvaspilsētu (</w:t>
      </w:r>
      <w:r w:rsidR="0050341E" w:rsidRPr="00553F11">
        <w:rPr>
          <w:i/>
        </w:rPr>
        <w:t>ECSR</w:t>
      </w:r>
      <w:r w:rsidR="0050341E" w:rsidRPr="00553F11">
        <w:t>), Komisija oficiāli prezentēja Barselonā 2023. gada decembrī;</w:t>
      </w:r>
    </w:p>
    <w:p w:rsidR="007729CA" w:rsidRPr="00553F11" w:rsidRDefault="00BF3E87" w:rsidP="007729CA">
      <w:pPr>
        <w:pStyle w:val="NormalHanging12a"/>
      </w:pPr>
      <w:r w:rsidRPr="00553F11">
        <w:t>43</w:t>
      </w:r>
      <w:r w:rsidR="0050341E" w:rsidRPr="00553F11">
        <w:t>.</w:t>
      </w:r>
      <w:r w:rsidR="0050341E" w:rsidRPr="00553F11">
        <w:tab/>
        <w:t xml:space="preserve">uzdod priekšsēdētājai šo rezolūciju un Lūgumrakstu komitejas ziņojumu nosūtīt Padomei, Komisijai, Eiropas </w:t>
      </w:r>
      <w:proofErr w:type="spellStart"/>
      <w:r w:rsidR="0050341E" w:rsidRPr="00553F11">
        <w:t>Ombudam</w:t>
      </w:r>
      <w:proofErr w:type="spellEnd"/>
      <w:r w:rsidR="0050341E" w:rsidRPr="00553F11">
        <w:t xml:space="preserve">, dalībvalstu valdībām un parlamentiem, to lūgumrakstu komitejām un valstu </w:t>
      </w:r>
      <w:proofErr w:type="spellStart"/>
      <w:r w:rsidR="0050341E" w:rsidRPr="00553F11">
        <w:t>ombudiem</w:t>
      </w:r>
      <w:proofErr w:type="spellEnd"/>
      <w:r w:rsidR="0050341E" w:rsidRPr="00553F11">
        <w:t xml:space="preserve"> vai līdzīgām kompetentajām iestādēm.</w:t>
      </w:r>
    </w:p>
    <w:p w:rsidR="00E365E1" w:rsidRPr="00553F11" w:rsidRDefault="00E365E1" w:rsidP="003E6227"/>
    <w:sectPr w:rsidR="00E365E1" w:rsidRPr="00553F11" w:rsidSect="007729C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227" w:rsidRPr="007729CA" w:rsidRDefault="003E6227">
      <w:r w:rsidRPr="007729CA">
        <w:separator/>
      </w:r>
    </w:p>
  </w:endnote>
  <w:endnote w:type="continuationSeparator" w:id="0">
    <w:p w:rsidR="003E6227" w:rsidRPr="007729CA" w:rsidRDefault="003E6227">
      <w:r w:rsidRPr="007729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227" w:rsidRPr="007729CA" w:rsidRDefault="003E6227">
      <w:r w:rsidRPr="007729CA">
        <w:separator/>
      </w:r>
    </w:p>
  </w:footnote>
  <w:footnote w:type="continuationSeparator" w:id="0">
    <w:p w:rsidR="003E6227" w:rsidRPr="007729CA" w:rsidRDefault="003E6227">
      <w:r w:rsidRPr="007729CA">
        <w:continuationSeparator/>
      </w:r>
    </w:p>
  </w:footnote>
  <w:footnote w:id="1">
    <w:p w:rsidR="00467519" w:rsidRPr="00553F11" w:rsidRDefault="00467519">
      <w:pPr>
        <w:pStyle w:val="FootnoteText"/>
        <w:rPr>
          <w:sz w:val="24"/>
          <w:szCs w:val="24"/>
          <w:lang w:val="fi-FI"/>
        </w:rPr>
      </w:pPr>
      <w:r w:rsidRPr="00010354">
        <w:rPr>
          <w:rStyle w:val="FootnoteReference"/>
          <w:sz w:val="24"/>
          <w:szCs w:val="24"/>
        </w:rPr>
        <w:footnoteRef/>
      </w:r>
      <w:r w:rsidRPr="00553F11">
        <w:rPr>
          <w:sz w:val="24"/>
          <w:szCs w:val="24"/>
          <w:lang w:val="fi-FI"/>
        </w:rPr>
        <w:t xml:space="preserve"> </w:t>
      </w:r>
      <w:r w:rsidRPr="00010354">
        <w:rPr>
          <w:sz w:val="24"/>
          <w:szCs w:val="24"/>
          <w:lang w:val="fi-FI"/>
        </w:rPr>
        <w:tab/>
        <w:t>OV C, C/2024/3999, 17.7.2024., ELI: http://data.europa.eu/eli/C/2024/3999/oj.</w:t>
      </w:r>
    </w:p>
  </w:footnote>
  <w:footnote w:id="2">
    <w:p w:rsidR="000D125D" w:rsidRPr="00553F11" w:rsidRDefault="000D125D">
      <w:pPr>
        <w:pStyle w:val="FootnoteText"/>
        <w:rPr>
          <w:sz w:val="24"/>
          <w:szCs w:val="24"/>
          <w:lang w:val="lv-LV"/>
        </w:rPr>
      </w:pPr>
      <w:r w:rsidRPr="00553F11">
        <w:rPr>
          <w:rStyle w:val="FootnoteReference"/>
          <w:sz w:val="24"/>
          <w:szCs w:val="24"/>
        </w:rPr>
        <w:footnoteRef/>
      </w:r>
      <w:r w:rsidRPr="00553F11">
        <w:rPr>
          <w:sz w:val="24"/>
          <w:szCs w:val="24"/>
          <w:lang w:val="fi-FI"/>
        </w:rPr>
        <w:t xml:space="preserve"> </w:t>
      </w:r>
      <w:r w:rsidRPr="00553F11">
        <w:rPr>
          <w:sz w:val="24"/>
          <w:szCs w:val="24"/>
          <w:lang w:val="lv-LV"/>
        </w:rPr>
        <w:tab/>
        <w:t>Padomes Direktīva 92/43/EEK (1992. gada 21. maijs) par dabisko dzīvotņu, savvaļas faunas un floras aizsardzību (OV L 206, 22.7.1992., 7. lpp., ELI: http://data.europa.eu/eli/dir/1992/43/oj).</w:t>
      </w:r>
    </w:p>
  </w:footnote>
  <w:footnote w:id="3">
    <w:p w:rsidR="000D125D" w:rsidRPr="00553F11" w:rsidRDefault="000D125D">
      <w:pPr>
        <w:pStyle w:val="FootnoteText"/>
        <w:rPr>
          <w:sz w:val="24"/>
          <w:szCs w:val="24"/>
          <w:lang w:val="lv-LV"/>
        </w:rPr>
      </w:pPr>
      <w:r w:rsidRPr="00553F11">
        <w:rPr>
          <w:rStyle w:val="FootnoteReference"/>
          <w:sz w:val="24"/>
          <w:szCs w:val="24"/>
        </w:rPr>
        <w:footnoteRef/>
      </w:r>
      <w:r w:rsidRPr="00553F11">
        <w:rPr>
          <w:sz w:val="24"/>
          <w:szCs w:val="24"/>
        </w:rPr>
        <w:t xml:space="preserve"> </w:t>
      </w:r>
      <w:r w:rsidRPr="00553F11">
        <w:rPr>
          <w:sz w:val="24"/>
          <w:szCs w:val="24"/>
          <w:lang w:val="lv-LV"/>
        </w:rPr>
        <w:tab/>
        <w:t>Eiropas Parlamenta un Padomes Direktīva 2009/147/EK (2009. gada 30. novembris) par savvaļas putnu aizsardzību (OV L 20, 26.1.2010., 7. lpp., ELI: http://data.europa.eu/eli/dir/2009/147/oj).</w:t>
      </w:r>
    </w:p>
  </w:footnote>
  <w:footnote w:id="4">
    <w:p w:rsidR="00553F11" w:rsidRPr="00553F11" w:rsidRDefault="00553F11" w:rsidP="00553F11">
      <w:pPr>
        <w:pStyle w:val="FootnoteText"/>
        <w:rPr>
          <w:sz w:val="24"/>
          <w:szCs w:val="24"/>
          <w:lang w:val="fi-FI"/>
        </w:rPr>
      </w:pPr>
      <w:r w:rsidRPr="00553F11">
        <w:rPr>
          <w:rStyle w:val="FootnoteReference"/>
          <w:sz w:val="24"/>
          <w:szCs w:val="24"/>
        </w:rPr>
        <w:footnoteRef/>
      </w:r>
      <w:r w:rsidRPr="00553F11">
        <w:rPr>
          <w:sz w:val="24"/>
          <w:szCs w:val="24"/>
          <w:lang w:val="fi-FI"/>
        </w:rPr>
        <w:t xml:space="preserve"> </w:t>
      </w:r>
      <w:r w:rsidRPr="00553F11">
        <w:rPr>
          <w:sz w:val="24"/>
          <w:szCs w:val="24"/>
          <w:lang w:val="lv-LV"/>
        </w:rPr>
        <w:tab/>
        <w:t>OV C, C/2024/6559, 12.11.2024., ELI: http://data.europa.eu/eli/C/2024/6559/oj.</w:t>
      </w:r>
    </w:p>
  </w:footnote>
  <w:footnote w:id="5">
    <w:p w:rsidR="0050341E" w:rsidRPr="007729CA" w:rsidRDefault="0050341E" w:rsidP="007729CA">
      <w:pPr>
        <w:pStyle w:val="FootnoteText"/>
        <w:ind w:left="567" w:hanging="567"/>
        <w:rPr>
          <w:sz w:val="24"/>
          <w:lang w:val="lv-LV"/>
        </w:rPr>
      </w:pPr>
      <w:r w:rsidRPr="007729CA">
        <w:rPr>
          <w:rStyle w:val="FootnoteReference"/>
          <w:sz w:val="24"/>
          <w:lang w:val="lv-LV"/>
        </w:rPr>
        <w:footnoteRef/>
      </w:r>
      <w:r w:rsidR="007729CA" w:rsidRPr="007729CA">
        <w:rPr>
          <w:sz w:val="24"/>
          <w:lang w:val="lv-LV"/>
        </w:rPr>
        <w:t xml:space="preserve"> </w:t>
      </w:r>
      <w:r w:rsidR="007729CA" w:rsidRPr="007729CA">
        <w:rPr>
          <w:sz w:val="24"/>
          <w:lang w:val="lv-LV"/>
        </w:rPr>
        <w:tab/>
      </w:r>
      <w:r w:rsidRPr="007729CA">
        <w:rPr>
          <w:sz w:val="24"/>
          <w:lang w:val="lv-LV"/>
        </w:rPr>
        <w:t>Pieņēmis Parlaments kā 2023. gada 23. novembra rezolūciju par Lūgumrakstu komitejas a</w:t>
      </w:r>
      <w:r w:rsidR="00553F11">
        <w:rPr>
          <w:sz w:val="24"/>
          <w:lang w:val="lv-LV"/>
        </w:rPr>
        <w:t>pspriežu rezultātiem 2022. gadā</w:t>
      </w:r>
      <w:r w:rsidRPr="007729CA">
        <w:rPr>
          <w:sz w:val="24"/>
          <w:lang w:val="lv-LV"/>
        </w:rPr>
        <w:t xml:space="preserve"> </w:t>
      </w:r>
      <w:r w:rsidR="00553F11">
        <w:rPr>
          <w:sz w:val="24"/>
          <w:lang w:val="lv-LV"/>
        </w:rPr>
        <w:t>(</w:t>
      </w:r>
      <w:r w:rsidRPr="007729CA">
        <w:rPr>
          <w:sz w:val="24"/>
          <w:lang w:val="lv-LV"/>
        </w:rPr>
        <w:t xml:space="preserve">OV C, C/2024/4220, 24.7.2024., ELI: </w:t>
      </w:r>
      <w:hyperlink r:id="rId1" w:history="1">
        <w:r w:rsidR="00553F11" w:rsidRPr="00553F11">
          <w:rPr>
            <w:rStyle w:val="Hyperlink"/>
            <w:sz w:val="24"/>
            <w:szCs w:val="24"/>
            <w:lang w:val="fi-FI"/>
          </w:rPr>
          <w:t>http://data.europa.eu/eli/C/2024/4220/oj</w:t>
        </w:r>
      </w:hyperlink>
      <w:r w:rsidR="00553F11" w:rsidRPr="00553F11">
        <w:rPr>
          <w:sz w:val="24"/>
          <w:szCs w:val="24"/>
          <w:lang w:val="fi-FI"/>
        </w:rPr>
        <w:t>)</w:t>
      </w:r>
      <w:r w:rsidRPr="007729CA">
        <w:rPr>
          <w:sz w:val="24"/>
          <w:lang w:val="lv-LV"/>
        </w:rPr>
        <w:t>.</w:t>
      </w:r>
    </w:p>
  </w:footnote>
  <w:footnote w:id="6">
    <w:p w:rsidR="003C1F94" w:rsidRPr="00553F11" w:rsidRDefault="003C1F94">
      <w:pPr>
        <w:pStyle w:val="FootnoteText"/>
        <w:rPr>
          <w:sz w:val="24"/>
          <w:szCs w:val="24"/>
          <w:lang w:val="lv-LV"/>
        </w:rPr>
      </w:pPr>
      <w:r w:rsidRPr="00553F11">
        <w:rPr>
          <w:rStyle w:val="FootnoteReference"/>
          <w:sz w:val="24"/>
          <w:szCs w:val="24"/>
        </w:rPr>
        <w:footnoteRef/>
      </w:r>
      <w:r w:rsidRPr="00553F11">
        <w:rPr>
          <w:sz w:val="24"/>
          <w:szCs w:val="24"/>
          <w:lang w:val="lv-LV"/>
        </w:rPr>
        <w:t xml:space="preserve"> </w:t>
      </w:r>
      <w:r w:rsidRPr="00553F11">
        <w:rPr>
          <w:sz w:val="24"/>
          <w:szCs w:val="24"/>
          <w:lang w:val="lv-LV"/>
        </w:rPr>
        <w:tab/>
        <w:t>Eiropas Parlamenta un Padomes Regula (ES) 2016/399 (2016. gada 9. marts) par Savienības Kodeksu par noteikumiem, kas reglamentē personu pārvietošanos pār robežām (Šengenas Robežu kodekss) (OV L 77, 23.3.2016., 1. lpp., ELI: http://data.europa.eu/eli/reg/2016/399/oj).</w:t>
      </w:r>
    </w:p>
  </w:footnote>
  <w:footnote w:id="7">
    <w:p w:rsidR="0050341E" w:rsidRPr="007729CA" w:rsidRDefault="0050341E" w:rsidP="007729CA">
      <w:pPr>
        <w:pStyle w:val="FootnoteText"/>
        <w:ind w:left="567" w:hanging="567"/>
        <w:rPr>
          <w:sz w:val="24"/>
          <w:lang w:val="lv-LV"/>
        </w:rPr>
      </w:pPr>
      <w:r w:rsidRPr="007729CA">
        <w:rPr>
          <w:rStyle w:val="FootnoteReference"/>
          <w:sz w:val="24"/>
          <w:lang w:val="lv-LV"/>
        </w:rPr>
        <w:footnoteRef/>
      </w:r>
      <w:r w:rsidR="007729CA" w:rsidRPr="007729CA">
        <w:rPr>
          <w:sz w:val="24"/>
          <w:lang w:val="lv-LV"/>
        </w:rPr>
        <w:t xml:space="preserve"> </w:t>
      </w:r>
      <w:r w:rsidR="007729CA" w:rsidRPr="007729CA">
        <w:rPr>
          <w:sz w:val="24"/>
          <w:lang w:val="lv-LV"/>
        </w:rPr>
        <w:tab/>
      </w:r>
      <w:r w:rsidRPr="00A11A24">
        <w:rPr>
          <w:sz w:val="24"/>
          <w:lang w:val="lv-LV"/>
        </w:rPr>
        <w:t>OV C 214, 16.6.2023., 2.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LV"/>
    <w:docVar w:name="dvnumam" w:val="0"/>
    <w:docVar w:name="dvpe" w:val="768.068"/>
    <w:docVar w:name="dvrapporteur" w:val="Referents: "/>
    <w:docVar w:name="dvtitre" w:val="Eiropas Parlamenta 2025. gada XX. XXX  rezolūcija par Lūgumrakstu komitejas apspriedēm 2023. gadā(2025/2027(INI))"/>
  </w:docVars>
  <w:rsids>
    <w:rsidRoot w:val="003E6227"/>
    <w:rsid w:val="00002272"/>
    <w:rsid w:val="00010354"/>
    <w:rsid w:val="00020D47"/>
    <w:rsid w:val="00064002"/>
    <w:rsid w:val="000677B9"/>
    <w:rsid w:val="000831BA"/>
    <w:rsid w:val="000A42CC"/>
    <w:rsid w:val="000D125D"/>
    <w:rsid w:val="000D20C0"/>
    <w:rsid w:val="000E7DD9"/>
    <w:rsid w:val="0010095E"/>
    <w:rsid w:val="001035EE"/>
    <w:rsid w:val="00125B37"/>
    <w:rsid w:val="00187494"/>
    <w:rsid w:val="001F32AE"/>
    <w:rsid w:val="002767FF"/>
    <w:rsid w:val="002B18FE"/>
    <w:rsid w:val="002B5493"/>
    <w:rsid w:val="00343214"/>
    <w:rsid w:val="003538D6"/>
    <w:rsid w:val="00361C00"/>
    <w:rsid w:val="00395FA1"/>
    <w:rsid w:val="003C1F94"/>
    <w:rsid w:val="003E15D4"/>
    <w:rsid w:val="003E6227"/>
    <w:rsid w:val="00411CCE"/>
    <w:rsid w:val="0041666E"/>
    <w:rsid w:val="00421060"/>
    <w:rsid w:val="00467519"/>
    <w:rsid w:val="00471C19"/>
    <w:rsid w:val="004867E3"/>
    <w:rsid w:val="00494A28"/>
    <w:rsid w:val="004C0004"/>
    <w:rsid w:val="004C5D52"/>
    <w:rsid w:val="0050341E"/>
    <w:rsid w:val="0050519A"/>
    <w:rsid w:val="005072A1"/>
    <w:rsid w:val="00514517"/>
    <w:rsid w:val="00545827"/>
    <w:rsid w:val="00553F11"/>
    <w:rsid w:val="00560270"/>
    <w:rsid w:val="005C2568"/>
    <w:rsid w:val="005F1B17"/>
    <w:rsid w:val="006037C0"/>
    <w:rsid w:val="006631B6"/>
    <w:rsid w:val="00680577"/>
    <w:rsid w:val="006F74FA"/>
    <w:rsid w:val="00731ADD"/>
    <w:rsid w:val="00734777"/>
    <w:rsid w:val="00747932"/>
    <w:rsid w:val="00751A4A"/>
    <w:rsid w:val="00756632"/>
    <w:rsid w:val="00762C74"/>
    <w:rsid w:val="007729CA"/>
    <w:rsid w:val="00786EC0"/>
    <w:rsid w:val="007D1690"/>
    <w:rsid w:val="007E22AD"/>
    <w:rsid w:val="00817416"/>
    <w:rsid w:val="00826028"/>
    <w:rsid w:val="00842779"/>
    <w:rsid w:val="00865F67"/>
    <w:rsid w:val="00881A7B"/>
    <w:rsid w:val="008840E5"/>
    <w:rsid w:val="00887B3E"/>
    <w:rsid w:val="008C2AC6"/>
    <w:rsid w:val="00930C23"/>
    <w:rsid w:val="0093193B"/>
    <w:rsid w:val="009509D8"/>
    <w:rsid w:val="00950B64"/>
    <w:rsid w:val="00981893"/>
    <w:rsid w:val="00A11A24"/>
    <w:rsid w:val="00A1687D"/>
    <w:rsid w:val="00A43E52"/>
    <w:rsid w:val="00A4678D"/>
    <w:rsid w:val="00A778C7"/>
    <w:rsid w:val="00AB441E"/>
    <w:rsid w:val="00AB6293"/>
    <w:rsid w:val="00AE0928"/>
    <w:rsid w:val="00AE0E9D"/>
    <w:rsid w:val="00AF3B82"/>
    <w:rsid w:val="00B12E95"/>
    <w:rsid w:val="00B22876"/>
    <w:rsid w:val="00B558F0"/>
    <w:rsid w:val="00BD48FE"/>
    <w:rsid w:val="00BD7BD8"/>
    <w:rsid w:val="00BE6ADC"/>
    <w:rsid w:val="00BF3E87"/>
    <w:rsid w:val="00C05BFE"/>
    <w:rsid w:val="00C23CD4"/>
    <w:rsid w:val="00C61C0C"/>
    <w:rsid w:val="00C941CB"/>
    <w:rsid w:val="00CC2357"/>
    <w:rsid w:val="00CF071A"/>
    <w:rsid w:val="00D058B8"/>
    <w:rsid w:val="00D220CB"/>
    <w:rsid w:val="00D56C11"/>
    <w:rsid w:val="00D834A0"/>
    <w:rsid w:val="00D872DF"/>
    <w:rsid w:val="00D91E21"/>
    <w:rsid w:val="00DA7FCD"/>
    <w:rsid w:val="00E137F1"/>
    <w:rsid w:val="00E365E1"/>
    <w:rsid w:val="00E820A4"/>
    <w:rsid w:val="00EB006A"/>
    <w:rsid w:val="00EB4772"/>
    <w:rsid w:val="00ED169E"/>
    <w:rsid w:val="00ED4235"/>
    <w:rsid w:val="00F04346"/>
    <w:rsid w:val="00F075DC"/>
    <w:rsid w:val="00F149E9"/>
    <w:rsid w:val="00F509F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5392D"/>
  <w15:chartTrackingRefBased/>
  <w15:docId w15:val="{E3CDC5C3-0F48-406F-A145-85AC68C6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uiPriority w:val="99"/>
    <w:rsid w:val="0050341E"/>
    <w:rPr>
      <w:b/>
    </w:rPr>
  </w:style>
  <w:style w:type="paragraph" w:customStyle="1" w:styleId="NormalHanging12a">
    <w:name w:val="NormalHanging12a"/>
    <w:basedOn w:val="Normal"/>
    <w:link w:val="NormalHanging12aChar"/>
    <w:rsid w:val="0050341E"/>
    <w:pPr>
      <w:spacing w:after="240"/>
      <w:ind w:left="567" w:hanging="567"/>
    </w:pPr>
  </w:style>
  <w:style w:type="paragraph" w:customStyle="1" w:styleId="EPComma">
    <w:name w:val="EPComma"/>
    <w:basedOn w:val="Normal"/>
    <w:uiPriority w:val="99"/>
    <w:rsid w:val="0050341E"/>
    <w:pPr>
      <w:spacing w:before="480" w:after="240"/>
    </w:pPr>
  </w:style>
  <w:style w:type="character" w:styleId="Hyperlink">
    <w:name w:val="Hyperlink"/>
    <w:basedOn w:val="DefaultParagraphFont"/>
    <w:uiPriority w:val="99"/>
    <w:unhideWhenUsed/>
    <w:rsid w:val="0050341E"/>
    <w:rPr>
      <w:color w:val="0000FF"/>
      <w:u w:val="single"/>
    </w:rPr>
  </w:style>
  <w:style w:type="character" w:customStyle="1" w:styleId="NormalHanging12aChar">
    <w:name w:val="NormalHanging12a Char"/>
    <w:basedOn w:val="DefaultParagraphFont"/>
    <w:link w:val="NormalHanging12a"/>
    <w:rsid w:val="0050341E"/>
    <w:rPr>
      <w:sz w:val="24"/>
      <w:lang w:val="lv-LV"/>
    </w:rPr>
  </w:style>
  <w:style w:type="paragraph" w:styleId="BalloonText">
    <w:name w:val="Balloon Text"/>
    <w:basedOn w:val="Normal"/>
    <w:link w:val="BalloonTextChar"/>
    <w:rsid w:val="000D125D"/>
    <w:rPr>
      <w:rFonts w:ascii="Segoe UI" w:hAnsi="Segoe UI" w:cs="Segoe UI"/>
      <w:sz w:val="18"/>
      <w:szCs w:val="18"/>
    </w:rPr>
  </w:style>
  <w:style w:type="character" w:customStyle="1" w:styleId="BalloonTextChar">
    <w:name w:val="Balloon Text Char"/>
    <w:basedOn w:val="DefaultParagraphFont"/>
    <w:link w:val="BalloonText"/>
    <w:rsid w:val="000D125D"/>
    <w:rPr>
      <w:rFonts w:ascii="Segoe UI" w:hAnsi="Segoe UI" w:cs="Segoe UI"/>
      <w:sz w:val="18"/>
      <w:szCs w:val="18"/>
      <w:lang w:val="lv-LV"/>
    </w:rPr>
  </w:style>
  <w:style w:type="paragraph" w:styleId="Header">
    <w:name w:val="header"/>
    <w:basedOn w:val="Normal"/>
    <w:link w:val="HeaderChar"/>
    <w:rsid w:val="00010354"/>
    <w:pPr>
      <w:tabs>
        <w:tab w:val="center" w:pos="4513"/>
        <w:tab w:val="right" w:pos="9026"/>
      </w:tabs>
    </w:pPr>
  </w:style>
  <w:style w:type="character" w:customStyle="1" w:styleId="HeaderChar">
    <w:name w:val="Header Char"/>
    <w:basedOn w:val="DefaultParagraphFont"/>
    <w:link w:val="Header"/>
    <w:rsid w:val="00010354"/>
    <w:rPr>
      <w:sz w:val="24"/>
      <w:lang w:val="lv-LV"/>
    </w:rPr>
  </w:style>
  <w:style w:type="paragraph" w:styleId="Footer">
    <w:name w:val="footer"/>
    <w:basedOn w:val="Normal"/>
    <w:link w:val="FooterChar"/>
    <w:rsid w:val="00010354"/>
    <w:pPr>
      <w:tabs>
        <w:tab w:val="center" w:pos="4513"/>
        <w:tab w:val="right" w:pos="9026"/>
      </w:tabs>
    </w:pPr>
  </w:style>
  <w:style w:type="character" w:customStyle="1" w:styleId="FooterChar">
    <w:name w:val="Footer Char"/>
    <w:basedOn w:val="DefaultParagraphFont"/>
    <w:link w:val="Footer"/>
    <w:rsid w:val="0001035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BCD9E-CE44-4608-9C57-7CB4C5CFA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5734</Words>
  <Characters>38150</Characters>
  <Application>Microsoft Office Word</Application>
  <DocSecurity>0</DocSecurity>
  <Lines>605</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2025-06-12T15:24:00Z</dcterms:created>
  <dcterms:modified xsi:type="dcterms:W3CDTF">2025-06-12T15:24:00Z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A10-0063/2025</vt:lpwstr>
  </property>
  <property fmtid="{D5CDD505-2E9C-101B-9397-08002B2CF9AE}" pid="4" name="&lt;Type&gt;">
    <vt:lpwstr>RR</vt:lpwstr>
  </property>
</Properties>
</file>