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7953" w14:paraId="250B7C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78213F" w14:textId="77777777" w:rsidR="00751A4A" w:rsidRPr="00A07953" w:rsidRDefault="006A6B70" w:rsidP="0010095E">
            <w:pPr>
              <w:pStyle w:val="EPName"/>
            </w:pPr>
            <w:r w:rsidRPr="00A07953">
              <w:t>Európsky parlament</w:t>
            </w:r>
          </w:p>
          <w:p w14:paraId="45A03C30" w14:textId="77777777" w:rsidR="00751A4A" w:rsidRPr="00A079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7953">
              <w:t>2024</w:t>
            </w:r>
            <w:r w:rsidR="00817416" w:rsidRPr="00A07953">
              <w:t>-202</w:t>
            </w:r>
            <w:r w:rsidRPr="00A07953">
              <w:t>9</w:t>
            </w:r>
          </w:p>
        </w:tc>
        <w:tc>
          <w:tcPr>
            <w:tcW w:w="2268" w:type="dxa"/>
            <w:shd w:val="clear" w:color="auto" w:fill="auto"/>
          </w:tcPr>
          <w:p w14:paraId="2F31D029" w14:textId="77777777" w:rsidR="00751A4A" w:rsidRPr="00A07953" w:rsidRDefault="00187494" w:rsidP="0010095E">
            <w:pPr>
              <w:pStyle w:val="EPLogo"/>
            </w:pPr>
            <w:r w:rsidRPr="00A07953">
              <w:rPr>
                <w:noProof/>
                <w:lang w:val="en-GB"/>
              </w:rPr>
              <w:drawing>
                <wp:inline distT="0" distB="0" distL="0" distR="0" wp14:anchorId="07F0D9B8" wp14:editId="3DDD1C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BDB302" w14:textId="77777777" w:rsidR="00D058B8" w:rsidRPr="00A07953" w:rsidRDefault="00D058B8" w:rsidP="004C5D52">
      <w:pPr>
        <w:pStyle w:val="LineTop"/>
      </w:pPr>
    </w:p>
    <w:p w14:paraId="3C8924B9" w14:textId="77777777" w:rsidR="00680577" w:rsidRPr="00A07953" w:rsidRDefault="006A6B70" w:rsidP="00680577">
      <w:pPr>
        <w:pStyle w:val="EPBodyTA1"/>
      </w:pPr>
      <w:r w:rsidRPr="00A07953">
        <w:t>PRIJATÉ TEXTY</w:t>
      </w:r>
    </w:p>
    <w:p w14:paraId="7452B49B" w14:textId="77777777" w:rsidR="00D058B8" w:rsidRPr="00A07953" w:rsidRDefault="00D058B8" w:rsidP="00D058B8">
      <w:pPr>
        <w:pStyle w:val="LineBottom"/>
      </w:pPr>
    </w:p>
    <w:p w14:paraId="23E791A0" w14:textId="77777777" w:rsidR="006A6B70" w:rsidRPr="00A07953" w:rsidRDefault="006A6B70" w:rsidP="006A6B70">
      <w:pPr>
        <w:pStyle w:val="ATHeading1"/>
      </w:pPr>
      <w:bookmarkStart w:id="0" w:name="TANumber"/>
      <w:r w:rsidRPr="00A07953">
        <w:t>P10_TA(2025)0</w:t>
      </w:r>
      <w:r w:rsidR="00A07953" w:rsidRPr="00A07953">
        <w:t>114</w:t>
      </w:r>
      <w:bookmarkEnd w:id="0"/>
    </w:p>
    <w:p w14:paraId="05CA6F96" w14:textId="77777777" w:rsidR="006A6B70" w:rsidRPr="00A07953" w:rsidRDefault="006A6B70" w:rsidP="006A6B70">
      <w:pPr>
        <w:pStyle w:val="ATHeading2"/>
      </w:pPr>
      <w:bookmarkStart w:id="1" w:name="title"/>
      <w:r w:rsidRPr="00A07953">
        <w:t>Rokovania Výboru pre petície v roku 2023</w:t>
      </w:r>
      <w:bookmarkEnd w:id="1"/>
    </w:p>
    <w:p w14:paraId="42277368" w14:textId="77777777" w:rsidR="006A6B70" w:rsidRPr="00A07953" w:rsidRDefault="006A6B70" w:rsidP="006A6B70">
      <w:pPr>
        <w:rPr>
          <w:i/>
          <w:vanish/>
        </w:rPr>
      </w:pPr>
      <w:r w:rsidRPr="00A07953">
        <w:rPr>
          <w:i/>
        </w:rPr>
        <w:fldChar w:fldCharType="begin"/>
      </w:r>
      <w:r w:rsidRPr="00A07953">
        <w:rPr>
          <w:i/>
        </w:rPr>
        <w:instrText xml:space="preserve"> TC"(</w:instrText>
      </w:r>
      <w:bookmarkStart w:id="2" w:name="DocNumber"/>
      <w:r w:rsidRPr="00A07953">
        <w:rPr>
          <w:i/>
        </w:rPr>
        <w:instrText>A10-0063/2025</w:instrText>
      </w:r>
      <w:bookmarkEnd w:id="2"/>
      <w:r w:rsidRPr="00A07953">
        <w:rPr>
          <w:i/>
        </w:rPr>
        <w:instrText xml:space="preserve"> - Spravodajca: Gheorghe Falcă)"\l3 \n&gt; \* MERGEFORMAT </w:instrText>
      </w:r>
      <w:r w:rsidRPr="00A07953">
        <w:rPr>
          <w:i/>
        </w:rPr>
        <w:fldChar w:fldCharType="end"/>
      </w:r>
    </w:p>
    <w:p w14:paraId="7E83332C" w14:textId="77777777" w:rsidR="006A6B70" w:rsidRPr="00A07953" w:rsidRDefault="006A6B70" w:rsidP="006A6B70">
      <w:pPr>
        <w:rPr>
          <w:vanish/>
        </w:rPr>
      </w:pPr>
      <w:bookmarkStart w:id="3" w:name="Commission"/>
      <w:r w:rsidRPr="00A07953">
        <w:rPr>
          <w:vanish/>
        </w:rPr>
        <w:t>Výbor pre petície</w:t>
      </w:r>
      <w:bookmarkEnd w:id="3"/>
    </w:p>
    <w:p w14:paraId="0A4F0963" w14:textId="77777777" w:rsidR="006A6B70" w:rsidRPr="00A07953" w:rsidRDefault="006A6B70" w:rsidP="006A6B70">
      <w:pPr>
        <w:rPr>
          <w:vanish/>
        </w:rPr>
      </w:pPr>
      <w:bookmarkStart w:id="4" w:name="PE"/>
      <w:r w:rsidRPr="00A07953">
        <w:rPr>
          <w:vanish/>
        </w:rPr>
        <w:t>PE768.068</w:t>
      </w:r>
      <w:bookmarkEnd w:id="4"/>
    </w:p>
    <w:p w14:paraId="1527CBBF" w14:textId="77777777" w:rsidR="006A6B70" w:rsidRPr="00A07953" w:rsidRDefault="006A6B70" w:rsidP="006A6B70">
      <w:pPr>
        <w:pStyle w:val="ATHeading3"/>
      </w:pPr>
      <w:bookmarkStart w:id="5" w:name="Sujet"/>
      <w:r w:rsidRPr="00A07953">
        <w:t>Uznesenie Európskeho parlamentu z</w:t>
      </w:r>
      <w:r w:rsidR="00A621A1" w:rsidRPr="00A07953">
        <w:t> 22</w:t>
      </w:r>
      <w:r w:rsidRPr="00A07953">
        <w:t>. mája 2025 o rokovaniach Výboru pre petície v roku 2023</w:t>
      </w:r>
      <w:bookmarkEnd w:id="5"/>
      <w:r w:rsidRPr="00A07953">
        <w:t xml:space="preserve"> </w:t>
      </w:r>
      <w:bookmarkStart w:id="6" w:name="References"/>
      <w:r w:rsidRPr="00A07953">
        <w:t>(2025/2027(INI))</w:t>
      </w:r>
      <w:bookmarkEnd w:id="6"/>
    </w:p>
    <w:p w14:paraId="32C01B61" w14:textId="77777777" w:rsidR="00510060" w:rsidRPr="00A07953" w:rsidRDefault="00510060" w:rsidP="00510060">
      <w:pPr>
        <w:pStyle w:val="EPComma"/>
      </w:pPr>
      <w:r w:rsidRPr="00A07953">
        <w:rPr>
          <w:i/>
        </w:rPr>
        <w:t>Európsky parlament</w:t>
      </w:r>
      <w:r w:rsidRPr="00A07953">
        <w:t>,</w:t>
      </w:r>
    </w:p>
    <w:p w14:paraId="0EE72C89" w14:textId="77777777" w:rsidR="00510060" w:rsidRPr="00A07953" w:rsidRDefault="00510060" w:rsidP="00510060">
      <w:pPr>
        <w:pStyle w:val="NormalHanging12a"/>
      </w:pPr>
      <w:r w:rsidRPr="00A07953">
        <w:t>–</w:t>
      </w:r>
      <w:r w:rsidRPr="00A07953">
        <w:tab/>
        <w:t>so zreteľom na svoje predchádzajúce uznesenia o výsledkoch rokovaní Výboru pre petície,</w:t>
      </w:r>
    </w:p>
    <w:p w14:paraId="55A44482" w14:textId="77777777" w:rsidR="00510060" w:rsidRPr="00A07953" w:rsidRDefault="00510060" w:rsidP="00510060">
      <w:pPr>
        <w:pStyle w:val="NormalHanging12a"/>
      </w:pPr>
      <w:r w:rsidRPr="00A07953">
        <w:t>–</w:t>
      </w:r>
      <w:r w:rsidRPr="00A07953">
        <w:tab/>
        <w:t>so zreteľom na články 10 a 11 Zmluvy o Európskej únii (ďalej len „Zmluva o EÚ“),</w:t>
      </w:r>
    </w:p>
    <w:p w14:paraId="19E506AC" w14:textId="77777777" w:rsidR="00510060" w:rsidRPr="00A07953" w:rsidRDefault="00510060" w:rsidP="00510060">
      <w:pPr>
        <w:pStyle w:val="NormalHanging12a"/>
      </w:pPr>
      <w:r w:rsidRPr="00A07953">
        <w:t>–</w:t>
      </w:r>
      <w:r w:rsidRPr="00A07953">
        <w:tab/>
        <w:t xml:space="preserve">so zreteľom na články 20, 24 a 227 Zmluvy o fungovaní Európskej únie (ďalej len „ZFEÚ“) o práve občanov a obyvateľov EÚ predložiť </w:t>
      </w:r>
      <w:r w:rsidR="00A621A1" w:rsidRPr="00A07953">
        <w:t>Európskemu p</w:t>
      </w:r>
      <w:r w:rsidRPr="00A07953">
        <w:t>arlamentu svoje pripomienky,</w:t>
      </w:r>
    </w:p>
    <w:p w14:paraId="023DA6FD" w14:textId="77777777" w:rsidR="00510060" w:rsidRPr="00A07953" w:rsidRDefault="00510060" w:rsidP="00510060">
      <w:pPr>
        <w:pStyle w:val="NormalHanging12a"/>
      </w:pPr>
      <w:r w:rsidRPr="00A07953">
        <w:t>–</w:t>
      </w:r>
      <w:r w:rsidRPr="00A07953">
        <w:tab/>
        <w:t>so zreteľom na článok 228 ZFEÚ o úlohe a funkciách európskeho ombudsmana,</w:t>
      </w:r>
    </w:p>
    <w:p w14:paraId="123BFBB9" w14:textId="77777777" w:rsidR="00510060" w:rsidRPr="00A07953" w:rsidRDefault="00510060" w:rsidP="00510060">
      <w:pPr>
        <w:pStyle w:val="NormalHanging12a"/>
      </w:pPr>
      <w:r w:rsidRPr="00A07953">
        <w:t>–</w:t>
      </w:r>
      <w:r w:rsidRPr="00A07953">
        <w:tab/>
        <w:t>so zreteľom na článok 44 Charty základných práv Európskej únie o práve obrátiť sa s petíciou na Európsky parlament,</w:t>
      </w:r>
    </w:p>
    <w:p w14:paraId="2234AA73" w14:textId="77777777" w:rsidR="00510060" w:rsidRDefault="00510060" w:rsidP="00510060">
      <w:pPr>
        <w:pStyle w:val="NormalHanging12a"/>
      </w:pPr>
      <w:r w:rsidRPr="00A07953">
        <w:t>–</w:t>
      </w:r>
      <w:r w:rsidRPr="00A07953">
        <w:tab/>
        <w:t>so zreteľom na ustanovenia ZFEÚ, ktoré sa týkajú postupu v prípade nesplnenia povinnosti, najmä na články 258 a 260,</w:t>
      </w:r>
    </w:p>
    <w:p w14:paraId="597BB7C5" w14:textId="77777777" w:rsidR="0054661E" w:rsidRPr="00A07953" w:rsidRDefault="0054661E" w:rsidP="00510060">
      <w:pPr>
        <w:pStyle w:val="NormalHanging12a"/>
      </w:pPr>
      <w:r>
        <w:t>–</w:t>
      </w:r>
      <w:r>
        <w:tab/>
      </w:r>
      <w:r w:rsidRPr="0054661E">
        <w:t>so zreteľom na záverečné pripomienky Výboru OSN pre práva osôb so zdravotným postihnutím z 21. marca 2025 ku kombinovanej druhej a tretej pravidelnej správe Európskej únie,</w:t>
      </w:r>
    </w:p>
    <w:p w14:paraId="7A45F108" w14:textId="77777777" w:rsidR="00510060" w:rsidRPr="00A07953" w:rsidRDefault="00510060" w:rsidP="00510060">
      <w:pPr>
        <w:pStyle w:val="NormalHanging12a"/>
      </w:pPr>
      <w:r w:rsidRPr="00A07953">
        <w:t>–</w:t>
      </w:r>
      <w:r w:rsidRPr="00A07953">
        <w:tab/>
        <w:t>so zreteľom na článok 55 a článok 233 ods. 7 rokovacieho poriadku,</w:t>
      </w:r>
    </w:p>
    <w:p w14:paraId="683CB265" w14:textId="32E2AC15" w:rsidR="00510060" w:rsidRPr="00A07953" w:rsidRDefault="00510060" w:rsidP="00510060">
      <w:pPr>
        <w:pStyle w:val="NormalHanging12a"/>
      </w:pPr>
      <w:r w:rsidRPr="00A07953">
        <w:t>–</w:t>
      </w:r>
      <w:r w:rsidRPr="00A07953">
        <w:tab/>
        <w:t xml:space="preserve">so zreteľom na správu Výboru pre </w:t>
      </w:r>
      <w:r w:rsidR="007E522B">
        <w:t>petície</w:t>
      </w:r>
      <w:r w:rsidR="007E522B" w:rsidRPr="00A07953">
        <w:t xml:space="preserve"> </w:t>
      </w:r>
      <w:r w:rsidRPr="00A07953">
        <w:t>(A10-0063/2025)</w:t>
      </w:r>
      <w:r w:rsidR="00CD058B">
        <w:t>,</w:t>
      </w:r>
    </w:p>
    <w:p w14:paraId="7B94BB82" w14:textId="77777777" w:rsidR="00510060" w:rsidRPr="00A07953" w:rsidRDefault="00510060" w:rsidP="00510060">
      <w:pPr>
        <w:pStyle w:val="NormalHanging12a"/>
      </w:pPr>
      <w:r w:rsidRPr="00A07953">
        <w:t>A.</w:t>
      </w:r>
      <w:r w:rsidRPr="00A07953">
        <w:tab/>
        <w:t>keďže cieľom výročnej správy o výsledkoch rokovaní Výboru pre petície je predložiť analýzu petícií prijatých v roku 2021 a vzťahov s ostatnými inštitúciami, ako aj poskytnúť pravdivý obraz o cieľoch dosiahnutých v priebehu roka 2023;</w:t>
      </w:r>
    </w:p>
    <w:p w14:paraId="13EA5CDF" w14:textId="77777777" w:rsidR="00510060" w:rsidRPr="00A07953" w:rsidRDefault="00510060" w:rsidP="00510060">
      <w:pPr>
        <w:pStyle w:val="NormalHanging12a"/>
      </w:pPr>
      <w:r w:rsidRPr="00A07953">
        <w:t>B.</w:t>
      </w:r>
      <w:r w:rsidRPr="00A07953">
        <w:tab/>
        <w:t xml:space="preserve">keďže v roku 2023 dostal </w:t>
      </w:r>
      <w:r w:rsidR="00A621A1" w:rsidRPr="00A07953">
        <w:t>Európsky p</w:t>
      </w:r>
      <w:r w:rsidRPr="00A07953">
        <w:t xml:space="preserve">arlament 1 452 petícií, čo predstavuje nárast o 16,2 % v porovnaní s 1 217 petíciami predloženými v roku 2022 a nárast o 4,0 % v porovnaní s 1 392 petíciami predloženými v roku 2021; keďže celkový počet prijatých petícií je naďalej značne nižší ako najvyšší počet dosiahnutý v rokoch 2013 a 2014, keď </w:t>
      </w:r>
      <w:r w:rsidR="00A621A1" w:rsidRPr="00A07953">
        <w:lastRenderedPageBreak/>
        <w:t>Európsky p</w:t>
      </w:r>
      <w:r w:rsidRPr="00A07953">
        <w:t>arlament dostal 2 891 a</w:t>
      </w:r>
      <w:r w:rsidR="00EB6EC8">
        <w:t xml:space="preserve"> 2 </w:t>
      </w:r>
      <w:r w:rsidRPr="00A07953">
        <w:t>715 petícií;</w:t>
      </w:r>
    </w:p>
    <w:p w14:paraId="20F98731" w14:textId="77777777" w:rsidR="00510060" w:rsidRPr="00A07953" w:rsidRDefault="00510060" w:rsidP="00510060">
      <w:pPr>
        <w:pStyle w:val="NormalHanging12a"/>
      </w:pPr>
      <w:r w:rsidRPr="00A07953">
        <w:t>C.</w:t>
      </w:r>
      <w:r w:rsidRPr="00A07953">
        <w:tab/>
        <w:t xml:space="preserve">keďže v roku 2023 podporilo jednu alebo viacero petícií na webovom portáli </w:t>
      </w:r>
      <w:r w:rsidR="00A621A1" w:rsidRPr="00A07953">
        <w:t>Európskeho p</w:t>
      </w:r>
      <w:r w:rsidRPr="00A07953">
        <w:t>arlamentu pre petície 26 331 používateľov, čo predstavuje výrazný nárast v porovnaní s 22 441 používateľmi zaznamenanými v roku 2022 (oba počty sú výrazne nižšie ako 209 272 podporovateľov zaznamenaných v roku 2021); keďže počet kliknutí na podporu petícií sa v roku 2023 takisto mierne zvýšil na celkovo 29 287 kliknutí (v porovnaní s 27 927 v roku 2022 a 217 876 v roku 2021);</w:t>
      </w:r>
    </w:p>
    <w:p w14:paraId="1FC434C6" w14:textId="77777777" w:rsidR="00510060" w:rsidRPr="00A07953" w:rsidRDefault="00510060" w:rsidP="00510060">
      <w:pPr>
        <w:pStyle w:val="NormalHanging12a"/>
      </w:pPr>
      <w:r w:rsidRPr="00A07953">
        <w:t>D.</w:t>
      </w:r>
      <w:r w:rsidRPr="00A07953">
        <w:tab/>
        <w:t>keďže celkový počet petícií však zostáva v pomere k celkovému počtu obyvateľov EÚ nízky, čo ukazuje, že je stále potrebné zintenzívniť úsilie o zvýšenie informovanosti občanov o ich petičnom práve a o tom, že petície môžu predstavovať užitočný spôsob, ako inštitúcie a členské štáty upozorniť na témy, ktoré sa občanov priamo týkajú a ktoré ich znepokojujú; keďže pri uplatňovaní petičného práva občania očakávajú, že hľadaním riešenia ich problémov inštitúcie EÚ poskytnú pridanú hodnotu;</w:t>
      </w:r>
    </w:p>
    <w:p w14:paraId="45295ED4" w14:textId="77777777" w:rsidR="00510060" w:rsidRPr="00A07953" w:rsidRDefault="00510060" w:rsidP="00510060">
      <w:pPr>
        <w:pStyle w:val="NormalHanging12a"/>
      </w:pPr>
      <w:r w:rsidRPr="00A07953">
        <w:t>E.</w:t>
      </w:r>
      <w:r w:rsidRPr="00A07953">
        <w:tab/>
        <w:t>keďže kritériá prípustnosti petícií sú stanovené v článku 227 ZFEÚ a v článku 232 ods. 1 rokovacieho poriadku Európskeho parlamentu, v ktorých sa vyžaduje, aby petície predložil občan EÚ alebo fyzická alebo právnická osoba, ktorá má bydlisko alebo sídlo v členskom štáte a priamo sa jej dotýkajú záležitosti, ktoré patria do pôsobnosti EÚ;</w:t>
      </w:r>
    </w:p>
    <w:p w14:paraId="5F27CF1E" w14:textId="77777777" w:rsidR="00510060" w:rsidRDefault="00510060" w:rsidP="00510060">
      <w:pPr>
        <w:pStyle w:val="NormalHanging12a"/>
      </w:pPr>
      <w:r w:rsidRPr="00A07953">
        <w:t>F.</w:t>
      </w:r>
      <w:r w:rsidRPr="00A07953">
        <w:tab/>
        <w:t>keďže spomedzi 1 452 petícií predložených v roku 2023 bolo 429 vyhlásených za neprípustné a 13 bolo stiahnutých; keďže vysoký percentuálny podiel (29,55 %) neprípustných petícií v roku 2023 potvrdzuje, že občanom stále nie je dostatočne jasný rozsah oblastí zodpovednosti EÚ; keďže v záujme zníženia počtu neprípustných petícií je stále potrebné vyvíjať úsilie na ďalšie objasnenie rozsahu pôsobnosti EÚ;</w:t>
      </w:r>
    </w:p>
    <w:p w14:paraId="1541A584" w14:textId="77777777" w:rsidR="0054661E" w:rsidRPr="00A07953" w:rsidRDefault="00B71ED7" w:rsidP="00510060">
      <w:pPr>
        <w:pStyle w:val="NormalHanging12a"/>
      </w:pPr>
      <w:r>
        <w:t>G</w:t>
      </w:r>
      <w:r w:rsidR="0054661E" w:rsidRPr="0054661E">
        <w:t>.</w:t>
      </w:r>
      <w:r w:rsidR="0054661E" w:rsidRPr="0054661E">
        <w:tab/>
        <w:t xml:space="preserve">keďže Výbor pre petície zohráva významnú úlohu v boji proti diskriminácii rumunských a bulharských občanov v období, keď ich krajiny ešte nevstúpili do schengenského priestoru; keďže </w:t>
      </w:r>
      <w:r w:rsidR="00540BB8">
        <w:t>V</w:t>
      </w:r>
      <w:r w:rsidR="0054661E" w:rsidRPr="0054661E">
        <w:t xml:space="preserve">ýbor </w:t>
      </w:r>
      <w:r w:rsidR="00540BB8" w:rsidRPr="0054661E">
        <w:t xml:space="preserve">pre petície </w:t>
      </w:r>
      <w:r w:rsidR="0054661E" w:rsidRPr="0054661E">
        <w:t>významne prispel k presadzovaniu rovnakého zaobchádzania a riešeniu neodôvodnených prekážok, ktorým čeli</w:t>
      </w:r>
      <w:r w:rsidR="004B589E">
        <w:t>li</w:t>
      </w:r>
      <w:r w:rsidR="0054661E" w:rsidRPr="0054661E">
        <w:t xml:space="preserve"> títo občania; keďže na tento problém upozornila petícia č. 0004/2023, ktorú predložil </w:t>
      </w:r>
      <w:proofErr w:type="spellStart"/>
      <w:r w:rsidR="0054661E" w:rsidRPr="0054661E">
        <w:t>Răzvan</w:t>
      </w:r>
      <w:proofErr w:type="spellEnd"/>
      <w:r w:rsidR="0054661E" w:rsidRPr="0054661E">
        <w:t xml:space="preserve"> Eugen </w:t>
      </w:r>
      <w:proofErr w:type="spellStart"/>
      <w:r w:rsidR="0054661E" w:rsidRPr="0054661E">
        <w:t>Nicolescu</w:t>
      </w:r>
      <w:proofErr w:type="spellEnd"/>
      <w:r w:rsidR="0054661E" w:rsidRPr="0054661E">
        <w:t xml:space="preserve"> v mene združenia </w:t>
      </w:r>
      <w:proofErr w:type="spellStart"/>
      <w:r w:rsidR="0054661E" w:rsidRPr="0054661E">
        <w:t>Asociația</w:t>
      </w:r>
      <w:proofErr w:type="spellEnd"/>
      <w:r w:rsidR="0054661E" w:rsidRPr="0054661E">
        <w:t xml:space="preserve"> </w:t>
      </w:r>
      <w:proofErr w:type="spellStart"/>
      <w:r w:rsidR="0054661E" w:rsidRPr="0054661E">
        <w:t>pentru</w:t>
      </w:r>
      <w:proofErr w:type="spellEnd"/>
      <w:r w:rsidR="0054661E" w:rsidRPr="0054661E">
        <w:t xml:space="preserve"> Energie </w:t>
      </w:r>
      <w:proofErr w:type="spellStart"/>
      <w:r w:rsidR="0054661E" w:rsidRPr="0054661E">
        <w:t>Curată</w:t>
      </w:r>
      <w:proofErr w:type="spellEnd"/>
      <w:r w:rsidR="0054661E" w:rsidRPr="0054661E">
        <w:t xml:space="preserve"> </w:t>
      </w:r>
      <w:proofErr w:type="spellStart"/>
      <w:r w:rsidR="0054661E" w:rsidRPr="0054661E">
        <w:t>și</w:t>
      </w:r>
      <w:proofErr w:type="spellEnd"/>
      <w:r w:rsidR="0054661E" w:rsidRPr="0054661E">
        <w:t xml:space="preserve"> </w:t>
      </w:r>
      <w:proofErr w:type="spellStart"/>
      <w:r w:rsidR="0054661E" w:rsidRPr="0054661E">
        <w:t>Combaterea</w:t>
      </w:r>
      <w:proofErr w:type="spellEnd"/>
      <w:r w:rsidR="0054661E" w:rsidRPr="0054661E">
        <w:t xml:space="preserve"> </w:t>
      </w:r>
      <w:proofErr w:type="spellStart"/>
      <w:r w:rsidR="0054661E" w:rsidRPr="0054661E">
        <w:t>Schimbărilor</w:t>
      </w:r>
      <w:proofErr w:type="spellEnd"/>
      <w:r w:rsidR="0054661E" w:rsidRPr="0054661E">
        <w:t xml:space="preserve"> </w:t>
      </w:r>
      <w:proofErr w:type="spellStart"/>
      <w:r w:rsidR="0054661E" w:rsidRPr="0054661E">
        <w:t>Climatice</w:t>
      </w:r>
      <w:proofErr w:type="spellEnd"/>
      <w:r w:rsidR="0054661E" w:rsidRPr="0054661E">
        <w:t>, ako aj následné uznesenie pléna o pristúpení k schengenskému priestoru prijaté podľa článku 227 ods. 2 rokovacieho poriadku</w:t>
      </w:r>
      <w:r w:rsidR="0054661E">
        <w:rPr>
          <w:rStyle w:val="FootnoteReference"/>
        </w:rPr>
        <w:footnoteReference w:id="1"/>
      </w:r>
      <w:r w:rsidR="0054661E" w:rsidRPr="0054661E">
        <w:t>;</w:t>
      </w:r>
    </w:p>
    <w:p w14:paraId="127776D9" w14:textId="77777777" w:rsidR="00510060" w:rsidRPr="00A07953" w:rsidRDefault="00B71ED7" w:rsidP="00510060">
      <w:pPr>
        <w:pStyle w:val="NormalHanging12a"/>
      </w:pPr>
      <w:r>
        <w:t>H</w:t>
      </w:r>
      <w:r w:rsidR="00510060" w:rsidRPr="00A07953">
        <w:t>.</w:t>
      </w:r>
      <w:r w:rsidR="00510060" w:rsidRPr="00A07953">
        <w:tab/>
        <w:t xml:space="preserve">keďže petičné právo obrátiť sa na </w:t>
      </w:r>
      <w:r w:rsidR="00A621A1" w:rsidRPr="00A07953">
        <w:t>Európsky p</w:t>
      </w:r>
      <w:r w:rsidR="00510060" w:rsidRPr="00A07953">
        <w:t>arlament je základným právom občanov EÚ a ponúka občanom aj obyvateľom otvorený, demokratický a transparentný mechanizmus, ako sa priamo obrátiť na svojich volených zástupcov; keďže tento základný nástroj umožňuje občanom aktívne a účinne sa zúčastňovať na živote Únie; keďže občania EÚ sa môžu prostredníctvom petícií sťažovať na nevykonávanie právnych predpisov EÚ a môžu pomôcť pri odhaľovaní porušovania právnych predpisov EÚ;</w:t>
      </w:r>
    </w:p>
    <w:p w14:paraId="0C1717A9" w14:textId="77777777" w:rsidR="00510060" w:rsidRPr="00A07953" w:rsidRDefault="00B71ED7" w:rsidP="00510060">
      <w:pPr>
        <w:pStyle w:val="NormalHanging12a"/>
      </w:pPr>
      <w:r>
        <w:t>I</w:t>
      </w:r>
      <w:r w:rsidR="00510060" w:rsidRPr="00A07953">
        <w:t>.</w:t>
      </w:r>
      <w:r w:rsidR="00510060" w:rsidRPr="00A07953">
        <w:tab/>
        <w:t xml:space="preserve">keďže </w:t>
      </w:r>
      <w:r w:rsidR="00A621A1" w:rsidRPr="00A07953">
        <w:t>Európsky p</w:t>
      </w:r>
      <w:r w:rsidR="00510060" w:rsidRPr="00A07953">
        <w:t xml:space="preserve">arlament je jedinou inštitúciou EÚ priamo volenou občanmi EÚ; keďže petičné právo Európskeho parlamentu je jedným zo základných práv občanov EÚ a osôb s pobytom v EÚ, ktoré im umožňuje obrátiť sa priamo na svojich volených zástupcov; </w:t>
      </w:r>
      <w:r w:rsidR="0054661E" w:rsidRPr="0054661E">
        <w:t xml:space="preserve">keďže mnoho osôb so zdravotným postihnutím nemá rovnaký prístup k informáciám a komunikácii pre obmedzenú dostupnosť prístupných formátov a preto, </w:t>
      </w:r>
      <w:r w:rsidR="0054661E" w:rsidRPr="0054661E">
        <w:lastRenderedPageBreak/>
        <w:t xml:space="preserve">že národné posunkové jazyky sa nepovažujú za súčasť politiky EÚ v oblasti viacjazyčnosti; </w:t>
      </w:r>
      <w:r w:rsidR="00510060" w:rsidRPr="00A07953">
        <w:t xml:space="preserve">keďže </w:t>
      </w:r>
      <w:r w:rsidR="00A621A1" w:rsidRPr="00A07953">
        <w:t>Európsky p</w:t>
      </w:r>
      <w:r w:rsidR="00510060" w:rsidRPr="00A07953">
        <w:t>arlament je dlhodobo v popredí rozvoja postupu predkladania petícií na medzinárodnej úrovni a má najotvorenejší, najdemokratickejší a najtransparentnejší postup predkladania petícií v Európe, čo predkladateľom petícií umožňuje aktívne a účinne sa zúčastňovať na jeho činnostiach, keďže pri uplatňovaní petičného práva občania očakávajú, že inštitúcie EÚ poskytnú pri riešení ich problémov pridanú hodnotu v spolupráci s Komisiou a orgánmi členských štátov;</w:t>
      </w:r>
    </w:p>
    <w:p w14:paraId="6CF3640A" w14:textId="77777777" w:rsidR="00510060" w:rsidRPr="00A07953" w:rsidRDefault="00B71ED7" w:rsidP="00510060">
      <w:pPr>
        <w:pStyle w:val="NormalHanging12a"/>
      </w:pPr>
      <w:r>
        <w:t>J</w:t>
      </w:r>
      <w:r w:rsidR="00510060" w:rsidRPr="00A07953">
        <w:t>.</w:t>
      </w:r>
      <w:r w:rsidR="00510060" w:rsidRPr="00A07953">
        <w:tab/>
        <w:t>keďže informácie, ktoré predkladatelia petícií predložili vo svojich petíciách a počas schôdzí výborov, spolu s posúdeniami Komisie a odpoveďami členských štátov a iných orgánov, sú cenným prínosom aj pre prácu ostatných parlamentných výborov, keďže prípustné petície sa postúpia príslušnému výboru na zaujatie stanoviska alebo pre informáciu; keďže petície preto môžu zohrávať úlohu aj v legislatívnom procese, poskytovať konkrétnu spätnú väzbu k vplyvu politík EÚ a umožniť politikám riešiť vznikajúce potreby;</w:t>
      </w:r>
    </w:p>
    <w:p w14:paraId="5051D5EF" w14:textId="77777777" w:rsidR="00510060" w:rsidRPr="00A07953" w:rsidRDefault="00B71ED7" w:rsidP="00510060">
      <w:pPr>
        <w:pStyle w:val="NormalHanging12a"/>
      </w:pPr>
      <w:r>
        <w:t>K</w:t>
      </w:r>
      <w:r w:rsidR="00510060" w:rsidRPr="00A07953">
        <w:t>.</w:t>
      </w:r>
      <w:r w:rsidR="00510060" w:rsidRPr="00A07953">
        <w:tab/>
        <w:t xml:space="preserve">keďže činnosť Výboru pre petície je založená na podnetoch predkladateľov petícií, čo umožňuje </w:t>
      </w:r>
      <w:r w:rsidR="00A621A1" w:rsidRPr="00A07953">
        <w:t>Európskemu p</w:t>
      </w:r>
      <w:r w:rsidR="00510060" w:rsidRPr="00A07953">
        <w:t>arlamentu lepšie reagovať na sťažnosti a obavy týkajúce sa dodržiavania základných práv EÚ a dodržiavania právnych predpisov EÚ v členských štátoch; keďže petície sú preto užitočným zdrojom informácií o prípadoch nesprávneho uplatňovania alebo porušovania práva EÚ, čo umožňuje posúdiť uplatňovanie práva EÚ a jeho vplyv na práva občanov a obyvateľov EÚ; keďže v roku 2023 predstavovali základné práva jednu z troch najdôležitejších obáv všetkých predkladateľov petícií; keďže v kontexte štruktúrovaného dialógu s Komisiou Výbor pre petície vyzval Komisiu, aby bojovala proti diskriminácii v Európskej únii, a to aj iniciatívami na zaručenie rovnakých práv a posilnením opatrení proti všetkým formám diskriminácie vrátane diskriminácie založenej na pohlaví, rasovom alebo etnickom pôvode, zdravotnom postihnutí, veku, náboženstve alebo viere a sexuálnej orientácii;</w:t>
      </w:r>
    </w:p>
    <w:p w14:paraId="6E8906DE" w14:textId="77777777" w:rsidR="00510060" w:rsidRPr="00A07953" w:rsidRDefault="00B71ED7" w:rsidP="00510060">
      <w:pPr>
        <w:pStyle w:val="NormalHanging12a"/>
        <w:rPr>
          <w:b/>
          <w:i/>
        </w:rPr>
      </w:pPr>
      <w:r>
        <w:t>L</w:t>
      </w:r>
      <w:r w:rsidR="00510060" w:rsidRPr="00A07953">
        <w:t>.</w:t>
      </w:r>
      <w:r w:rsidR="00510060" w:rsidRPr="00A07953">
        <w:tab/>
        <w:t>keďže podľa článku 17 Zmluvy o EÚ by Komisia mala zabezpečiť správne uplatňovanie zmlúv a opatrení prijatých na ich základe; keďže strategický prístup Komisie k riešeniu otázok nastolených v petíciách musí byť plne v súlade so zmluvami s cieľom zabezpečiť najúčinnejšie následné opatrenia v súvislosti s petíciami s cieľom zaručiť úplnú a včasnú ochranu práv občanov vyplývajúcich z práva EÚ;</w:t>
      </w:r>
    </w:p>
    <w:p w14:paraId="19D952B6" w14:textId="77777777" w:rsidR="00510060" w:rsidRPr="00A07953" w:rsidRDefault="00B71ED7" w:rsidP="00510060">
      <w:pPr>
        <w:pStyle w:val="NormalHanging12a"/>
      </w:pPr>
      <w:r>
        <w:t>M</w:t>
      </w:r>
      <w:r w:rsidR="00510060" w:rsidRPr="00A07953">
        <w:t>.</w:t>
      </w:r>
      <w:r w:rsidR="00510060" w:rsidRPr="00A07953">
        <w:tab/>
        <w:t>keďže každá petícia sa musí starostlivo, efektívne, nestranne, spravodlivo a transparentne posúdiť a preskúmať v súlade s normami stanovenými v článku 41 Charty základných práv Európskej únie o práve na dobrú správu vecí verejných; keďže všetci predkladatelia petícií majú právo dostať odpoveď s informáciami o rozhodnutí výboru o prípustnosti a následných opatreniach, a to v primeranej lehote a vo vlastnom jazyku alebo v jazyku, v ktorom je petícia napísaná; keďže včasné a účinné reakcie Komisie a členských štátov na otázky uvedené v petíciách spolu s prípadnými riešeniami nápravy prispievajú k posilneniu dôvery občanov v Úniu a jej politiky;</w:t>
      </w:r>
    </w:p>
    <w:p w14:paraId="4146BE80" w14:textId="77777777" w:rsidR="00510060" w:rsidRPr="00A07953" w:rsidRDefault="00B71ED7" w:rsidP="00510060">
      <w:pPr>
        <w:pStyle w:val="NormalHanging12a"/>
      </w:pPr>
      <w:r>
        <w:t>N</w:t>
      </w:r>
      <w:r w:rsidR="00510060" w:rsidRPr="00A07953">
        <w:t>.</w:t>
      </w:r>
      <w:r w:rsidR="00510060" w:rsidRPr="00A07953">
        <w:tab/>
        <w:t>keďže Výbor pre petície pripisuje na svojich schôdzach najvyšší význam preskúmaniu petícií a verejnej diskusii o nich; keďže predkladatelia petícií majú právo prezentovať svoje petície a často sa zúčastňujú na diskusii, čím aktívne prispievajú k práci výboru; keďže v roku 2023 usporiadal Výbor pre petície 10 schôdzí výboru, na ktorých sa prediskutovalo 191 petícií, pričom bolo prítomných 114 predkladateľov petícií a aktívne sa zúčastnili na diskusii;</w:t>
      </w:r>
    </w:p>
    <w:p w14:paraId="5206F8AF" w14:textId="77777777" w:rsidR="00510060" w:rsidRPr="00A07953" w:rsidRDefault="00B71ED7" w:rsidP="00510060">
      <w:pPr>
        <w:pStyle w:val="NormalHanging12a"/>
      </w:pPr>
      <w:r>
        <w:lastRenderedPageBreak/>
        <w:t>O</w:t>
      </w:r>
      <w:r w:rsidR="00510060" w:rsidRPr="00A07953">
        <w:t>.</w:t>
      </w:r>
      <w:r w:rsidR="00510060" w:rsidRPr="00A07953">
        <w:tab/>
        <w:t>keďže hlavné problémy, na ktoré upozorňovali petície predložené v roku 2023, sa týkali životného prostredia, základných práv, osobných záležitostí spravodlivosti;</w:t>
      </w:r>
    </w:p>
    <w:p w14:paraId="707F36A6" w14:textId="77777777" w:rsidR="00510060" w:rsidRPr="00A07953" w:rsidRDefault="00B71ED7" w:rsidP="00510060">
      <w:pPr>
        <w:pStyle w:val="NormalHanging12a"/>
      </w:pPr>
      <w:r>
        <w:t>P</w:t>
      </w:r>
      <w:r w:rsidR="00510060" w:rsidRPr="00A07953">
        <w:t>.</w:t>
      </w:r>
      <w:r w:rsidR="00510060" w:rsidRPr="00A07953">
        <w:rPr>
          <w:color w:val="FF0000"/>
        </w:rPr>
        <w:tab/>
      </w:r>
      <w:r w:rsidR="00510060" w:rsidRPr="00A07953">
        <w:t>keďže Výbor pre petície pri prijímaní svojho programu schôdze venuje pozornosť petíciám a témam s vysokou mierou relevantnosti pre diskusiu na úrovni EÚ, a potrebe zachovať vyvážené geografické pokrytie tém podľa doručených petícií;</w:t>
      </w:r>
    </w:p>
    <w:p w14:paraId="5B607FC8" w14:textId="77777777" w:rsidR="00510060" w:rsidRPr="00A07953" w:rsidRDefault="00B71ED7" w:rsidP="00510060">
      <w:pPr>
        <w:pStyle w:val="NormalHanging12a"/>
      </w:pPr>
      <w:r>
        <w:t>Q</w:t>
      </w:r>
      <w:r w:rsidR="00510060" w:rsidRPr="00A07953">
        <w:t>.</w:t>
      </w:r>
      <w:r w:rsidR="00510060" w:rsidRPr="00A07953">
        <w:tab/>
        <w:t xml:space="preserve">keďže 82,4 % petícií prijatých v roku 2023 bolo predložených prostredníctvom webového portálu </w:t>
      </w:r>
      <w:r w:rsidR="00A621A1" w:rsidRPr="00A07953">
        <w:t>Európskeho p</w:t>
      </w:r>
      <w:r w:rsidR="00510060" w:rsidRPr="00A07953">
        <w:t xml:space="preserve">arlamentu pre petície, čo predstavuje mierny nárast v porovnaní s rokom 2022 (79,05 %), čím sa opäť potvrdzuje, že pre občanov ide o zďaleka najpoužívanejší spôsob predkladania petícií </w:t>
      </w:r>
      <w:r w:rsidR="00A621A1" w:rsidRPr="00A07953">
        <w:t>Európskemu p</w:t>
      </w:r>
      <w:r w:rsidR="00510060" w:rsidRPr="00A07953">
        <w:t>arlamentu;</w:t>
      </w:r>
    </w:p>
    <w:p w14:paraId="2012F0B4" w14:textId="77777777" w:rsidR="00510060" w:rsidRPr="00A07953" w:rsidRDefault="00B71ED7" w:rsidP="00510060">
      <w:pPr>
        <w:pStyle w:val="NormalHanging12a"/>
      </w:pPr>
      <w:r>
        <w:t>R</w:t>
      </w:r>
      <w:r w:rsidR="00510060" w:rsidRPr="00A07953">
        <w:t>.</w:t>
      </w:r>
      <w:r w:rsidR="00510060" w:rsidRPr="00A07953">
        <w:tab/>
        <w:t xml:space="preserve">keďže vo februári 2023 bol webový portál pre petície prepracovaný a opätovne spustený s cieľom zosúladiť ho so súčasnými očakávaniami a uľahčiť obyvateľom členských štátov uplatňovanie ich práva predkladať </w:t>
      </w:r>
      <w:r w:rsidR="00A621A1" w:rsidRPr="00A07953">
        <w:t>Európskemu p</w:t>
      </w:r>
      <w:r w:rsidR="00510060" w:rsidRPr="00A07953">
        <w:t xml:space="preserve">arlamentu petície; keďže aktualizovaný portál pre petície 2.0 je bezproblémovo integrovaný s nástrojom </w:t>
      </w:r>
      <w:r w:rsidR="00A621A1" w:rsidRPr="00A07953">
        <w:t>Európskeho p</w:t>
      </w:r>
      <w:r w:rsidR="00510060" w:rsidRPr="00A07953">
        <w:t>arlamentu na uverejňovanie obsahu na internete, čo umožňuje rýchlejšiu a jednoduchšiu aktualizáciu obsahu a nové funkcie (vrátane siedmich „stručných používateľských príručiek“, ktoré poskytujú jasné pokyny krok za krokom na predkladanie, sledovanie a podporu petícií); keďže nový vyhľadávač poháňaný technológiou pružného vyhľadávania zlepšil skúsenosti používateľov tým, že účinne poskytoval presnejšie výsledky, čoho výsledkom bol nový portál, ktorý uprednostňoval prístup zameraný skutočne na občana; keďže počas roka 2023 boli všetky petície pripravené a zverejnené včas, do niekoľkých dní od ich prijatia, a na všetky interné a externé žiadosti o podporu týkajúce sa používania a obsahu portálu pre petície sa odpovedalo úspešne, včas a vo všetkých jazykoch;</w:t>
      </w:r>
    </w:p>
    <w:p w14:paraId="11A8E317" w14:textId="77777777" w:rsidR="00510060" w:rsidRPr="00A07953" w:rsidRDefault="00B71ED7" w:rsidP="00510060">
      <w:pPr>
        <w:pStyle w:val="NormalHanging12a"/>
      </w:pPr>
      <w:r>
        <w:t>S</w:t>
      </w:r>
      <w:r w:rsidR="00510060" w:rsidRPr="00A07953">
        <w:t>.</w:t>
      </w:r>
      <w:r w:rsidR="00510060" w:rsidRPr="00A07953">
        <w:tab/>
        <w:t xml:space="preserve">keďže v roku 2023 Výbor pre petície uskutočnil štyri návštevy na účely zistenia potrebných skutočností, počas ktorých poslanci vycestovali do Rumunska, aby preskúmali riadenie a ochranu populácie medveďa hnedého a nezákonnej ťažby dreva, do </w:t>
      </w:r>
      <w:proofErr w:type="spellStart"/>
      <w:r w:rsidR="00510060" w:rsidRPr="00A07953">
        <w:t>Donegalu</w:t>
      </w:r>
      <w:proofErr w:type="spellEnd"/>
      <w:r w:rsidR="00510060" w:rsidRPr="00A07953">
        <w:t xml:space="preserve"> (Írsko) s cieľom preskúmať používanie poškodených sľudových blokov v stavebníctve v Írsku a do Katalánska (Španielsko) s cieľom posúdiť na mieste model jazykovej </w:t>
      </w:r>
      <w:proofErr w:type="spellStart"/>
      <w:r w:rsidR="00510060" w:rsidRPr="00A07953">
        <w:t>imerzie</w:t>
      </w:r>
      <w:proofErr w:type="spellEnd"/>
      <w:r w:rsidR="00510060" w:rsidRPr="00A07953">
        <w:t xml:space="preserve"> v Katalánsku; keďže členovia </w:t>
      </w:r>
      <w:r w:rsidR="004B589E">
        <w:t>V</w:t>
      </w:r>
      <w:r w:rsidR="00510060" w:rsidRPr="00A07953">
        <w:t xml:space="preserve">ýboru </w:t>
      </w:r>
      <w:r w:rsidR="004B589E" w:rsidRPr="0054661E">
        <w:t xml:space="preserve">pre petície </w:t>
      </w:r>
      <w:r w:rsidR="00510060" w:rsidRPr="00A07953">
        <w:t xml:space="preserve">boli tiež súčasťou spoločnej delegácie Výboru pre zamestnanosť a sociálne veci, Výbor pre občianske slobody, spravodlivosť a vnútorné veci a </w:t>
      </w:r>
      <w:r w:rsidR="004B589E">
        <w:t>V</w:t>
      </w:r>
      <w:r w:rsidR="00510060" w:rsidRPr="00A07953">
        <w:t xml:space="preserve">ýboru </w:t>
      </w:r>
      <w:r w:rsidR="004B589E" w:rsidRPr="0054661E">
        <w:t>pre petície</w:t>
      </w:r>
      <w:r w:rsidR="00510060" w:rsidRPr="00A07953">
        <w:t>, ktoré vycestovali do New Yorku, aby sa zúčastnili na 16. zasadnutí konferencie zmluvných štátov Dohovoru o právach osôb so zdravotným postihnutím (CRPD COSP);</w:t>
      </w:r>
    </w:p>
    <w:p w14:paraId="171C9797" w14:textId="77777777" w:rsidR="00510060" w:rsidRPr="00A07953" w:rsidRDefault="00B71ED7" w:rsidP="00510060">
      <w:pPr>
        <w:pStyle w:val="NormalHanging12a"/>
      </w:pPr>
      <w:r>
        <w:t>T</w:t>
      </w:r>
      <w:r w:rsidR="00510060" w:rsidRPr="00A07953">
        <w:t>.</w:t>
      </w:r>
      <w:r w:rsidR="00510060" w:rsidRPr="00A07953">
        <w:tab/>
        <w:t xml:space="preserve">keďže podľa rokovacieho poriadku Európskeho parlamentu zodpovedá Výbor pre petície aj za vzťahy s európskym ombudsmanom, ktorý vyšetruje sťažnosti týkajúce sa nesprávneho úradného postupu inštitúcií a orgánov EÚ; keďže predchádzajúca európska ombudsmanka </w:t>
      </w:r>
      <w:proofErr w:type="spellStart"/>
      <w:r w:rsidR="00510060" w:rsidRPr="00A07953">
        <w:t>Emily</w:t>
      </w:r>
      <w:proofErr w:type="spellEnd"/>
      <w:r w:rsidR="00510060" w:rsidRPr="00A07953">
        <w:t xml:space="preserve"> </w:t>
      </w:r>
      <w:proofErr w:type="spellStart"/>
      <w:r w:rsidR="00510060" w:rsidRPr="00A07953">
        <w:t>O’Reilly</w:t>
      </w:r>
      <w:proofErr w:type="spellEnd"/>
      <w:r w:rsidR="00510060" w:rsidRPr="00A07953">
        <w:t xml:space="preserve"> predložila svoju výročnú správu za rok 2022 Výboru pre petície na jeho schôdzi 27. júna 2023;</w:t>
      </w:r>
    </w:p>
    <w:p w14:paraId="3EF0321B" w14:textId="77777777" w:rsidR="00510060" w:rsidRPr="00A07953" w:rsidRDefault="00B71ED7" w:rsidP="00510060">
      <w:pPr>
        <w:pStyle w:val="NormalHanging12a"/>
      </w:pPr>
      <w:r>
        <w:t>U</w:t>
      </w:r>
      <w:r w:rsidR="00510060" w:rsidRPr="00A07953">
        <w:t>.</w:t>
      </w:r>
      <w:r w:rsidR="00510060" w:rsidRPr="00A07953">
        <w:tab/>
        <w:t>keďže Výbor pre petície je členom Európskej siete ombudsmanov, do ktorej patrí aj európsky ombudsman, vnútroštátni a regionálni ombudsmani a podobné orgány v členských štátoch, kandidátskych krajinách a ďalších krajinách Európskeho hospodárskeho priestoru a ktorej cieľom je podporovať výmenu informácií o práve a politikách EÚ a výmenu najlepších postupov;</w:t>
      </w:r>
    </w:p>
    <w:p w14:paraId="1FBEFCC5" w14:textId="77777777" w:rsidR="00510060" w:rsidRPr="00A07953" w:rsidRDefault="00510060" w:rsidP="00510060">
      <w:pPr>
        <w:pStyle w:val="NormalHanging12a"/>
      </w:pPr>
      <w:r w:rsidRPr="00A07953">
        <w:t>1.</w:t>
      </w:r>
      <w:r w:rsidRPr="00A07953">
        <w:tab/>
        <w:t xml:space="preserve">zdôrazňuje zásadnú úlohu Výboru pre petície pri ochrane a podpore práv občanov a </w:t>
      </w:r>
      <w:r w:rsidRPr="00A07953">
        <w:lastRenderedPageBreak/>
        <w:t>obyvateľov EÚ zabezpečením včasného, účinného a primeraného preskúmania obáv a sťažností predkladateľov petícií a informovania predkladateľov petícií o prijatých opatreniach a pokroku dosiahnutom v súvislosti s ich petíciami; pripomína, že všetky petície sa vybavujú prostredníctvom otvoreného, demokratického a transparentného petičného procesu;</w:t>
      </w:r>
    </w:p>
    <w:p w14:paraId="7CF3C590" w14:textId="77777777" w:rsidR="006E02C4" w:rsidRDefault="001E4075" w:rsidP="00510060">
      <w:pPr>
        <w:pStyle w:val="NormalHanging12a"/>
      </w:pPr>
      <w:r>
        <w:t>2</w:t>
      </w:r>
      <w:r w:rsidR="006E02C4" w:rsidRPr="006E02C4">
        <w:t>.</w:t>
      </w:r>
      <w:r w:rsidR="006E02C4" w:rsidRPr="006E02C4">
        <w:tab/>
        <w:t xml:space="preserve">oceňuje zásadnú prácu, ktorú Výbor pre petície vykonal pri petíciách týkajúcich sa polostrova </w:t>
      </w:r>
      <w:proofErr w:type="spellStart"/>
      <w:r w:rsidR="006E02C4" w:rsidRPr="006E02C4">
        <w:t>Akamas</w:t>
      </w:r>
      <w:proofErr w:type="spellEnd"/>
      <w:r w:rsidR="006E02C4" w:rsidRPr="006E02C4">
        <w:t>, biologicky najrozmanitejšej oblasti na Cypre, kde už desaťročia opakovane dochádza k systematickému porušovaniu smernice o biotopoch</w:t>
      </w:r>
      <w:r w:rsidR="006E02C4">
        <w:rPr>
          <w:rStyle w:val="FootnoteReference"/>
        </w:rPr>
        <w:footnoteReference w:id="2"/>
      </w:r>
      <w:r w:rsidR="006E02C4" w:rsidRPr="006E02C4">
        <w:t xml:space="preserve"> a smernice o vtákoch</w:t>
      </w:r>
      <w:r w:rsidR="006E02C4">
        <w:rPr>
          <w:rStyle w:val="FootnoteReference"/>
        </w:rPr>
        <w:footnoteReference w:id="3"/>
      </w:r>
      <w:r w:rsidR="006E02C4" w:rsidRPr="006E02C4">
        <w:t xml:space="preserve">, a to v celkovom kontexte, v ktorom chýbajú účinné a právne záväzné opatrenia na ochranu tejto oblasti, a s nedávnymi plánmi, ktoré predložili cyperské príslušné orgány, čo má ničivé účinky na veľmi krehké prírodné ekosystémy tejto oblasti, čo je v rozpore s právnymi predpismi EÚ v oblasti životného prostredia; zdôrazňuje, že v nadväznosti na prácu, ktorú v tejto súvislosti vykonáva Výbor pre petície, sa Komisia 13. marca 2024 rozhodla </w:t>
      </w:r>
      <w:r w:rsidR="00117764">
        <w:t>o predložení veci</w:t>
      </w:r>
      <w:r w:rsidR="00117764" w:rsidRPr="006E02C4">
        <w:t xml:space="preserve"> </w:t>
      </w:r>
      <w:r w:rsidR="006E02C4" w:rsidRPr="006E02C4">
        <w:t xml:space="preserve">Cypru Súdnemu dvoru Európskej únie </w:t>
      </w:r>
      <w:r w:rsidR="00117764">
        <w:t xml:space="preserve">(ďalej len „Súdny dvor“) </w:t>
      </w:r>
      <w:r w:rsidR="006E02C4" w:rsidRPr="006E02C4">
        <w:t>za nedodržiavanie smernice o biotopoch zo strany cyperských orgánov; vyjadruje poľutovanie nad tým, že ani vyše roka po tomto rozhodnutí Komisia nepredložila Súdnemu dvoru žiadny spis, čím oficiálne nezačala súdne konanie;</w:t>
      </w:r>
    </w:p>
    <w:p w14:paraId="2EEF27C4" w14:textId="77777777" w:rsidR="006E02C4" w:rsidRDefault="001E4075" w:rsidP="00510060">
      <w:pPr>
        <w:pStyle w:val="NormalHanging12a"/>
      </w:pPr>
      <w:r>
        <w:t>3</w:t>
      </w:r>
      <w:r w:rsidR="006E02C4" w:rsidRPr="006E02C4">
        <w:t>.</w:t>
      </w:r>
      <w:r w:rsidR="006E02C4" w:rsidRPr="006E02C4">
        <w:tab/>
        <w:t xml:space="preserve">zdôrazňuje kľúčovú prácu Výboru pre petície v oblasti ochrany práv pracovníkov pred diskrimináciou a zneužívaním zmlúv na dobu určitú vo verejnom sektore v Taliansku; oceňuje, že Komisia náležite zohľadnila veľmi spoľahlivé právne dokumenty, ktoré poskytli predkladatelia petícií a ktoré boli dôkladne posúdené na rôznych schôdzach Výboru pre petície, a rozhodla o </w:t>
      </w:r>
      <w:r w:rsidR="00117764">
        <w:t> predložení veci</w:t>
      </w:r>
      <w:r w:rsidR="006E02C4" w:rsidRPr="006E02C4">
        <w:t xml:space="preserve"> Talianska Súdnemu dvoru za to, že neukončilo zneužívanie pracovných zmlúv na dobu určitú a diskriminačné pracovné podmienky, čo je v rozpore so smernicou Rady 1999/70/ES;</w:t>
      </w:r>
    </w:p>
    <w:p w14:paraId="27D546D2" w14:textId="77777777" w:rsidR="0060675B" w:rsidRDefault="001E4075" w:rsidP="00510060">
      <w:pPr>
        <w:pStyle w:val="NormalHanging12a"/>
      </w:pPr>
      <w:r>
        <w:t>4</w:t>
      </w:r>
      <w:r w:rsidR="0060675B" w:rsidRPr="0060675B">
        <w:t>.</w:t>
      </w:r>
      <w:r w:rsidR="0060675B" w:rsidRPr="0060675B">
        <w:tab/>
        <w:t xml:space="preserve">chváli </w:t>
      </w:r>
      <w:r w:rsidR="004B589E">
        <w:t>V</w:t>
      </w:r>
      <w:r w:rsidR="0060675B" w:rsidRPr="0060675B">
        <w:t xml:space="preserve">ýbor </w:t>
      </w:r>
      <w:r w:rsidR="004B589E" w:rsidRPr="0054661E">
        <w:t xml:space="preserve">pre petície </w:t>
      </w:r>
      <w:r w:rsidR="0060675B" w:rsidRPr="0060675B">
        <w:t xml:space="preserve">za to, že prerokoval petíciu č. 1168/2023, ktorú predložil </w:t>
      </w:r>
      <w:proofErr w:type="spellStart"/>
      <w:r w:rsidR="0060675B" w:rsidRPr="0060675B">
        <w:t>Mihai</w:t>
      </w:r>
      <w:proofErr w:type="spellEnd"/>
      <w:r w:rsidR="0060675B" w:rsidRPr="0060675B">
        <w:t xml:space="preserve"> </w:t>
      </w:r>
      <w:proofErr w:type="spellStart"/>
      <w:r w:rsidR="0060675B" w:rsidRPr="0060675B">
        <w:t>Igna</w:t>
      </w:r>
      <w:proofErr w:type="spellEnd"/>
      <w:r w:rsidR="0060675B" w:rsidRPr="0060675B">
        <w:t xml:space="preserve"> v mene združenia Spoločne prispievame k</w:t>
      </w:r>
      <w:r w:rsidR="00127E35">
        <w:t> </w:t>
      </w:r>
      <w:r w:rsidR="0060675B" w:rsidRPr="0060675B">
        <w:t>prosperite</w:t>
      </w:r>
      <w:r w:rsidR="00127E35">
        <w:t xml:space="preserve"> (</w:t>
      </w:r>
      <w:proofErr w:type="spellStart"/>
      <w:r w:rsidR="00127E35" w:rsidRPr="00BF3E44">
        <w:t>Together</w:t>
      </w:r>
      <w:proofErr w:type="spellEnd"/>
      <w:r w:rsidR="00127E35" w:rsidRPr="00BF3E44">
        <w:t xml:space="preserve"> </w:t>
      </w:r>
      <w:proofErr w:type="spellStart"/>
      <w:r w:rsidR="00127E35" w:rsidRPr="00BF3E44">
        <w:t>We</w:t>
      </w:r>
      <w:proofErr w:type="spellEnd"/>
      <w:r w:rsidR="00127E35" w:rsidRPr="00BF3E44">
        <w:t xml:space="preserve"> </w:t>
      </w:r>
      <w:proofErr w:type="spellStart"/>
      <w:r w:rsidR="00127E35" w:rsidRPr="00BF3E44">
        <w:t>Bring</w:t>
      </w:r>
      <w:proofErr w:type="spellEnd"/>
      <w:r w:rsidR="00127E35" w:rsidRPr="00BF3E44">
        <w:t xml:space="preserve"> Prosperity</w:t>
      </w:r>
      <w:r w:rsidR="00127E35">
        <w:t>)</w:t>
      </w:r>
      <w:r w:rsidR="0060675B" w:rsidRPr="0060675B">
        <w:t xml:space="preserve">, v ktorej sa vyzýva na reštitúciu rumunského národného pokladu a historických archívov, ktoré sú v súčasnosti v držbe Ruska; zdôrazňuje, že táto otázka má hlboký historický význam pre všetky členské štáty, ktoré v minulosti vyrabovalo Rusko, najmä v kontexte prebiehajúcej vojnou na Ukrajine, keďže zdôrazňuje širšie problémy súvisiace so zachovaním kultúry a ochranou národného dedičstva v čase geopolitického konfliktu; zdôrazňuje, že angažovanosť </w:t>
      </w:r>
      <w:r w:rsidR="004B589E">
        <w:t>V</w:t>
      </w:r>
      <w:r w:rsidR="0060675B" w:rsidRPr="0060675B">
        <w:t xml:space="preserve">ýboru </w:t>
      </w:r>
      <w:r w:rsidR="004B589E" w:rsidRPr="0054661E">
        <w:t xml:space="preserve">pre petície </w:t>
      </w:r>
      <w:r w:rsidR="0060675B" w:rsidRPr="0060675B">
        <w:t xml:space="preserve">v tejto veci preukazuje jeho záväzok chrániť práva občanov a členských štátov EÚ a chrániť historické dedičstvo Rumunska a podporovať jeho legitímne nároky na medzinárodnej scéne; pripomína následné plenárne uznesenie o vrátení rumunského národného pokladu </w:t>
      </w:r>
      <w:r w:rsidR="0060675B">
        <w:t>nelegálne privlastneného Ruskom</w:t>
      </w:r>
      <w:r w:rsidR="0060675B">
        <w:rPr>
          <w:rStyle w:val="FootnoteReference"/>
        </w:rPr>
        <w:footnoteReference w:id="4"/>
      </w:r>
      <w:r w:rsidR="0060675B" w:rsidRPr="0060675B">
        <w:t>;</w:t>
      </w:r>
    </w:p>
    <w:p w14:paraId="3C0ABE1B" w14:textId="77777777" w:rsidR="00510060" w:rsidRPr="00A07953" w:rsidRDefault="00C4381C" w:rsidP="00510060">
      <w:pPr>
        <w:pStyle w:val="NormalHanging12a"/>
      </w:pPr>
      <w:r>
        <w:t>5</w:t>
      </w:r>
      <w:r w:rsidR="00510060" w:rsidRPr="00A07953">
        <w:t>.</w:t>
      </w:r>
      <w:r w:rsidR="00510060" w:rsidRPr="00A07953">
        <w:tab/>
        <w:t xml:space="preserve">opätovne zdôrazňuje význam neprestajnej verejnej diskusie o oblastiach činnosti EÚ s cieľom zabezpečiť, aby boli občania riadne informovaní o rozsahu právomocí Únie a </w:t>
      </w:r>
      <w:r w:rsidR="00510060" w:rsidRPr="00A07953">
        <w:lastRenderedPageBreak/>
        <w:t>rôznych úrovniach rozhodovania; vyzýva</w:t>
      </w:r>
      <w:r w:rsidR="0060675B" w:rsidRPr="0060675B">
        <w:t>, aby sa uskutočnila celoeurópska posilnená štruktúrovaná informačná a komunikačná kampaň bez dodatočných nákladov (t. j. využitím súčasných zdrojov styčných kancelárií Európskeho parlamentu)</w:t>
      </w:r>
      <w:r w:rsidR="00510060" w:rsidRPr="00A07953">
        <w:t xml:space="preserve"> vo všetkých úradných jazykoch EÚ v spolupráci s národnými a regionálnymi ombudsmanmi, s mimovládnymi organizáciami a vzdelávacími inštitúciami s cieľom zvýšiť informovanosť občanov zo všetkých členských štátov o petičných právach, a to najmä so zameraním na vidiecke a znevýhodnené komunity a marginalizované skupiny, ako aj vzdialené ostrovy a regióny; navrhuje rozšíriť osvetové úsilie </w:t>
      </w:r>
      <w:r w:rsidR="0060675B" w:rsidRPr="0060675B">
        <w:t xml:space="preserve">bez dodatočných nákladov </w:t>
      </w:r>
      <w:r w:rsidR="00510060" w:rsidRPr="00A07953">
        <w:t>prostredníctvom sociálnych médií a podujatí miestnych komunít</w:t>
      </w:r>
      <w:r w:rsidR="00E953A9" w:rsidRPr="00A07953">
        <w:t>;</w:t>
      </w:r>
      <w:r w:rsidR="00510060" w:rsidRPr="00A07953">
        <w:t xml:space="preserve"> zdôrazňuje, že je potrebné, aby sa prostredníctvom aktívneho zapojenia komunikačných služieb uskutočnili rozsiahlejšie kampane na zvýšenie </w:t>
      </w:r>
      <w:r w:rsidR="0060675B" w:rsidRPr="0060675B">
        <w:t xml:space="preserve">povedomia verejnosti a </w:t>
      </w:r>
      <w:r w:rsidR="00510060" w:rsidRPr="00A07953">
        <w:t>informovanosti, ktoré by pomohli prehĺbiť vedomosti občanov o ich petičnom práve, ako aj o rozsahu pôsobnosti EÚ a právomociach Výboru pre petície s cieľom znížiť počet neprípustných petícií a zlepšiť zapojenie občanov do rozhodovacieho procesu; odporúča zlepšiť digitálnu prístupnosť portálu pre petície, a to aj úpravami pre osoby so zdravotným postihnutím a kvalitnejšími prekladmi do všetkých úradných jazykov EÚ; odporúča preskúmať potenciál existujúcich IT nástrojov s cieľom zvýšiť podporu občanov na portáli, a to aj presmerovaním možností na príslušné mechanizmy podávania sťažností;</w:t>
      </w:r>
    </w:p>
    <w:p w14:paraId="032BE728" w14:textId="77777777" w:rsidR="00510060" w:rsidRPr="00A07953" w:rsidRDefault="00C4381C" w:rsidP="00510060">
      <w:pPr>
        <w:pStyle w:val="NormalHanging12a"/>
      </w:pPr>
      <w:r>
        <w:t>6</w:t>
      </w:r>
      <w:r w:rsidR="00510060" w:rsidRPr="00A07953">
        <w:t>.</w:t>
      </w:r>
      <w:r w:rsidR="00510060" w:rsidRPr="00A07953">
        <w:tab/>
        <w:t>pripomína európsky rozmer Výboru pre petície, na ktorý sa môžu obrátiť občania zo všetkých 27 členských štátov v súvislosti s otázkami, ktoré patria do rozsahu pôsobnosti zmlúv EÚ a právnych predpisov EÚ; domnieva sa, že výbor má osobitnú zodpovednosť za presadzovanie tohto európskeho rozmeru a za názorné dokazovanie pridanej hodnoty európskej jednoty a integrácie pre občanov;</w:t>
      </w:r>
      <w:r w:rsidR="0060675B">
        <w:t xml:space="preserve"> </w:t>
      </w:r>
      <w:r w:rsidR="0060675B" w:rsidRPr="0060675B">
        <w:t>zdôrazňuje, že európsky rozmer musí byť založený na solidarite, podpore sociálnych a hospodárskych práv, ochrane menšinových jazykov a kultúr a aktívnom boji proti zmene klímy;</w:t>
      </w:r>
    </w:p>
    <w:p w14:paraId="464F98BC" w14:textId="77777777" w:rsidR="00510060" w:rsidRPr="00A07953" w:rsidRDefault="00C4381C" w:rsidP="00510060">
      <w:pPr>
        <w:pStyle w:val="NormalHanging12a"/>
      </w:pPr>
      <w:r>
        <w:t>7</w:t>
      </w:r>
      <w:r w:rsidR="00510060" w:rsidRPr="00A07953">
        <w:t>.</w:t>
      </w:r>
      <w:r w:rsidR="00510060" w:rsidRPr="00A07953">
        <w:tab/>
        <w:t xml:space="preserve">upozorňuje na to, že petície sú pre </w:t>
      </w:r>
      <w:r w:rsidR="00A621A1" w:rsidRPr="00A07953">
        <w:t>Európsky p</w:t>
      </w:r>
      <w:r w:rsidR="00510060" w:rsidRPr="00A07953">
        <w:t>arlament a ďalšie inštitúcie EÚ jedinečnou možnosťou na priame nadviazanie kontaktu s občanmi EÚ a na udržiavanie pravidelného dialógu, najmä v prípadoch, ak sa ich týka nesprávne uplatňovanie alebo porušenie práva EÚ; zdôrazňuje, že je potrebné posilniť spoluprácu medzi inštitúciami EÚ a vnútroštátnymi, regionálnymi a miestnymi orgánmi pri vyšetrovaniach týkajúcich sa vykonávania a dodržiavania práva EÚ; je presvedčený, že takáto spolupráca má zásadný význam pre riešenie a vyriešenie obáv občanov z uplatňovania práva EÚ a prispieva k posilneniu demokratickej legitimity a zodpovednosti Únie; požaduje preto účasť zástupcov členských štátov na schôdzach výboru a včasné a dôkladné reakcie na žiadosti o objasnenie alebo informácie, ktoré zasiela Výbor pre petície vnútroštátnym orgánom;</w:t>
      </w:r>
      <w:r w:rsidR="0060675B">
        <w:t xml:space="preserve"> </w:t>
      </w:r>
      <w:r w:rsidR="0060675B" w:rsidRPr="0060675B">
        <w:t>berie na vedomie zvýšenie počtu petícií prijatých v roku 2023 zameraných na riešenie štrukturálnych rozdielov medzi skupinami obyvateľstva, a to aj v odmeňovaní a dôchodkových príjmoch; žiada, aby sa tieto obavy systematicky analyzovali a riešili prostredníctvom koordinovanej činnosti s príslušnými výbormi a Komisiou; ďalej vyzýva na posilnenie ochrany a podpory jednotlivcov vystavených zneužívaniu alebo vylúčeniu, ktorí čelia prekážkam v prístupe k vhodným podporným mechanizmom a spravodlivosti;</w:t>
      </w:r>
    </w:p>
    <w:p w14:paraId="76A34EC5" w14:textId="77777777" w:rsidR="00510060" w:rsidRPr="00A07953" w:rsidRDefault="00393269" w:rsidP="00510060">
      <w:pPr>
        <w:pStyle w:val="NormalHanging12a"/>
      </w:pPr>
      <w:r>
        <w:t>8</w:t>
      </w:r>
      <w:r w:rsidR="00510060" w:rsidRPr="00A07953">
        <w:t>.</w:t>
      </w:r>
      <w:r w:rsidR="00510060" w:rsidRPr="00A07953">
        <w:tab/>
        <w:t>pripomína, že petície významne prispievajú k vykonávaniu úlohy Komisie ako strážkyne zmlúv tým, že ponúkajú občanom ďalší nástroj, ktorým môžu oznámiť údajné porušenie práva EÚ; zdôrazňuje, že konštruktívna spolupráca medzi Výborom pre petície a Komisiou prostredníctvom včasných a podrobných odpovedí Komisie, ktoré sú založené na dôkladnom preskúmaní otázok vznesených v petíciách, je nevyhnutná na zabezpečenie úspešného vybavovania petícií:</w:t>
      </w:r>
    </w:p>
    <w:p w14:paraId="7211D0AD" w14:textId="77777777" w:rsidR="00510060" w:rsidRPr="00A07953" w:rsidRDefault="00393269" w:rsidP="00510060">
      <w:pPr>
        <w:pStyle w:val="NormalHanging12a"/>
      </w:pPr>
      <w:r>
        <w:lastRenderedPageBreak/>
        <w:t>9</w:t>
      </w:r>
      <w:r w:rsidR="00510060" w:rsidRPr="00A07953">
        <w:t>.</w:t>
      </w:r>
      <w:r w:rsidR="00510060" w:rsidRPr="00A07953">
        <w:tab/>
        <w:t>opakuje svoju výzvu Komisii, aby poskytla právne objasnenia kľúčových kritérií, o ktoré sa opiera jej strategický prístup k presadzovaniu práva EÚ, a pravidelne informovala Výbor pre petície o vývoji v postupoch v prípade nesplnenia povinnosti a zabezpečila, že Výbor pre petície získa prístup ku všetkým relevantným dokumentom týkajúcim sa projektu EU Pilot a postupov v prípade nesplnenia povinnosti a legislatívnych iniciatív, ktoré sa začali na základe prijatých petícií; zastáva názor, že zvýšená transparentnosť a pravidelná spätná väzba o riešení prebiehajúcich postupov Komisie v prípade nesplnenia povinnosti by boli prínosom pre následné opatrenia výboru v súvislosti s otvorenými petíciami; víta nedávnu iniciatívu Komisie zahrnúť petície do systému vyhľadávania v registri Komisie týkajúcom sa prípadov nesplnenia povinnosti; zdôrazňuje, že je dôležité, aby Komisia včas vyšetrila petície s dôrazom na porušovanie práv, ktoré sa týka veľkého počtu občanov a obyvateľov EÚ, a podľa potreby konzultovala s príslušným národným ombudsmanom; je znepokojený spôsobom, akým Komisia rieši niektoré postupy v prípade nesplnenia povinnosti začaté proti členským štátom vrátane tých, ktoré sa týkajú otázok nastolených v mnohých petíciách; nabáda Komisiu, aby zaviedla všetky potrebné opatrenia na zlepšenie transparentnosti a účinnosti svojho riadenia postupov v prípade nesplnenia povinnosti, ktoré občania vnímajú ako neprehľadné;</w:t>
      </w:r>
    </w:p>
    <w:p w14:paraId="307F7974" w14:textId="77777777" w:rsidR="00510060" w:rsidRDefault="00393269" w:rsidP="00510060">
      <w:pPr>
        <w:pStyle w:val="NormalHanging12a"/>
      </w:pPr>
      <w:r>
        <w:t>10</w:t>
      </w:r>
      <w:r w:rsidR="00510060" w:rsidRPr="00A07953">
        <w:t>.</w:t>
      </w:r>
      <w:r w:rsidR="00510060" w:rsidRPr="00A07953">
        <w:tab/>
        <w:t>vyzýva Komisiu, aby posúdila, či vnútroštátne orgány prijímajú potrebné opatrenia s cieľom reagovať na obavy občanov vyjadrené v ich petíciách v prípade, že dôjde k zlyhaniu pri dodržiavaní právnych predpisov EÚ, a v prípade potreby začala postupy v prípade nesplnenia povinnosti; zdôrazňuje, že včasné a proaktívne opatrenia Komisie v prípadoch porušenia práva EÚ majú zásadný význam pri zabránení tomu, aby takéto porušenia, ktoré by mohli oslabiť dôveru občanov v európske inštitúcie, nenadobudli systémový charakter;</w:t>
      </w:r>
    </w:p>
    <w:p w14:paraId="256333AE" w14:textId="77777777" w:rsidR="0060675B" w:rsidRPr="00A07953" w:rsidRDefault="001912BC" w:rsidP="00510060">
      <w:pPr>
        <w:pStyle w:val="NormalHanging12a"/>
      </w:pPr>
      <w:r>
        <w:t>11</w:t>
      </w:r>
      <w:r w:rsidR="0060675B" w:rsidRPr="0060675B">
        <w:t>.</w:t>
      </w:r>
      <w:r w:rsidR="0060675B" w:rsidRPr="0060675B">
        <w:tab/>
        <w:t xml:space="preserve">pripomína, že sloboda prejavu je základným pilierom európskej demokracie; odsudzuje akékoľvek pokusy o cenzúru, </w:t>
      </w:r>
      <w:proofErr w:type="spellStart"/>
      <w:r w:rsidR="0060675B" w:rsidRPr="0060675B">
        <w:t>marginalizáciu</w:t>
      </w:r>
      <w:proofErr w:type="spellEnd"/>
      <w:r w:rsidR="0060675B" w:rsidRPr="0060675B">
        <w:t xml:space="preserve"> alebo zastrašovanie občanov alebo ich volených zástupcov na základe ich politických názorov; zdôrazňuje tiež, že rešpektovanie výsledkov volieb na vnútroštátnej a európskej úrovni má zásadný význam pre zachovanie dôvery občanov v demokratický proces;</w:t>
      </w:r>
    </w:p>
    <w:p w14:paraId="69C25A33" w14:textId="77777777" w:rsidR="00510060" w:rsidRDefault="00C94F36" w:rsidP="00510060">
      <w:pPr>
        <w:pStyle w:val="NormalHanging12a"/>
      </w:pPr>
      <w:r>
        <w:t>12</w:t>
      </w:r>
      <w:r w:rsidR="00510060" w:rsidRPr="00A07953">
        <w:t>.</w:t>
      </w:r>
      <w:r w:rsidR="00510060" w:rsidRPr="00A07953">
        <w:tab/>
        <w:t>zdôrazňuje, že na odblokovanie petícií, ktoré si vyžadujú promptné odpovede a reakcie vnútroštátnych orgánov, je potrebná posilnená a aktívnejšia spolupráca medzi členskými štátmi a Výborom pre petície; pripomína, že oneskorené reakcie členských štátov by mohli mať vplyv na včasné vyriešenie problémov, ktoré nastolili občania, a negatívne dôsledky na riešenie porušení práva Únie; konštatuje, že členské štáty by mali zaručiť odpovede na petície v požadovanej trojmesačnej lehote; zdôrazňuje, že lepšia koordinácia a dialóg by uľahčili efektívnejšie riešenie obáv občanov, zabránili zbytočným oneskoreniam a posilnili účinnosť petičného procesu;</w:t>
      </w:r>
    </w:p>
    <w:p w14:paraId="600B3503" w14:textId="77777777" w:rsidR="0060675B" w:rsidRPr="00A07953" w:rsidRDefault="00C94F36" w:rsidP="00510060">
      <w:pPr>
        <w:pStyle w:val="NormalHanging12a"/>
      </w:pPr>
      <w:r>
        <w:t>13</w:t>
      </w:r>
      <w:r w:rsidR="0060675B" w:rsidRPr="0060675B">
        <w:t>.</w:t>
      </w:r>
      <w:r w:rsidR="0060675B" w:rsidRPr="0060675B">
        <w:tab/>
        <w:t>so znepokojením konštatuje, že príslušné vzdelávacie orgány ešte v plnej miere nevykonali odporúčania, ktoré vydal Výbor pre petície vo svojej správe z 19. marca 2024 v nadväznosti na jeho služobnú cestu do Katalánska, a to najmä odporúčania týkajúce sa ochrany jazykových práv všetkých študentov a ich rodín; vyjadruje hlboké poľutovanie nad napätou situáciou, v ktorej sa ocitli členovia výboru počas návštevy Barcelony v dňoch 18. až 20. decembra 2023, a vyzýva na úctivý dialóg a spoluprácu medzi všetkými zainteresovanými stranami s cieľom zabezpečiť, aby demokratické inštitúcie mohli vykonávať svoje mandáty v atmosfére vzájomného rešpektu a porozumenia;</w:t>
      </w:r>
    </w:p>
    <w:p w14:paraId="28FD8FCE" w14:textId="77777777" w:rsidR="00510060" w:rsidRPr="00A07953" w:rsidRDefault="00C94F36" w:rsidP="00510060">
      <w:pPr>
        <w:pStyle w:val="NormalHanging12a"/>
        <w:rPr>
          <w:b/>
          <w:i/>
        </w:rPr>
      </w:pPr>
      <w:r>
        <w:lastRenderedPageBreak/>
        <w:t>14</w:t>
      </w:r>
      <w:r w:rsidR="00510060" w:rsidRPr="00A07953">
        <w:t>.</w:t>
      </w:r>
      <w:r w:rsidR="00510060" w:rsidRPr="00A07953">
        <w:rPr>
          <w:b/>
          <w:i/>
        </w:rPr>
        <w:tab/>
      </w:r>
      <w:r w:rsidR="00510060" w:rsidRPr="00A07953">
        <w:t xml:space="preserve">dôrazne odsudzuje obťažovanie a zastrašovanie, ktorému boli vystavení oficiálni členovia delegácie Výboru pre petície počas svojej vyšetrovacej návštevy v Barcelone od 18. do 20. decembra 2023 s cieľom posúdiť na mieste model jazykovej </w:t>
      </w:r>
      <w:proofErr w:type="spellStart"/>
      <w:r w:rsidR="00510060" w:rsidRPr="00A07953">
        <w:t>imerzie</w:t>
      </w:r>
      <w:proofErr w:type="spellEnd"/>
      <w:r w:rsidR="00510060" w:rsidRPr="00A07953">
        <w:t xml:space="preserve"> v Katalánsku, jeho vplyv na rodiny, ktoré sa sťahujú do autonómneho spoločenstva a žijú v ňom, ako aj na viacjazyčnosť a nediskrimináciu a zásadu právneho štátu;</w:t>
      </w:r>
    </w:p>
    <w:p w14:paraId="228291E7" w14:textId="77777777" w:rsidR="00510060" w:rsidRPr="00A07953" w:rsidRDefault="00C94F36" w:rsidP="00510060">
      <w:pPr>
        <w:pStyle w:val="NormalHanging12a"/>
        <w:rPr>
          <w:b/>
          <w:i/>
        </w:rPr>
      </w:pPr>
      <w:r>
        <w:t>15</w:t>
      </w:r>
      <w:r w:rsidR="00510060" w:rsidRPr="00A07953">
        <w:t>.</w:t>
      </w:r>
      <w:r w:rsidR="00510060" w:rsidRPr="00A07953">
        <w:tab/>
        <w:t>vyjadruje poľutovanie nad tým, že príslušné vzdelávacie orgány v regióne nevykonali odporúčania, ktoré vydal Výbor pre petície vo svojej správe z 19. marca 2024 v nadväznosti na služobnú cestu, zamerané na ochranu jazykových práv študentov a ich rodín;</w:t>
      </w:r>
    </w:p>
    <w:p w14:paraId="06240A03" w14:textId="77777777" w:rsidR="00510060" w:rsidRPr="00A07953" w:rsidRDefault="00C94F36" w:rsidP="00510060">
      <w:pPr>
        <w:pStyle w:val="NormalHanging12a"/>
      </w:pPr>
      <w:r>
        <w:t>16</w:t>
      </w:r>
      <w:r w:rsidR="00510060" w:rsidRPr="00A07953">
        <w:t>.</w:t>
      </w:r>
      <w:r w:rsidR="00510060" w:rsidRPr="00A07953">
        <w:tab/>
        <w:t>pripomína, že databáza elektronických petícií je základným vnútorným nástrojom, ktorý umožňuje členom Výboru pre petície prístup ku všetkým potrebným informáciám s cieľom sledovať súčasný stav každej petície a prijímať informované rozhodnutia o spracovaní petícií; poznamenáva, že databáza elektronických petícií takisto zohráva dôležitú úlohu pri komunikácii s predkladateľmi petícií;</w:t>
      </w:r>
    </w:p>
    <w:p w14:paraId="2FA0C652" w14:textId="77777777" w:rsidR="00510060" w:rsidRPr="00A07953" w:rsidRDefault="00C94F36" w:rsidP="00510060">
      <w:pPr>
        <w:pStyle w:val="NormalHanging12a"/>
      </w:pPr>
      <w:r>
        <w:t>17</w:t>
      </w:r>
      <w:r w:rsidR="00510060" w:rsidRPr="00A07953">
        <w:t>.</w:t>
      </w:r>
      <w:r w:rsidR="00510060" w:rsidRPr="00A07953">
        <w:tab/>
        <w:t>pripomína záväzok Komisie vytvoriť s</w:t>
      </w:r>
      <w:r w:rsidR="00A621A1" w:rsidRPr="00A07953">
        <w:t> Európskym p</w:t>
      </w:r>
      <w:r w:rsidR="00510060" w:rsidRPr="00A07953">
        <w:t xml:space="preserve">arlamentom </w:t>
      </w:r>
      <w:proofErr w:type="spellStart"/>
      <w:r w:rsidR="00510060" w:rsidRPr="00A07953">
        <w:t>medziinštitucionálny</w:t>
      </w:r>
      <w:proofErr w:type="spellEnd"/>
      <w:r w:rsidR="00510060" w:rsidRPr="00A07953">
        <w:t xml:space="preserve"> IT nástroj na vzájomnú výmenu informácií a dokumentov o všetkých následných opatreniach prijatých v súvislosti s petíciami, ako sú postupy v prípade nesplnenia povinnosti, legislatívne návrhy alebo odpovede vnútroštátnych orgánov, čím sa zvýši transparentnosť a efektívnosť spracovania petícií, čo by v širšom kontexte prispelo k zvýšeniu dôvery občanov v inštitúcie EÚ a v európsky projekt;</w:t>
      </w:r>
    </w:p>
    <w:p w14:paraId="45E4F83A" w14:textId="77777777" w:rsidR="00510060" w:rsidRPr="00A07953" w:rsidRDefault="00C94F36" w:rsidP="00510060">
      <w:pPr>
        <w:pStyle w:val="NormalHanging12a"/>
      </w:pPr>
      <w:r>
        <w:t>18</w:t>
      </w:r>
      <w:r w:rsidR="00510060" w:rsidRPr="00A07953">
        <w:t>.</w:t>
      </w:r>
      <w:r w:rsidR="00510060" w:rsidRPr="00A07953">
        <w:tab/>
        <w:t>pripomína, že na komplexné spracovanie petícií je nevyhnutná spolupráca s ostatnými výbormi v Európskom parlamente</w:t>
      </w:r>
      <w:r w:rsidR="0060675B" w:rsidRPr="0060675B">
        <w:t>, pričom osobitnú pozornosť treba venovať petíciám týkajúcim sa rodovej rovnosti, rozmanitosti rodín, environmentálnej spravodlivosti a jazykových práv menšín</w:t>
      </w:r>
      <w:r w:rsidR="00510060" w:rsidRPr="00A07953">
        <w:t>; konštatuje, že v roku 2023 bolo iným výborom zaslaných 34 žiadostí o stanovisko (čo zodpovedá 31 petíciám) a 223 žiadostí o informácie; konštatuje, že z 34 vyžiadaných stanovísk bolo do konca roka 2023 doručených len 25 odpovedí (v 14 prípadoch bolo stanovisko poskytnuté, zatiaľ čo v 10 prípadoch sa výbor rozhodol stanovisko nevypracovať a v štyroch prípadoch nebolo oznámené žiadne oficiálne rozhodnutie);</w:t>
      </w:r>
      <w:r w:rsidR="00510060" w:rsidRPr="00A07953">
        <w:rPr>
          <w:color w:val="FF0000"/>
        </w:rPr>
        <w:t xml:space="preserve"> </w:t>
      </w:r>
      <w:r w:rsidR="00510060" w:rsidRPr="00A07953">
        <w:t>pripomína, že predkladatelia petícií sú informovaní o rozhodnutiach požiadať ostatné výbory o stanovisko na účely spracovania petícií; zdôrazňuje, že parlamentné výbory by mali zintenzívniť svoje úsilie a aktívne prispievať k preskúmaniu petícií poskytovaním svojich odborných znalostí, a tak umožniť Európskemu parlamentu pohotovejšie a komplexnejšie reagovať na obavy občanov;</w:t>
      </w:r>
    </w:p>
    <w:p w14:paraId="7C13AB00" w14:textId="77777777" w:rsidR="00510060" w:rsidRPr="00A07953" w:rsidRDefault="00C94F36" w:rsidP="00510060">
      <w:pPr>
        <w:pStyle w:val="NormalHanging12a"/>
      </w:pPr>
      <w:r>
        <w:t>19</w:t>
      </w:r>
      <w:r w:rsidR="00510060" w:rsidRPr="00A07953">
        <w:t>.</w:t>
      </w:r>
      <w:r w:rsidR="00510060" w:rsidRPr="00A07953">
        <w:tab/>
        <w:t xml:space="preserve">domnieva sa, že petičná sieť je užitočným nástrojom na uľahčenie monitorovania petícií v rámci parlamentnej a legislatívnej činnosti; verí, že pravidelné schôdze petičnej siete sú kľúčové na zabezpečenie väčšieho zviditeľnenia činností Výboru pre petície a lepšieho pochopenia jeho práce a poslania, ako aj na posilnenie spolupráce s ostatnými parlamentnými výbormi; </w:t>
      </w:r>
    </w:p>
    <w:p w14:paraId="1994085A" w14:textId="77777777" w:rsidR="00510060" w:rsidRPr="00A07953" w:rsidRDefault="00C94F36" w:rsidP="00510060">
      <w:pPr>
        <w:pStyle w:val="NormalHanging12a"/>
      </w:pPr>
      <w:r>
        <w:t>20</w:t>
      </w:r>
      <w:r w:rsidR="00510060" w:rsidRPr="00A07953">
        <w:t>.</w:t>
      </w:r>
      <w:r w:rsidR="00510060" w:rsidRPr="00A07953">
        <w:tab/>
        <w:t xml:space="preserve">zdôrazňuje, že Výbor pre petície vyjadril svoju pozíciu k dôležitým otázkam vzneseným </w:t>
      </w:r>
      <w:r w:rsidR="00510060" w:rsidRPr="00A07953">
        <w:lastRenderedPageBreak/>
        <w:t>v petíciách prijatím správy o výsledkoch rokovaní Výboru pre petície v roku 2022</w:t>
      </w:r>
      <w:r w:rsidR="00510060" w:rsidRPr="00A07953">
        <w:rPr>
          <w:rStyle w:val="FootnoteReference"/>
        </w:rPr>
        <w:footnoteReference w:id="5"/>
      </w:r>
      <w:r w:rsidR="00510060" w:rsidRPr="00A07953">
        <w:t>;</w:t>
      </w:r>
    </w:p>
    <w:p w14:paraId="5F112728" w14:textId="77777777" w:rsidR="00510060" w:rsidRPr="00A07953" w:rsidRDefault="00C94F36" w:rsidP="00510060">
      <w:pPr>
        <w:pStyle w:val="NormalHanging12a"/>
      </w:pPr>
      <w:r>
        <w:t>21</w:t>
      </w:r>
      <w:r w:rsidR="00510060" w:rsidRPr="00A07953">
        <w:t>.</w:t>
      </w:r>
      <w:r w:rsidR="00510060" w:rsidRPr="00A07953">
        <w:tab/>
        <w:t>zdôrazňuje mierny pokles počtu petícií predložených v súvislosti s otázkami vonkajších vzťahov v porovnaní s predchádzajúcimi rokmi; konštatuje, že to možno vysvetliť novým geopolitickým kontextom v roku 2023, a najmä poklesom počtu petícií týkajúcich sa vojny na Ukrajine a výrazným nárastom počtu petícií týkajúcich sa nových konfliktov na Blízkom východe; konštatuje, že Výbor pre petície zohľadnil obavy občanov týkajúce sa sankcií, bezpečnosti, riešenia konfliktov, vízovej politiky, pokroku kandidátskych krajín EÚ a okrem iných otázok zaradil do svojho programu niekoľko petícií, ktoré sa týkali najmä otázok súvisiacich so situáciou utečencov, najmä detí, a so situáciou venezuelských utečencov v EÚ; uznáva úsilie výborov, ktoré sa už aktívne zaoberajú týmito otázkami, a zdôrazňuje, že Výbor pre zahraničné veci a Výbor pre občianske slobody, spravodlivosť a vnútorné veci by mali tieto petície vziať na vedomie pri svojich rokovaniach;</w:t>
      </w:r>
    </w:p>
    <w:p w14:paraId="301807CB" w14:textId="77777777" w:rsidR="00510060" w:rsidRPr="00A07953" w:rsidRDefault="00C94F36" w:rsidP="00510060">
      <w:pPr>
        <w:pStyle w:val="NormalHanging12a"/>
      </w:pPr>
      <w:r>
        <w:t>22</w:t>
      </w:r>
      <w:r w:rsidR="00510060" w:rsidRPr="00A07953">
        <w:t>.</w:t>
      </w:r>
      <w:r w:rsidR="00510060" w:rsidRPr="00A07953">
        <w:tab/>
        <w:t>berie na vedomie, že zdravie, ktoré bolo jednou z hlavných oblastí záujmu predkladateľov petícií v roku 2022, zjavne naďalej zohrávalo dôležitú úlohu aj v roku 2023; berie na vedomie najmä skutočnosť, že Výbor pre petície preskúmal a prerokoval petície o zákaze chemických látok a ťažkých kovov v detských hračkách, o podpore zdravých a ekologických potravinových systémov a životného štýlu a o vykonávaní nariadení EÚ o pridaných cukroch v potravinách určených pre dojčatá a malé deti;</w:t>
      </w:r>
    </w:p>
    <w:p w14:paraId="24EFBD8E" w14:textId="77777777" w:rsidR="00510060" w:rsidRPr="00A07953" w:rsidRDefault="006E442F" w:rsidP="00510060">
      <w:pPr>
        <w:pStyle w:val="NormalHanging12a"/>
      </w:pPr>
      <w:r>
        <w:t>23</w:t>
      </w:r>
      <w:r w:rsidR="00510060" w:rsidRPr="00A07953">
        <w:t>.</w:t>
      </w:r>
      <w:r w:rsidR="00510060" w:rsidRPr="00A07953">
        <w:tab/>
        <w:t>upozorňuje na značný počet petícií predložených a prerokovaných v súvislosti s obavami občanov z opätovného zavedenia hraničných kontrol medzi niektorými členskými štátmi, ktoré vyvolávajú problematický aspekt obmedzenia voľného pohybu osôb v rámci EÚ a ďalšie aspekty, ako sú silné a slabé stránky rozšírenia schengenského priestoru</w:t>
      </w:r>
      <w:r w:rsidR="00EE7658" w:rsidRPr="00EE7658">
        <w:t>; pripomína, že členské štáty môžu obnoviť kontroly vnútorných hraníc</w:t>
      </w:r>
      <w:r w:rsidR="00EE7658">
        <w:rPr>
          <w:rStyle w:val="FootnoteReference"/>
        </w:rPr>
        <w:footnoteReference w:id="6"/>
      </w:r>
      <w:r w:rsidR="00EE7658" w:rsidRPr="00EE7658">
        <w:t xml:space="preserve"> v prípade vážneho ohrozenia verejného poriadku alebo vnútornej bezpečnosti alebo za výnimočných okolností ohrozujúcich celkové fungovanie </w:t>
      </w:r>
      <w:r w:rsidR="00510060" w:rsidRPr="00A07953">
        <w:t xml:space="preserve">schengenského priestoru; oceňuje významnú úlohu, ktorú zohral Výbor pre petície, najmä množstvo vykonávaných činností, prijatie krátkeho návrhu uznesenia o pristúpení k schengenskému priestoru 27. júna 2023 vo výbore a súvisiaceho uznesenia </w:t>
      </w:r>
      <w:r w:rsidR="00A621A1" w:rsidRPr="00A07953">
        <w:t>Európskeho p</w:t>
      </w:r>
      <w:r w:rsidR="00510060" w:rsidRPr="00A07953">
        <w:t>arlamentu s cieľom dôrazne podporiť rozšírenie schengenského priestoru o Rumunsko a Bulharsko a zorganizovanie verejného vypočutia o schengenských hraniciach, a to 18. júla 2023 spolu s Výborom pre občianske slobody, spravodlivosť a vnútorné veci; víta jednomyseľné rozhodnutie Rady o plnom členstve oboch krajín v schengenskom priestore od 1. januára 2025, čím sa umožní plné uplatňovanie základných slobôd jednotného trhu EÚ;</w:t>
      </w:r>
      <w:r w:rsidR="0060675B">
        <w:t xml:space="preserve"> </w:t>
      </w:r>
      <w:r w:rsidR="0060675B" w:rsidRPr="0060675B">
        <w:t>zdôrazňuje, že zabránenie vstupu členských štátov do schengenského priestoru napriek tomu, že splnili všetky potrebné požiadavky, bolo diskriminačné rozhodnutie, ktoré nemalo právne opodstatnenie a malo závažný vplyv na mnohých občanov EÚ;</w:t>
      </w:r>
    </w:p>
    <w:p w14:paraId="1C47BD04" w14:textId="77777777" w:rsidR="00510060" w:rsidRPr="00A07953" w:rsidRDefault="006E442F" w:rsidP="00510060">
      <w:pPr>
        <w:pStyle w:val="NormalHanging12a"/>
        <w:rPr>
          <w:b/>
          <w:i/>
        </w:rPr>
      </w:pPr>
      <w:r>
        <w:t>24</w:t>
      </w:r>
      <w:r w:rsidR="00510060" w:rsidRPr="00A07953">
        <w:t>.</w:t>
      </w:r>
      <w:r w:rsidR="00510060" w:rsidRPr="00A07953">
        <w:rPr>
          <w:b/>
          <w:i/>
        </w:rPr>
        <w:tab/>
      </w:r>
      <w:r w:rsidR="00510060" w:rsidRPr="00A07953">
        <w:t xml:space="preserve">berie na vedomie náhle zvýšenie počtu španielskych petícií v druhej polovici roka 2023 </w:t>
      </w:r>
      <w:r w:rsidR="00510060" w:rsidRPr="00A07953">
        <w:lastRenderedPageBreak/>
        <w:t>týkajúcich sa rizík pre právny štát v Španielsku v dôsledku zámeru španielskej vlády prijať zákon o amnestii v rozpore s ústavným a európskym právom;</w:t>
      </w:r>
      <w:r w:rsidR="00EE7658">
        <w:t xml:space="preserve"> </w:t>
      </w:r>
      <w:r w:rsidR="00EE7658" w:rsidRPr="00EE7658">
        <w:t>vyjadruje poľutovanie nad útokmi španielskej vlády na právny štát a deľbu moci;</w:t>
      </w:r>
    </w:p>
    <w:p w14:paraId="072B006C" w14:textId="77777777" w:rsidR="00510060" w:rsidRPr="00A07953" w:rsidRDefault="006E442F" w:rsidP="00510060">
      <w:pPr>
        <w:pStyle w:val="NormalHanging12a"/>
      </w:pPr>
      <w:r>
        <w:t>25</w:t>
      </w:r>
      <w:r w:rsidR="00510060" w:rsidRPr="00A07953">
        <w:t>.</w:t>
      </w:r>
      <w:r w:rsidR="00510060" w:rsidRPr="00A07953">
        <w:tab/>
        <w:t xml:space="preserve">zdôrazňuje prácu Výboru pre petície v súvislosti s petíciami týkajúcimi sa spoločných pravidiel o jednotnej norme pre rozmery príručnej batožiny, pričom zdôrazňuje obavy občanov z nepríjemností a nepohodlia spôsobených nejednotnými pravidlami pre príručnú batožinu leteckých spoločností a z toho vyplývajúcich skrytých nákladov; zdôrazňuje svoju výzvu na dodržiavanie príslušného rozhodnutia Súdneho dvora Európskej únie v súvislosti s revíziou právnych predpisov EÚ o leteckých službách; v tejto súvislosti poukazuje na krátky návrh uznesenia o štandardizovaných rozmeroch príručnej batožiny, ktorý prijal Výbor pre petície 20. septembra 2023 a po ktorom Európsky parlament 4. októbra 2023 prijal uznesenie v jedinom hlasovaní; víta skutočnosť, že Komisia v novembri 2023 predložila revíziu rámca práv cestujúcich a rad návrhov zameraných na zlepšenie skúseností cestujúcich vrátane požiadavky na obmedzený počet spoločných veľkostí a hmotností s cieľom znížiť zmätok; s poľutovaním konštatuje, že pasažieri so zdravotným postihnutím stále čelia príliš mnohým prekážkam pri cestovaní, najmä v prípade </w:t>
      </w:r>
      <w:proofErr w:type="spellStart"/>
      <w:r w:rsidR="00510060" w:rsidRPr="00A07953">
        <w:t>multimodálnych</w:t>
      </w:r>
      <w:proofErr w:type="spellEnd"/>
      <w:r w:rsidR="00510060" w:rsidRPr="00A07953">
        <w:t xml:space="preserve"> ciest; s poľutovaním dodáva, že systémy verejnej dopravy mnohých členských štátov nespĺňajú požiadavky Dohovoru Organizácie Spojených národov o právach osôb so zdravotným postihnutím (UNCRPD);</w:t>
      </w:r>
    </w:p>
    <w:p w14:paraId="17BBEB08" w14:textId="77777777" w:rsidR="00510060" w:rsidRPr="00A07953" w:rsidRDefault="006E442F" w:rsidP="00510060">
      <w:pPr>
        <w:pStyle w:val="NormalHanging12a"/>
      </w:pPr>
      <w:r>
        <w:t>26</w:t>
      </w:r>
      <w:r w:rsidR="00510060" w:rsidRPr="00A07953">
        <w:t>.</w:t>
      </w:r>
      <w:r w:rsidR="00510060" w:rsidRPr="00A07953">
        <w:tab/>
        <w:t>konštatuje, že v roku 2023 naďalej vyvolávali vážne obavy predkladateľov petícií otázky týkajúce sa životného prostredia, pričom týmto otázkam sa venovalo viac ako 21 % petícií; vyjadruje poľutovanie, že niektoré z týchto petícií poukazujú na nesprávne vykonávanie právnych predpisov EÚ členskými štátmi, pričom niektoré členské štáty už čelia konaniam o porušení právnych predpisov EÚ v oblasti životného prostredia; konštatuje, že v mnohých petíciách sa opisujú sťažnosti na kvalitu ovzdušia, hlukové znečistenie, nakladanie s odpadmi/spracovanie odpadu, zhoršovanie stavu prírodných ekosystémov a porušovanie smernice o biotopoch v rôznych členských štátoch; upozorňuje na verejné vypočutie o stave vykonávania smernice o biotopoch, ktoré sa konalo 24. mája 2023; berie na vedomie, že Výbor pre petície v roku 2023 pokračoval v práci týkajúcej sa vplyvu zmeny klímy v rôznych oblastiach, nielen v oblasti životného prostredia, ale aj v oblasti využívania pôdy, pričom do programu zaradil niekoľko prijatých petícií na tieto témy; poukazuje na seminár o vplyve zmeny klímy na sociálne zabezpečenie a najzraniteľnejšie skupiny, ktorý sa uskutočnil 22. marca 2023, a tiež na prezentáciu štúdie o odškodnení obetí katastrof spôsobených zmenou klímy, ktorá sa uskutočnila 18. júla 2023;</w:t>
      </w:r>
    </w:p>
    <w:p w14:paraId="1F344370" w14:textId="77777777" w:rsidR="00510060" w:rsidRPr="00A07953" w:rsidRDefault="006E442F" w:rsidP="00510060">
      <w:pPr>
        <w:pStyle w:val="NormalHanging12a"/>
      </w:pPr>
      <w:r>
        <w:t>27</w:t>
      </w:r>
      <w:r w:rsidR="00510060" w:rsidRPr="00A07953">
        <w:t>.</w:t>
      </w:r>
      <w:r w:rsidR="00510060" w:rsidRPr="00A07953">
        <w:tab/>
        <w:t>upozorňuje na seminár o transparentnosti tvorby cien a úhrad liekov, ktorý zorganizoval Výbor pre petície 25. januára 2023 a na ktorom sa diskutovalo o transparentnosti z pohľadu pacientov a spotrebiteľov, výrobcov liekov a akademického výskumu; konštatuje, že diskusie sa zamerali na náklady spoločností na výskum a vývoj a na dostupné informácie o cenách hradených za lieky, pričom sa zdôraznil význam transparentnosti v týchto otázkach;</w:t>
      </w:r>
    </w:p>
    <w:p w14:paraId="330BD5A3" w14:textId="77777777" w:rsidR="00510060" w:rsidRPr="00A07953" w:rsidRDefault="006E442F" w:rsidP="00510060">
      <w:pPr>
        <w:pStyle w:val="NormalHanging12a"/>
      </w:pPr>
      <w:r>
        <w:t>28</w:t>
      </w:r>
      <w:r w:rsidR="00510060" w:rsidRPr="00A07953">
        <w:t>.</w:t>
      </w:r>
      <w:r w:rsidR="00510060" w:rsidRPr="00A07953">
        <w:tab/>
        <w:t xml:space="preserve">zdôrazňuje význam plnenia očakávaní občanov EÚ súvisiacich s ochranou životného prostredia a naliehavo vyzýva Komisiu, aby spolu s členskými štátmi zabezpečila správne vykonávanie právnych predpisov EÚ v oblasti životného prostredia, a najmä v oblasti nezákonnej ťažby dreva; poukazuje na petície o environmentálnych otázkach, ktoré odrážajú rastúce obavy verejnosti týkajúce sa dôsledkov zmeny klímy, čo si </w:t>
      </w:r>
      <w:r w:rsidR="00510060" w:rsidRPr="00A07953">
        <w:lastRenderedPageBreak/>
        <w:t>vyžaduje dôsledné presadzovanie existujúcich právnych predpisov EÚ v oblasti životného prostredia zo strany Komisie aj členských štátov;</w:t>
      </w:r>
      <w:r w:rsidR="00613A0B">
        <w:t xml:space="preserve"> </w:t>
      </w:r>
      <w:r w:rsidR="00613A0B" w:rsidRPr="00613A0B">
        <w:t>zdôrazňuje, že zaoberanie sa očakávaniami občanov EÚ, pokiaľ ide o ochranu životného prostredia, by sa malo považovať za rovnako dôležité ako zohľadnenie hospodárskej reality každého členského štátu; zdôrazňuje, že nadmerná regulácia má negatívny vply</w:t>
      </w:r>
      <w:r w:rsidR="00B71ED7">
        <w:t xml:space="preserve">v na rozvíjajúce sa ekonomiky; </w:t>
      </w:r>
      <w:r w:rsidR="00613A0B" w:rsidRPr="00613A0B">
        <w:t>zdôrazňuje preto, že každý členský štát by mal mať možnosť rozhodovať o svojom procese transformácie a že právne predpisy v oblasti životného prostredia by nemali brániť hospodárskej konkurencieschopnosti;</w:t>
      </w:r>
    </w:p>
    <w:p w14:paraId="680F9FA9" w14:textId="77777777" w:rsidR="00510060" w:rsidRPr="00A07953" w:rsidRDefault="006E442F" w:rsidP="00510060">
      <w:pPr>
        <w:pStyle w:val="NormalHanging12a"/>
        <w:rPr>
          <w:b/>
          <w:i/>
        </w:rPr>
      </w:pPr>
      <w:r>
        <w:t>29</w:t>
      </w:r>
      <w:r w:rsidR="00510060" w:rsidRPr="00A07953">
        <w:t>.</w:t>
      </w:r>
      <w:r w:rsidR="00510060" w:rsidRPr="00A07953">
        <w:rPr>
          <w:b/>
          <w:i/>
        </w:rPr>
        <w:tab/>
      </w:r>
      <w:r w:rsidR="00510060" w:rsidRPr="00A07953">
        <w:t>berie na vedomie pozitívne účinky návštevy na účely zistenia potrebných skutočností v Rumunsku od 15. do 18. mája 2023 o riadení a ochrane populácie medveďa hnedého; s poľutovaním však konštatuje, že stále dochádza k príliš veľkému počtu smrteľných nehôd spôsobených medveďmi hnedými v súvislosti s ľuďmi a hospodárskymi zvieratami, čo si vyžaduje ďalšie monitorovanie a spoluprácu s vnútroštátnymi orgánmi;</w:t>
      </w:r>
      <w:r w:rsidR="0054661E">
        <w:t xml:space="preserve"> </w:t>
      </w:r>
      <w:r w:rsidR="0054661E" w:rsidRPr="0054661E">
        <w:t>zdôrazňuje, že ochrana ľudských životov a bezpečnosti ľudí by mala byť vždy prioritou;</w:t>
      </w:r>
    </w:p>
    <w:p w14:paraId="3A6D013E" w14:textId="77777777" w:rsidR="00510060" w:rsidRPr="00A07953" w:rsidRDefault="006E442F" w:rsidP="00510060">
      <w:pPr>
        <w:pStyle w:val="NormalHanging12a"/>
        <w:rPr>
          <w:b/>
          <w:i/>
        </w:rPr>
      </w:pPr>
      <w:r>
        <w:t>30</w:t>
      </w:r>
      <w:r w:rsidR="00510060" w:rsidRPr="00A07953">
        <w:t>.</w:t>
      </w:r>
      <w:r w:rsidR="00510060" w:rsidRPr="00A07953">
        <w:rPr>
          <w:b/>
          <w:i/>
        </w:rPr>
        <w:tab/>
      </w:r>
      <w:r w:rsidR="00510060" w:rsidRPr="00A07953">
        <w:t>po návšteve Rumunska na účely zistenia potrebných skutočností zdôrazňuje potrebu rovnováhy medzi ochranou voľne žijúcich živočíchov a rastlín a bezpečnosťou občanov. zdôrazňuje, že každý členský štát by mal mať možnosť prijať opatrenia vrátane kontroly populácie druhov s cieľom zabrániť hrozbám pre životy a majetok svojich občanov;</w:t>
      </w:r>
    </w:p>
    <w:p w14:paraId="02D5821E" w14:textId="77777777" w:rsidR="00510060" w:rsidRPr="00A07953" w:rsidRDefault="006E442F" w:rsidP="00510060">
      <w:pPr>
        <w:pStyle w:val="NormalHanging12a"/>
      </w:pPr>
      <w:r>
        <w:t>31</w:t>
      </w:r>
      <w:r w:rsidR="00510060" w:rsidRPr="00A07953">
        <w:t>.</w:t>
      </w:r>
      <w:r w:rsidR="00510060" w:rsidRPr="00A07953">
        <w:tab/>
        <w:t xml:space="preserve">zdôrazňuje záväzok Výboru pre petície chrániť práva osôb so zdravotným postihnutím; pripomína výročný seminár, ktorý zorganizoval Výbor pre petície 29. novembra 2023 a ktorý bol venovaný právam osôb so zdravotným postihnutím; pripomína, že jeho prvá časť sa zameriavala na to, ako sa osoby so zdravotným postihnutím vyrovnávali s nedávnymi krízami (náklady na energie, vojna, vysoká inflácia atď.) a ako opatrenia EÚ pomáhali prekonať tieto prekážky, zatiaľ čo druhá časť sa zaoberala otázkou, ako európske inštitúcie vybudovali inkluzívnu komunikáciu s občanmi so zdravotným postihnutím; v tejto súvislosti tiež zdôrazňuje, že výbor 29. novembra 2023 prijal stanovisko vo forme listu o zavedení európskeho preukazu osoby so zdravotným postihnutím a európskeho parkovacieho preukazu pre osoby so zdravotným postihnutím; </w:t>
      </w:r>
      <w:r w:rsidR="0054661E" w:rsidRPr="0054661E">
        <w:t xml:space="preserve">zdôrazňuje, že prístup osôb so zdravotným postihnutím k dávkam sociálneho zabezpečenia patrí do vnútroštátnej zodpovednosti a systémov koordinácie sociálneho zabezpečenia a že aj spory by sa mali v súlade so zásadou subsidiarity riešiť a rešpektovať v rámci zavedených súdnych mechanizmov a ich právomocí na základe povinnosti vyčerpať právne prostriedky nápravy, a nie prostredníctvom priameho zásahu Komisie; </w:t>
      </w:r>
      <w:r w:rsidR="00510060" w:rsidRPr="00A07953">
        <w:t xml:space="preserve">v tejto súvislosti zdôrazňuje aj naliehavú potrebu úplnej a konzistentnej transpozície európskeho aktu o prístupnosti a vyzýva členské štáty, aby zabránili ďalším oneskoreniam, ktoré odopierajú osobám so zdravotným postihnutím práva; pripomína, že cieľom európskeho aktu o prístupnosti je </w:t>
      </w:r>
      <w:r w:rsidR="0054661E" w:rsidRPr="0054661E">
        <w:t xml:space="preserve">zlepšiť život </w:t>
      </w:r>
      <w:r w:rsidR="00510060" w:rsidRPr="00A07953">
        <w:t>najmenej 87 miliónom osôb so zdravotným postihnutím a </w:t>
      </w:r>
      <w:r w:rsidR="0054661E" w:rsidRPr="0054661E">
        <w:t xml:space="preserve">uľahčiť </w:t>
      </w:r>
      <w:r w:rsidR="00510060" w:rsidRPr="00A07953">
        <w:t>im prístup okrem iného k verejnej doprave, bankovým službám, počítačom, televízorom, elektronickým knihám a online obchodom;</w:t>
      </w:r>
    </w:p>
    <w:p w14:paraId="53ED5D2A" w14:textId="77777777" w:rsidR="00510060" w:rsidRPr="00A07953" w:rsidRDefault="006E442F" w:rsidP="00510060">
      <w:pPr>
        <w:pStyle w:val="NormalHanging12a"/>
      </w:pPr>
      <w:r>
        <w:t>32</w:t>
      </w:r>
      <w:r w:rsidR="00510060" w:rsidRPr="00A07953">
        <w:t>.</w:t>
      </w:r>
      <w:r w:rsidR="00510060" w:rsidRPr="00A07953">
        <w:tab/>
        <w:t xml:space="preserve">zdôrazňuje dôležitý príspevok Výboru pre petície k ochrane práv osôb so zdravotným postihnutím, o ktorom svedčí riešenie niekoľkých petícií na túto citlivú tému; v tejto súvislosti uznáva úsilie útvarov Európskeho parlamentu a konštatuje, že je potrebné nájsť nielen najlepšie technické, ale aj </w:t>
      </w:r>
      <w:r w:rsidR="0054661E" w:rsidRPr="0054661E">
        <w:t xml:space="preserve">najprístupnejšie </w:t>
      </w:r>
      <w:r w:rsidR="00510060" w:rsidRPr="00A07953">
        <w:t xml:space="preserve">riešenie pre nepočujúcich občanov, aby s nimi mohli komunikovať </w:t>
      </w:r>
      <w:r w:rsidR="0054661E" w:rsidRPr="0054661E">
        <w:t xml:space="preserve">v ich </w:t>
      </w:r>
      <w:r w:rsidR="00510060" w:rsidRPr="00A07953">
        <w:t>materinskom jazyku</w:t>
      </w:r>
      <w:r w:rsidR="0054661E" w:rsidRPr="0054661E">
        <w:t>, teda</w:t>
      </w:r>
      <w:r w:rsidR="00510060" w:rsidRPr="00A07953">
        <w:t xml:space="preserve"> v národných posunkových jazykoch; požaduje zmenu rokovacieho poriadku v úzkej spolupráci s </w:t>
      </w:r>
      <w:r w:rsidR="00510060" w:rsidRPr="00A07953">
        <w:lastRenderedPageBreak/>
        <w:t xml:space="preserve">Výborom pre ústavné veci (AFCO) s cieľom odstrániť </w:t>
      </w:r>
      <w:r w:rsidR="0054661E" w:rsidRPr="0054661E">
        <w:t>povinnosť výlučne písomnej komunikácie s občanmi, ktorí používajú posunkový jazyk, nepočujú alebo sú nedoslýchaví, aby mohli počas postupu na požiadanie používať svoj posunkový jazyk</w:t>
      </w:r>
      <w:r w:rsidR="00510060" w:rsidRPr="00A07953">
        <w:t>; v tejto súvislosti tiež zdôrazňuje, že výbor 29. novembra 2023 prijal stanovisko vo forme listu o zavedení európskeho preukazu osoby so zdravotným postihnutím a európskeho parkovacieho preukazu pre osoby so zdravotným postihnutím;</w:t>
      </w:r>
    </w:p>
    <w:p w14:paraId="541BEACD" w14:textId="77777777" w:rsidR="00510060" w:rsidRPr="00A07953" w:rsidRDefault="006E442F" w:rsidP="00510060">
      <w:pPr>
        <w:pStyle w:val="NormalHanging12a"/>
      </w:pPr>
      <w:r>
        <w:t>33</w:t>
      </w:r>
      <w:r w:rsidR="00510060" w:rsidRPr="00A07953">
        <w:t>.</w:t>
      </w:r>
      <w:r w:rsidR="00510060" w:rsidRPr="00A07953">
        <w:tab/>
        <w:t>okrem toho zdôrazňuje, že Výbor pre petície zohráva v EÚ osobitnú ochrannú úlohu v rámci Dohovoru OSN o právach osôb so zdravotným postihnutím prostredníctvom jeho kapacity prerokovať petície, a zdôrazňuje dôležitú prácu, ktorá vo výbore prebieha, na petíciách týkajúcich sa otázok súvisiacich so zdravotným postihnutím; hoci konštatuje mierny pokles počtu petícií týkajúcich sa zdravotného postihnutia v roku 2023 v porovnaní s rokom 2022, zdôrazňuje, že v porovnaní s rokom 2021 sa tento počet takmer zdvojnásobil; ďalej poukazuje na to, že diskriminácia a prístup k verejnej doprave a zamestnaniu sú naďalej hlavnými výzvami, ktorým čelia osoby so zdravotným postihnutím, a zdôrazňuje, že výbor venuje osobitnú pozornosť požiadavke, aby sa v európskom štatúte osôb so zdravotným postihnutím uznali práva osôb s autizmom; víta prijatie krátkeho návrhu uznesenia o harmonizácii práv osôb s autizmom, v ktorom sa zdôrazňuje potreba zlepšiť prístup k diagnostike, zdravotnej starostlivosti, vzdelávaniu, zamestnaniu, prístupnosti a poskytovaniu primeraného ubytovania, právnej spôsobilosti a celoživotnej podpory komunity, a to aj pokiaľ ide o kultúru a šport; ďalej upozorňuje na osobitnú úlohu Výboru pre petície pri ochrane práv detí a ich rodičov, pričom uznáva početné doručené petície o právach detí, ktoré si vyžadujú osobitnú pozornosť a opatrenia; v tejto súvislosti pripomína ustanovenia Charty základných práv EÚ, najmä jej článok 24 o právach dieťaťa, s cieľom umožniť každému dieťaťu udržiavať osobný vzťah a priamy styk s oboma svojimi rodičmi, ak to nie je v rozpore so záujmami dieťaťa; opakuje tiež riziko, že na rodiny s autistickými deťmi sa budú zameriavať ponuky nepreukázaných, potenciálne škodlivých a nezákonných liečebných postupov a intervencií, ktoré môžu spôsobiť vážne fyzické zneužívanie detí;</w:t>
      </w:r>
    </w:p>
    <w:p w14:paraId="4E0BA372" w14:textId="77777777" w:rsidR="00510060" w:rsidRPr="00A07953" w:rsidRDefault="006E442F" w:rsidP="00510060">
      <w:pPr>
        <w:pStyle w:val="NormalHanging12a"/>
        <w:rPr>
          <w:rFonts w:eastAsia="Calibri"/>
        </w:rPr>
      </w:pPr>
      <w:r>
        <w:t>34</w:t>
      </w:r>
      <w:r w:rsidR="00510060" w:rsidRPr="00A07953">
        <w:t>.</w:t>
      </w:r>
      <w:r w:rsidR="00510060" w:rsidRPr="00A07953">
        <w:tab/>
        <w:t xml:space="preserve">pripomína skutočnosť, že vzťahy s európskym ombudsmanom predstavujú jednu z povinností, ktoré sú podľa rokovacieho poriadku Európskeho parlamentu zverené Výboru pre petície; víta konštruktívnu spoluprácu </w:t>
      </w:r>
      <w:r w:rsidR="00A621A1" w:rsidRPr="00A07953">
        <w:t>Európskeho p</w:t>
      </w:r>
      <w:r w:rsidR="00510060" w:rsidRPr="00A07953">
        <w:t>arlamentu s európskym ombudsmanom, s ktorým má Výbor pre petície spoločné ciele v oblasti zabezpečenia transparentnosti, profesionality a integrity inštitúcií EÚ vo vzťahu k európskym občanom, ako aj jeho zapojenie do Európskej siete ombudsmanov;</w:t>
      </w:r>
      <w:r w:rsidR="0054661E">
        <w:t xml:space="preserve"> </w:t>
      </w:r>
      <w:r w:rsidR="0054661E" w:rsidRPr="0054661E">
        <w:t>zdôrazňuje, že je potrebné zintenzívniť spoluprácu s európskym ombudsmanom s cieľom zabezpečiť rýchlu, nestrannú a transparentnú reakciu na sťažnosti občanov týkajúce sa akýchkoľvek administratívnych nedostatkov v inštitúciách EÚ;</w:t>
      </w:r>
    </w:p>
    <w:p w14:paraId="2F8A389D" w14:textId="77777777" w:rsidR="00510060" w:rsidRPr="00A07953" w:rsidRDefault="006E442F" w:rsidP="00510060">
      <w:pPr>
        <w:pStyle w:val="NormalHanging12a"/>
        <w:rPr>
          <w:b/>
          <w:i/>
        </w:rPr>
      </w:pPr>
      <w:r>
        <w:t>35</w:t>
      </w:r>
      <w:r w:rsidR="00510060" w:rsidRPr="00A07953">
        <w:t>.</w:t>
      </w:r>
      <w:r w:rsidR="00510060" w:rsidRPr="00A07953">
        <w:rPr>
          <w:b/>
          <w:i/>
        </w:rPr>
        <w:tab/>
      </w:r>
      <w:r w:rsidR="00510060" w:rsidRPr="00A07953">
        <w:t xml:space="preserve">zdôrazňuje kľúčovú prácu, ktorú Výbor pre petície vykonal v oblasti ochrany práv pracovníkov; zdôrazňuje, že po niekoľkých petíciách doručených v tejto oblasti nasledovali ďalšie opatrenia, ako napríklad diskusia o používaní zmlúv na dobu určitú, ako aj diskusia o petícii „Dobré oblečenie, spravodlivá odmena“, ktorá sa stala predmetom európskej iniciatívy občanov a zameriava sa na škodlivú situáciu pracovníkov v celosvetovom odevnom a obuvníckom priemysle, alebo parlamentná otázka na ústne zodpovedanie o pracovných podmienkach učiteľov v Európskej únii, ktorej základom je tiež petícia prijatá v tejto veci; opakuje, že je dôležité zabezpečiť spravodlivé pracovné podmienky a väčšiu ochranu pracovníkov v EÚ, a vyzýva členské štáty a Komisiu, aby účinne riešili obavy vyjadrené v petíciách týkajúcich sa </w:t>
      </w:r>
      <w:r w:rsidR="00510060" w:rsidRPr="00A07953">
        <w:lastRenderedPageBreak/>
        <w:t>pracovných práv a odborových zväzov;</w:t>
      </w:r>
      <w:r w:rsidR="00510060" w:rsidRPr="00A07953">
        <w:rPr>
          <w:b/>
          <w:i/>
        </w:rPr>
        <w:t> </w:t>
      </w:r>
    </w:p>
    <w:p w14:paraId="64AA9D99" w14:textId="77777777" w:rsidR="00510060" w:rsidRPr="00A07953" w:rsidRDefault="006E442F" w:rsidP="00510060">
      <w:pPr>
        <w:pStyle w:val="NormalHanging12a"/>
        <w:rPr>
          <w:b/>
          <w:i/>
        </w:rPr>
      </w:pPr>
      <w:r>
        <w:t>36</w:t>
      </w:r>
      <w:r w:rsidR="00510060" w:rsidRPr="00A07953">
        <w:t>.</w:t>
      </w:r>
      <w:r w:rsidR="00510060" w:rsidRPr="00A07953">
        <w:rPr>
          <w:b/>
          <w:i/>
        </w:rPr>
        <w:tab/>
      </w:r>
      <w:r w:rsidR="00510060" w:rsidRPr="00A07953">
        <w:t xml:space="preserve">pripomína štúdiu Európskeho parlamentu o </w:t>
      </w:r>
      <w:proofErr w:type="spellStart"/>
      <w:r w:rsidR="00510060" w:rsidRPr="00A07953">
        <w:t>bezdomovectve</w:t>
      </w:r>
      <w:proofErr w:type="spellEnd"/>
      <w:r w:rsidR="00510060" w:rsidRPr="00A07953">
        <w:t xml:space="preserve"> v EÚ, ktorú zadal Výbor pre petície a ktorá bola predložená na jeho schôdzi v novembri 2023; konštatuje, že uvedená štúdia významne prispela k tejto naliehavej sociálnej a hospodárskej výzve, ktorá predstavuje jednu z najzávažnejších foriem sociálneho vylúčenia, pričom zdôraznila potrebu zmeny verejnej politiky zameranej na predchádzanie </w:t>
      </w:r>
      <w:proofErr w:type="spellStart"/>
      <w:r w:rsidR="00510060" w:rsidRPr="00A07953">
        <w:t>bezdomovectvu</w:t>
      </w:r>
      <w:proofErr w:type="spellEnd"/>
      <w:r w:rsidR="00510060" w:rsidRPr="00A07953">
        <w:t xml:space="preserve"> v prvom rade, okrem iného poskytnutím bezpečného a cenovo dostupného bývania;</w:t>
      </w:r>
      <w:r w:rsidR="0054661E">
        <w:t xml:space="preserve"> </w:t>
      </w:r>
      <w:r w:rsidR="0054661E" w:rsidRPr="0054661E">
        <w:t xml:space="preserve">pripomína, že nezákonný </w:t>
      </w:r>
      <w:proofErr w:type="spellStart"/>
      <w:r w:rsidR="0054661E" w:rsidRPr="0054661E">
        <w:t>squatting</w:t>
      </w:r>
      <w:proofErr w:type="spellEnd"/>
      <w:r w:rsidR="0054661E" w:rsidRPr="0054661E">
        <w:t xml:space="preserve"> nemožno považovať za riešenie </w:t>
      </w:r>
      <w:proofErr w:type="spellStart"/>
      <w:r w:rsidR="0054661E" w:rsidRPr="0054661E">
        <w:t>bezdomovectva</w:t>
      </w:r>
      <w:proofErr w:type="spellEnd"/>
      <w:r w:rsidR="0054661E" w:rsidRPr="0054661E">
        <w:t xml:space="preserve">, keďže právo vlastniť majetok je zakotvené v článku 17 Charty základných práv EÚ; zdôrazňuje, že členské štáty by mali hľadať skutočné riešenia namiesto podpory nezákonného </w:t>
      </w:r>
      <w:proofErr w:type="spellStart"/>
      <w:r w:rsidR="0054661E" w:rsidRPr="0054661E">
        <w:t>squattingu</w:t>
      </w:r>
      <w:proofErr w:type="spellEnd"/>
      <w:r w:rsidR="0054661E" w:rsidRPr="0054661E">
        <w:t>, keďže politika bývania patrí do výlučnej právomoci členských štátov;</w:t>
      </w:r>
    </w:p>
    <w:p w14:paraId="006CEA20" w14:textId="77777777" w:rsidR="00510060" w:rsidRPr="00A07953" w:rsidRDefault="006E442F" w:rsidP="00510060">
      <w:pPr>
        <w:pStyle w:val="NormalHanging12a"/>
        <w:rPr>
          <w:rFonts w:eastAsia="Calibri"/>
        </w:rPr>
      </w:pPr>
      <w:r>
        <w:t>37</w:t>
      </w:r>
      <w:r w:rsidR="00510060" w:rsidRPr="00A07953">
        <w:t>.</w:t>
      </w:r>
      <w:r w:rsidR="00510060" w:rsidRPr="00A07953">
        <w:tab/>
        <w:t>uznáva pravidelný prínos európskej ombudsmanky k činnosti Výboru pre petície počas celého roka; vyjadruje pevné presvedčenie, že inštitúcie, orgány a agentúry Únie musia zabezpečiť konzistentné a účinné opatrenia v nadväznosti na odporúčania ombudsmanky;</w:t>
      </w:r>
    </w:p>
    <w:p w14:paraId="6D5E848C" w14:textId="77777777" w:rsidR="00510060" w:rsidRPr="00A07953" w:rsidRDefault="006E442F" w:rsidP="00510060">
      <w:pPr>
        <w:pStyle w:val="NormalHanging12a"/>
      </w:pPr>
      <w:r>
        <w:t>38</w:t>
      </w:r>
      <w:r w:rsidR="00510060" w:rsidRPr="00A07953">
        <w:t>.</w:t>
      </w:r>
      <w:r w:rsidR="00510060" w:rsidRPr="00A07953">
        <w:tab/>
      </w:r>
      <w:r w:rsidR="00DA31D7">
        <w:t>z</w:t>
      </w:r>
      <w:r w:rsidR="00510060" w:rsidRPr="00A07953">
        <w:t xml:space="preserve">dôrazňuje, že európske iniciatívy občanov predstavujú dôležitý nástroj aktívneho občianstva a účasti verejnosti; víta diskusiu na niektorých schôdzach o neúspešných európskych iniciatívach občanov, ktoré boli niekedy následne preformulované na petície, čím sa občanom poskytla možnosť prezentovať svoje myšlienky a viesť konštruktívnu diskusiu a zároveň prispieť k ich účasti na demokratických procesoch v EÚ; berie na vedomie značný počet nových európskych iniciatív občanov, ktoré Komisia zaregistrovala v roku 2023 a z ktorých vyplýva, že občania využívajú možnosť uplatniť </w:t>
      </w:r>
      <w:proofErr w:type="spellStart"/>
      <w:r w:rsidR="00510060" w:rsidRPr="00A07953">
        <w:t>participatívne</w:t>
      </w:r>
      <w:proofErr w:type="spellEnd"/>
      <w:r w:rsidR="00510060" w:rsidRPr="00A07953">
        <w:t xml:space="preserve"> nástroje na to, aby mohli zasahovať do procesov tvorby politík a právnych predpisov; vyzýva Komisiu, aby lepšie spolupracovala s občanmi a prijala adekvátne následné opatrenia v nadväznosti na úspešné európske iniciatívy občanov; víta významné úsilie vynaložené na zorganizovanie štyroch verejných vypočutí o úspešných európskych iniciatívach občanov v spolupráci s ostatnými výbormi, ktoré organizátorom umožnili predstaviť ciele iniciatívy a nadviazať kontakt s poslancami Európskeho parlamentu a so zástupcami Európskej komisie; zdôrazňuje, že záväzok Komisie reagovať na platné európske iniciatívy občanov je kľúčový pri zachovávaní dôvery občanov v inštitút európskej iniciatívy občanov ako najveľavýznamnejšieho nástroja zastupiteľskej demokracie;</w:t>
      </w:r>
    </w:p>
    <w:p w14:paraId="5E0FCE2B" w14:textId="77777777" w:rsidR="00510060" w:rsidRPr="00A07953" w:rsidRDefault="00B71ED7" w:rsidP="00510060">
      <w:pPr>
        <w:pStyle w:val="NormalHanging12a"/>
        <w:rPr>
          <w:b/>
          <w:i/>
        </w:rPr>
      </w:pPr>
      <w:r>
        <w:t>39</w:t>
      </w:r>
      <w:r w:rsidR="00510060" w:rsidRPr="00A07953">
        <w:t>.</w:t>
      </w:r>
      <w:r w:rsidR="00510060" w:rsidRPr="00A07953">
        <w:rPr>
          <w:b/>
          <w:i/>
        </w:rPr>
        <w:tab/>
      </w:r>
      <w:r w:rsidR="00510060" w:rsidRPr="00A07953">
        <w:t>naliehavo vyzýva Komisiu, aby náležite zohľadnila prijaté parlamentné uznesenia o európskych iniciatívach občanov a posilnila svoju angažovanosť vo vzťahu k občanom, najmä zabezpečením vhodných a účinných opatrení nadväzujúcich na úspešné európske iniciatívy občanov, čím sa posilní demokratický proces a zabezpečí, aby sa hlasy občanov primerane odrážali pri tvorbe politík EÚ;</w:t>
      </w:r>
    </w:p>
    <w:p w14:paraId="1F652ECD" w14:textId="77777777" w:rsidR="00510060" w:rsidRPr="00A07953" w:rsidRDefault="00B71ED7" w:rsidP="00510060">
      <w:pPr>
        <w:pStyle w:val="NormalHanging12a"/>
        <w:rPr>
          <w:rFonts w:eastAsia="Calibri"/>
        </w:rPr>
      </w:pPr>
      <w:r>
        <w:t>40</w:t>
      </w:r>
      <w:r w:rsidR="00510060" w:rsidRPr="00A07953">
        <w:t>.</w:t>
      </w:r>
      <w:r w:rsidR="00510060" w:rsidRPr="00A07953">
        <w:tab/>
        <w:t xml:space="preserve">zdôrazňuje, že webový portál pre petície je základným nástrojom na zabezpečenie hladkého, efektívneho a transparentného petičného procesu; v tejto súvislosti víta zlepšenia v oblasti ochrany údajov a bezpečnostných prvkov, vďaka ktorým je portál pre občanov používateľsky ústretovejší a bezpečnejší; zdôrazňuje, že je potrebné pokračovať v úsilí o zlepšenie prístupnosti portálu vrátane jeho lepšieho sprístupnenia používateľom posunkového jazyka a osobám so zdravotným postihnutím; konštatuje, že webový portál pre petície je jednou z najnavštevovanejších webových stránok Európskeho parlamentu, a preto mnohým občanom EÚ slúži ako prvé kontaktné miesto </w:t>
      </w:r>
      <w:r w:rsidR="00510060" w:rsidRPr="00A07953">
        <w:lastRenderedPageBreak/>
        <w:t>s</w:t>
      </w:r>
      <w:r w:rsidR="00A621A1" w:rsidRPr="00A07953">
        <w:t> Európskym p</w:t>
      </w:r>
      <w:r w:rsidR="00510060" w:rsidRPr="00A07953">
        <w:t>arlamentom;</w:t>
      </w:r>
    </w:p>
    <w:p w14:paraId="07C12686" w14:textId="77777777" w:rsidR="00510060" w:rsidRPr="00A07953" w:rsidRDefault="00B71ED7" w:rsidP="00510060">
      <w:pPr>
        <w:pStyle w:val="NormalHanging12a"/>
      </w:pPr>
      <w:r>
        <w:t>41</w:t>
      </w:r>
      <w:r w:rsidR="00510060" w:rsidRPr="00A07953">
        <w:t>.</w:t>
      </w:r>
      <w:r w:rsidR="00510060" w:rsidRPr="00A07953">
        <w:rPr>
          <w:b/>
          <w:i/>
        </w:rPr>
        <w:tab/>
      </w:r>
      <w:r w:rsidR="00510060" w:rsidRPr="00A07953">
        <w:t>pripomína európsky rozmer Výboru pre petície, na ktorý sa môžu obrátiť občania zo všetkých 27 členských štátov v súvislosti s otázkami, ktoré patria do rozsahu činností Únie; domnieva sa, že výbor má osobitnú zodpovednosť za presadzovanie tohto európskeho rozmeru a preukazovanie pridanej hodnoty európskej jednoty a integrácie pre občanov a naďalej sa zaoberá otázkami súvisiacimi s porušovaním práva EÚ, ako aj medzerami a nedostatkami v ustanoveniach existujúcich právnych predpisov EÚ; je presvedčený, že včasné vyhýbanie sa petíciám pri jasne stanovených vnútroštátnych právomociach spolu s komplexnými vysvetleniami a pokynmi týkajúcimi sa alternatívnych postupov by v prípade potreby mohlo prispieť ku konštruktívnemu prístupu a väčšia angažovanosť občanov; v tejto súvislosti domnieva, že Európsky parlament by mal zintenzívniť úsilie o podporu úlohy a práce svojho Výboru pre petície a zvýšiť informovanosť všetkých občanov EÚ o možnosti predložiť petíciu Európskemu parlamentu; pripomína, že pre obmedzený čas vyhradený na schôdze výborov sa väčšina petícií rieši písomným postupom; v tejto súvislosti poukazuje na to, že všetky doručené petície vrátane petícií v oblasti medzinárodných záležitostí by sa mali vybavovať s náležitou transparentnosťou a nestrannosťou; zastáva názor, že výber petícií na prerokovanie vo výbore by mal odrážať geografickú a politickú rovnováhu doručených podaní; okrem toho sa domnieva, že geografická rovnováha by sa mala uplatňovať aj pri organizovaní návštev výboru na účely zistenia potrebných skutočností, a to každý rok a počas každého legislatívneho obdobia;</w:t>
      </w:r>
    </w:p>
    <w:p w14:paraId="17EF9110" w14:textId="77777777" w:rsidR="00510060" w:rsidRPr="00A07953" w:rsidRDefault="00B71ED7" w:rsidP="00510060">
      <w:pPr>
        <w:pStyle w:val="NormalHanging12a"/>
      </w:pPr>
      <w:r>
        <w:t>42</w:t>
      </w:r>
      <w:r w:rsidR="00510060" w:rsidRPr="00A07953">
        <w:t>.</w:t>
      </w:r>
      <w:r w:rsidR="00510060" w:rsidRPr="00A07953">
        <w:tab/>
        <w:t>víta prijatie krátkeho návrhu uznesenia o vytvorení Európskeho hlavného mesta miestneho obchodu</w:t>
      </w:r>
      <w:r w:rsidR="00510060" w:rsidRPr="00A07953">
        <w:rPr>
          <w:rStyle w:val="FootnoteReference"/>
        </w:rPr>
        <w:footnoteReference w:id="7"/>
      </w:r>
      <w:r w:rsidR="00510060" w:rsidRPr="00A07953">
        <w:t xml:space="preserve"> na plenárnom zasadnutí v januári 2023; zdôrazňuje, že tento úspech je pre Výbor pre petície vynikajúcim výsledkom, a konštatuje, že tento projekt bol úspešne zahrnutý ako prípravná akcia do rozpočtu na rok 2024 s celkovým rozpočtom 3 milióny EUR; pripomína, že Komisia v decembri 2023 v Barcelone oficiálne predstavila projekt vytvorenia Európskeho hlavného mesta miestneho obchodu;</w:t>
      </w:r>
    </w:p>
    <w:p w14:paraId="5C9CD6FF" w14:textId="77777777" w:rsidR="00E365E1" w:rsidRPr="00A07953" w:rsidRDefault="00B71ED7" w:rsidP="00490A58">
      <w:pPr>
        <w:pStyle w:val="NormalHanging12a"/>
      </w:pPr>
      <w:r>
        <w:t>43</w:t>
      </w:r>
      <w:r w:rsidR="00510060" w:rsidRPr="00A07953">
        <w:t>.</w:t>
      </w:r>
      <w:r w:rsidR="00510060" w:rsidRPr="00A07953">
        <w:tab/>
        <w:t>poveruje svoj</w:t>
      </w:r>
      <w:r w:rsidR="00490A58" w:rsidRPr="00A07953">
        <w:t>u</w:t>
      </w:r>
      <w:r w:rsidR="00510060" w:rsidRPr="00A07953">
        <w:t xml:space="preserve"> predsed</w:t>
      </w:r>
      <w:r w:rsidR="00490A58" w:rsidRPr="00A07953">
        <w:t>níčk</w:t>
      </w:r>
      <w:r w:rsidR="00510060" w:rsidRPr="00A07953">
        <w:t>u, aby postúpil</w:t>
      </w:r>
      <w:r w:rsidR="00490A58" w:rsidRPr="00A07953">
        <w:t>a</w:t>
      </w:r>
      <w:r w:rsidR="00510060" w:rsidRPr="00A07953">
        <w:t xml:space="preserve"> toto uznesenie a správu Výboru pre petície Rade, Komisii, európskemu ombudsmanovi, vládam a parlamentom členských štátov, ich petičným výborom a ich vnútroštátnym ombudsmanom alebo obdobným príslušným orgánom.</w:t>
      </w:r>
    </w:p>
    <w:sectPr w:rsidR="00E365E1" w:rsidRPr="00A07953" w:rsidSect="00104D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E7FC6" w14:textId="77777777" w:rsidR="006A6B70" w:rsidRPr="00104D1C" w:rsidRDefault="006A6B70">
      <w:r w:rsidRPr="00104D1C">
        <w:separator/>
      </w:r>
    </w:p>
  </w:endnote>
  <w:endnote w:type="continuationSeparator" w:id="0">
    <w:p w14:paraId="77743CED" w14:textId="77777777" w:rsidR="006A6B70" w:rsidRPr="00104D1C" w:rsidRDefault="006A6B70">
      <w:r w:rsidRPr="00104D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3D5FD" w14:textId="77777777" w:rsidR="00064002" w:rsidRPr="00104D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7989" w14:textId="77777777" w:rsidR="00064002" w:rsidRPr="00104D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1F44" w14:textId="77777777" w:rsidR="00064002" w:rsidRPr="00104D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59265" w14:textId="77777777" w:rsidR="006A6B70" w:rsidRPr="00104D1C" w:rsidRDefault="006A6B70">
      <w:r w:rsidRPr="00104D1C">
        <w:separator/>
      </w:r>
    </w:p>
  </w:footnote>
  <w:footnote w:type="continuationSeparator" w:id="0">
    <w:p w14:paraId="4BC3E7FE" w14:textId="77777777" w:rsidR="006A6B70" w:rsidRPr="00104D1C" w:rsidRDefault="006A6B70">
      <w:r w:rsidRPr="00104D1C">
        <w:continuationSeparator/>
      </w:r>
    </w:p>
  </w:footnote>
  <w:footnote w:id="1">
    <w:p w14:paraId="7B2AB348" w14:textId="77777777" w:rsidR="0054661E" w:rsidRPr="001E0163" w:rsidRDefault="0054661E" w:rsidP="001E0163">
      <w:pPr>
        <w:pStyle w:val="FootnoteText"/>
        <w:ind w:left="567" w:hanging="567"/>
        <w:rPr>
          <w:sz w:val="24"/>
          <w:szCs w:val="24"/>
          <w:lang w:val="fi-FI"/>
        </w:rPr>
      </w:pPr>
      <w:r w:rsidRPr="001E0163">
        <w:rPr>
          <w:rStyle w:val="FootnoteReference"/>
          <w:sz w:val="24"/>
          <w:szCs w:val="24"/>
        </w:rPr>
        <w:footnoteRef/>
      </w:r>
      <w:r w:rsidRPr="001E0163">
        <w:rPr>
          <w:sz w:val="24"/>
          <w:szCs w:val="24"/>
          <w:lang w:val="fi-FI"/>
        </w:rPr>
        <w:t xml:space="preserve"> </w:t>
      </w:r>
      <w:r w:rsidRPr="001E0163">
        <w:rPr>
          <w:sz w:val="24"/>
          <w:szCs w:val="24"/>
          <w:lang w:val="sk-SK"/>
        </w:rPr>
        <w:tab/>
        <w:t xml:space="preserve">Ú. v. EÚ C, C/2024/3999, 17.7.2024, ELI: </w:t>
      </w:r>
      <w:hyperlink r:id="rId1" w:history="1">
        <w:r w:rsidRPr="001E0163">
          <w:rPr>
            <w:rStyle w:val="Hyperlink"/>
            <w:sz w:val="24"/>
            <w:szCs w:val="24"/>
            <w:lang w:val="fi-FI"/>
          </w:rPr>
          <w:t>http://data.europa.eu/eli/C/2024/3999/oj</w:t>
        </w:r>
      </w:hyperlink>
      <w:r w:rsidRPr="001E0163">
        <w:rPr>
          <w:sz w:val="24"/>
          <w:szCs w:val="24"/>
          <w:lang w:val="sk-SK"/>
        </w:rPr>
        <w:t xml:space="preserve">. </w:t>
      </w:r>
    </w:p>
  </w:footnote>
  <w:footnote w:id="2">
    <w:p w14:paraId="302CD747" w14:textId="77777777" w:rsidR="006E02C4" w:rsidRPr="001E0163" w:rsidRDefault="006E02C4" w:rsidP="001E0163">
      <w:pPr>
        <w:pStyle w:val="FootnoteText"/>
        <w:ind w:left="567" w:hanging="567"/>
        <w:rPr>
          <w:sz w:val="24"/>
          <w:szCs w:val="24"/>
          <w:lang w:val="sk-SK"/>
        </w:rPr>
      </w:pPr>
      <w:r w:rsidRPr="001E0163">
        <w:rPr>
          <w:rStyle w:val="FootnoteReference"/>
          <w:sz w:val="24"/>
          <w:szCs w:val="24"/>
        </w:rPr>
        <w:footnoteRef/>
      </w:r>
      <w:r w:rsidRPr="001E0163">
        <w:rPr>
          <w:sz w:val="24"/>
          <w:szCs w:val="24"/>
          <w:lang w:val="fi-FI"/>
        </w:rPr>
        <w:t xml:space="preserve"> </w:t>
      </w:r>
      <w:r w:rsidRPr="001E0163">
        <w:rPr>
          <w:sz w:val="24"/>
          <w:szCs w:val="24"/>
          <w:lang w:val="sk-SK"/>
        </w:rPr>
        <w:tab/>
        <w:t>Smernica Rady 92/43/EHS z 21. mája 1992 o ochrane prirodzených biotopov a voľn</w:t>
      </w:r>
      <w:r w:rsidR="001E4075">
        <w:rPr>
          <w:sz w:val="24"/>
          <w:szCs w:val="24"/>
          <w:lang w:val="sk-SK"/>
        </w:rPr>
        <w:t>e žijúcich živočíchov a rastlín</w:t>
      </w:r>
      <w:r w:rsidRPr="001E0163">
        <w:rPr>
          <w:sz w:val="24"/>
          <w:szCs w:val="24"/>
          <w:lang w:val="sk-SK"/>
        </w:rPr>
        <w:t xml:space="preserve"> </w:t>
      </w:r>
      <w:r w:rsidR="001E4075">
        <w:rPr>
          <w:sz w:val="24"/>
          <w:szCs w:val="24"/>
          <w:lang w:val="sk-SK"/>
        </w:rPr>
        <w:t>(</w:t>
      </w:r>
      <w:r w:rsidRPr="001E0163">
        <w:rPr>
          <w:sz w:val="24"/>
          <w:szCs w:val="24"/>
          <w:lang w:val="sk-SK"/>
        </w:rPr>
        <w:t xml:space="preserve">Ú. v. ES L 206, 22.7.1992, s. 7, ELI: </w:t>
      </w:r>
      <w:r w:rsidR="00CD058B">
        <w:fldChar w:fldCharType="begin"/>
      </w:r>
      <w:r w:rsidR="00CD058B" w:rsidRPr="00CD058B">
        <w:rPr>
          <w:lang w:val="fi-FI"/>
        </w:rPr>
        <w:instrText>HYPERLINK "http://data.europa.eu/eli/dir/1992/43/oj"</w:instrText>
      </w:r>
      <w:r w:rsidR="00CD058B">
        <w:fldChar w:fldCharType="separate"/>
      </w:r>
      <w:r w:rsidRPr="001E0163">
        <w:rPr>
          <w:rStyle w:val="Hyperlink"/>
          <w:sz w:val="24"/>
          <w:szCs w:val="24"/>
          <w:lang w:val="fi-FI"/>
        </w:rPr>
        <w:t>http://data.europa.eu/eli/dir/1992/43/oj</w:t>
      </w:r>
      <w:r w:rsidR="00CD058B">
        <w:rPr>
          <w:rStyle w:val="Hyperlink"/>
          <w:sz w:val="24"/>
          <w:szCs w:val="24"/>
          <w:lang w:val="fi-FI"/>
        </w:rPr>
        <w:fldChar w:fldCharType="end"/>
      </w:r>
      <w:r w:rsidRPr="001E0163">
        <w:rPr>
          <w:sz w:val="24"/>
          <w:szCs w:val="24"/>
          <w:lang w:val="sk-SK"/>
        </w:rPr>
        <w:t>).</w:t>
      </w:r>
    </w:p>
  </w:footnote>
  <w:footnote w:id="3">
    <w:p w14:paraId="434B9E07" w14:textId="77777777" w:rsidR="006E02C4" w:rsidRPr="001E0163" w:rsidRDefault="006E02C4" w:rsidP="001E0163">
      <w:pPr>
        <w:pStyle w:val="FootnoteText"/>
        <w:ind w:left="567" w:hanging="567"/>
        <w:rPr>
          <w:sz w:val="24"/>
          <w:szCs w:val="24"/>
          <w:lang w:val="sk-SK"/>
        </w:rPr>
      </w:pPr>
      <w:r w:rsidRPr="001E0163">
        <w:rPr>
          <w:rStyle w:val="FootnoteReference"/>
          <w:sz w:val="24"/>
          <w:szCs w:val="24"/>
        </w:rPr>
        <w:footnoteRef/>
      </w:r>
      <w:r w:rsidRPr="001E0163">
        <w:rPr>
          <w:sz w:val="24"/>
          <w:szCs w:val="24"/>
          <w:lang w:val="sk-SK"/>
        </w:rPr>
        <w:t xml:space="preserve"> </w:t>
      </w:r>
      <w:r w:rsidRPr="001E0163">
        <w:rPr>
          <w:sz w:val="24"/>
          <w:szCs w:val="24"/>
          <w:lang w:val="sk-SK"/>
        </w:rPr>
        <w:tab/>
        <w:t xml:space="preserve">Smernica Európskeho parlamentu a Rady 2009/147/ES z 30. novembra 2009 o ochrane voľne žijúceho vtáctva </w:t>
      </w:r>
      <w:r w:rsidR="001E4075">
        <w:rPr>
          <w:sz w:val="24"/>
          <w:szCs w:val="24"/>
          <w:lang w:val="sk-SK"/>
        </w:rPr>
        <w:t>(</w:t>
      </w:r>
      <w:r w:rsidRPr="001E0163">
        <w:rPr>
          <w:sz w:val="24"/>
          <w:szCs w:val="24"/>
          <w:lang w:val="sk-SK"/>
        </w:rPr>
        <w:t xml:space="preserve">Ú. v. EÚ L 20, 26.1.2010, s. 7, ELI: </w:t>
      </w:r>
      <w:r w:rsidR="00CD058B">
        <w:fldChar w:fldCharType="begin"/>
      </w:r>
      <w:r w:rsidR="00CD058B" w:rsidRPr="00CD058B">
        <w:rPr>
          <w:lang w:val="sk-SK"/>
        </w:rPr>
        <w:instrText>HYPERLINK "http://data.europa.eu/eli/dir/2009/147/oj"</w:instrText>
      </w:r>
      <w:r w:rsidR="00CD058B">
        <w:fldChar w:fldCharType="separate"/>
      </w:r>
      <w:r w:rsidRPr="001E0163">
        <w:rPr>
          <w:rStyle w:val="Hyperlink"/>
          <w:sz w:val="24"/>
          <w:szCs w:val="24"/>
          <w:lang w:val="sk-SK"/>
        </w:rPr>
        <w:t>http://data.europa.eu/eli/dir/2009/147/oj</w:t>
      </w:r>
      <w:r w:rsidR="00CD058B">
        <w:rPr>
          <w:rStyle w:val="Hyperlink"/>
          <w:sz w:val="24"/>
          <w:szCs w:val="24"/>
          <w:lang w:val="sk-SK"/>
        </w:rPr>
        <w:fldChar w:fldCharType="end"/>
      </w:r>
      <w:r w:rsidRPr="001E0163">
        <w:rPr>
          <w:sz w:val="24"/>
          <w:szCs w:val="24"/>
          <w:lang w:val="sk-SK"/>
        </w:rPr>
        <w:t>).</w:t>
      </w:r>
    </w:p>
  </w:footnote>
  <w:footnote w:id="4">
    <w:p w14:paraId="46FA4736" w14:textId="77777777" w:rsidR="0060675B" w:rsidRPr="001E0163" w:rsidRDefault="0060675B" w:rsidP="001E0163">
      <w:pPr>
        <w:pStyle w:val="FootnoteText"/>
        <w:ind w:left="567" w:hanging="567"/>
        <w:rPr>
          <w:sz w:val="24"/>
          <w:szCs w:val="24"/>
          <w:lang w:val="fi-FI"/>
        </w:rPr>
      </w:pPr>
      <w:r w:rsidRPr="001E0163">
        <w:rPr>
          <w:rStyle w:val="FootnoteReference"/>
          <w:sz w:val="24"/>
          <w:szCs w:val="24"/>
        </w:rPr>
        <w:footnoteRef/>
      </w:r>
      <w:r w:rsidRPr="001E0163">
        <w:rPr>
          <w:sz w:val="24"/>
          <w:szCs w:val="24"/>
          <w:lang w:val="sk-SK"/>
        </w:rPr>
        <w:t xml:space="preserve"> </w:t>
      </w:r>
      <w:r w:rsidRPr="001E0163">
        <w:rPr>
          <w:sz w:val="24"/>
          <w:szCs w:val="24"/>
          <w:lang w:val="sk-SK"/>
        </w:rPr>
        <w:tab/>
        <w:t xml:space="preserve">Ú. v. EÚ C, C/2024/6559, 12.11.2024, ELI: </w:t>
      </w:r>
      <w:r w:rsidR="00CD058B">
        <w:fldChar w:fldCharType="begin"/>
      </w:r>
      <w:r w:rsidR="00CD058B" w:rsidRPr="00CD058B">
        <w:rPr>
          <w:lang w:val="fi-FI"/>
        </w:rPr>
        <w:instrText>HYPERLINK "http://data.europa.eu/eli/C/2024/6559/oj"</w:instrText>
      </w:r>
      <w:r w:rsidR="00CD058B">
        <w:fldChar w:fldCharType="separate"/>
      </w:r>
      <w:r w:rsidRPr="001E0163">
        <w:rPr>
          <w:rStyle w:val="Hyperlink"/>
          <w:sz w:val="24"/>
          <w:szCs w:val="24"/>
          <w:lang w:val="fi-FI"/>
        </w:rPr>
        <w:t>http://data.europa.eu/eli/C/2024/6559/oj</w:t>
      </w:r>
      <w:r w:rsidR="00CD058B">
        <w:rPr>
          <w:rStyle w:val="Hyperlink"/>
          <w:sz w:val="24"/>
          <w:szCs w:val="24"/>
          <w:lang w:val="fi-FI"/>
        </w:rPr>
        <w:fldChar w:fldCharType="end"/>
      </w:r>
      <w:r w:rsidRPr="001E0163">
        <w:rPr>
          <w:sz w:val="24"/>
          <w:szCs w:val="24"/>
          <w:lang w:val="sk-SK"/>
        </w:rPr>
        <w:t xml:space="preserve">. </w:t>
      </w:r>
    </w:p>
  </w:footnote>
  <w:footnote w:id="5">
    <w:p w14:paraId="0A8AC633" w14:textId="77777777" w:rsidR="00510060" w:rsidRPr="00104D1C" w:rsidRDefault="00510060" w:rsidP="00104D1C">
      <w:pPr>
        <w:pStyle w:val="FootnoteText"/>
        <w:ind w:left="567" w:hanging="567"/>
        <w:rPr>
          <w:sz w:val="24"/>
          <w:lang w:val="sk-SK"/>
        </w:rPr>
      </w:pPr>
      <w:r w:rsidRPr="00104D1C">
        <w:rPr>
          <w:rStyle w:val="FootnoteReference"/>
          <w:sz w:val="24"/>
          <w:lang w:val="sk-SK"/>
        </w:rPr>
        <w:footnoteRef/>
      </w:r>
      <w:r w:rsidR="00104D1C" w:rsidRPr="00104D1C">
        <w:rPr>
          <w:sz w:val="24"/>
          <w:lang w:val="sk-SK"/>
        </w:rPr>
        <w:t xml:space="preserve"> </w:t>
      </w:r>
      <w:r w:rsidR="00104D1C" w:rsidRPr="00104D1C">
        <w:rPr>
          <w:sz w:val="24"/>
          <w:lang w:val="sk-SK"/>
        </w:rPr>
        <w:tab/>
      </w:r>
      <w:r w:rsidRPr="00104D1C">
        <w:rPr>
          <w:sz w:val="24"/>
          <w:lang w:val="sk-SK"/>
        </w:rPr>
        <w:t xml:space="preserve">Prijatá </w:t>
      </w:r>
      <w:r w:rsidR="00BB23BB">
        <w:rPr>
          <w:sz w:val="24"/>
          <w:lang w:val="sk-SK"/>
        </w:rPr>
        <w:t>Európskym p</w:t>
      </w:r>
      <w:r w:rsidRPr="00104D1C">
        <w:rPr>
          <w:sz w:val="24"/>
          <w:lang w:val="sk-SK"/>
        </w:rPr>
        <w:t xml:space="preserve">arlamentom ako uznesenie z 23. novembra 2023 3 o výsledkoch rokovaní Výboru pre petície v roku 2022 </w:t>
      </w:r>
      <w:r w:rsidR="00BB23BB">
        <w:rPr>
          <w:sz w:val="24"/>
          <w:lang w:val="sk-SK"/>
        </w:rPr>
        <w:t>(</w:t>
      </w:r>
      <w:r w:rsidRPr="00104D1C">
        <w:rPr>
          <w:sz w:val="24"/>
          <w:lang w:val="sk-SK"/>
        </w:rPr>
        <w:t xml:space="preserve">Ú. v. EÚ C, C/2024/4220, 24.7.2024, ELI: </w:t>
      </w:r>
      <w:r w:rsidR="00CD058B">
        <w:fldChar w:fldCharType="begin"/>
      </w:r>
      <w:r w:rsidR="00CD058B" w:rsidRPr="00CD058B">
        <w:rPr>
          <w:lang w:val="fi-FI"/>
        </w:rPr>
        <w:instrText>HYPERLINK "http://data.europa.eu/eli/C/2024/4220/oj"</w:instrText>
      </w:r>
      <w:r w:rsidR="00CD058B">
        <w:fldChar w:fldCharType="separate"/>
      </w:r>
      <w:r w:rsidRPr="00BB23BB">
        <w:rPr>
          <w:rStyle w:val="Hyperlink"/>
          <w:sz w:val="24"/>
          <w:lang w:val="sk-SK"/>
        </w:rPr>
        <w:t>http://data.europa.eu/eli/C/2024/4220/oj</w:t>
      </w:r>
      <w:r w:rsidR="00CD058B">
        <w:rPr>
          <w:rStyle w:val="Hyperlink"/>
          <w:sz w:val="24"/>
          <w:lang w:val="sk-SK"/>
        </w:rPr>
        <w:fldChar w:fldCharType="end"/>
      </w:r>
      <w:r w:rsidR="00BB23BB">
        <w:rPr>
          <w:sz w:val="24"/>
          <w:lang w:val="sk-SK"/>
        </w:rPr>
        <w:t>)</w:t>
      </w:r>
      <w:r w:rsidRPr="00104D1C">
        <w:rPr>
          <w:sz w:val="24"/>
          <w:lang w:val="sk-SK"/>
        </w:rPr>
        <w:t>.</w:t>
      </w:r>
    </w:p>
  </w:footnote>
  <w:footnote w:id="6">
    <w:p w14:paraId="08E2555E" w14:textId="77777777" w:rsidR="00EE7658" w:rsidRPr="001E0163" w:rsidRDefault="00EE7658" w:rsidP="001E0163">
      <w:pPr>
        <w:pStyle w:val="FootnoteText"/>
        <w:ind w:left="567" w:hanging="567"/>
        <w:rPr>
          <w:sz w:val="24"/>
          <w:szCs w:val="24"/>
          <w:lang w:val="sk-SK"/>
        </w:rPr>
      </w:pPr>
      <w:r w:rsidRPr="001E0163">
        <w:rPr>
          <w:rStyle w:val="FootnoteReference"/>
          <w:sz w:val="24"/>
          <w:szCs w:val="24"/>
        </w:rPr>
        <w:footnoteRef/>
      </w:r>
      <w:r w:rsidRPr="001E0163">
        <w:rPr>
          <w:sz w:val="24"/>
          <w:szCs w:val="24"/>
          <w:lang w:val="sk-SK"/>
        </w:rPr>
        <w:t xml:space="preserve"> </w:t>
      </w:r>
      <w:r w:rsidRPr="001E0163"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 xml:space="preserve">Články </w:t>
      </w:r>
      <w:r w:rsidR="00DB74BC">
        <w:rPr>
          <w:sz w:val="24"/>
          <w:szCs w:val="24"/>
          <w:lang w:val="sk-SK"/>
        </w:rPr>
        <w:t>25 až 30</w:t>
      </w:r>
      <w:r>
        <w:rPr>
          <w:sz w:val="24"/>
          <w:szCs w:val="24"/>
          <w:lang w:val="sk-SK"/>
        </w:rPr>
        <w:t xml:space="preserve"> </w:t>
      </w:r>
      <w:r w:rsidRPr="00EE7658">
        <w:rPr>
          <w:sz w:val="24"/>
          <w:szCs w:val="24"/>
          <w:lang w:val="sk-SK"/>
        </w:rPr>
        <w:t>n</w:t>
      </w:r>
      <w:r w:rsidRPr="001E0163">
        <w:rPr>
          <w:sz w:val="24"/>
          <w:szCs w:val="24"/>
          <w:lang w:val="sk-SK"/>
        </w:rPr>
        <w:t xml:space="preserve">ariadenia Európskeho parlamentu a Rady (EÚ) 2016/399 z 9. marca 2016, ktorým sa ustanovuje kódex Únie o pravidlách upravujúcich pohyb osôb cez hranice (Kódex schengenských hraníc) (Ú. v. EÚ L 77, 23.3.2016, s. 1, ELI: </w:t>
      </w:r>
      <w:r w:rsidR="00CD058B">
        <w:fldChar w:fldCharType="begin"/>
      </w:r>
      <w:r w:rsidR="00CD058B" w:rsidRPr="00CD058B">
        <w:rPr>
          <w:lang w:val="sk-SK"/>
        </w:rPr>
        <w:instrText>HYPERLINK "http://data.europa.eu/eli/reg/2016/399/oj"</w:instrText>
      </w:r>
      <w:r w:rsidR="00CD058B">
        <w:fldChar w:fldCharType="separate"/>
      </w:r>
      <w:r w:rsidRPr="001E0163">
        <w:rPr>
          <w:rStyle w:val="Hyperlink"/>
          <w:sz w:val="24"/>
          <w:szCs w:val="24"/>
          <w:lang w:val="sk-SK"/>
        </w:rPr>
        <w:t>http://data.europa.eu/eli/reg/2016/399/oj</w:t>
      </w:r>
      <w:r w:rsidR="00CD058B">
        <w:rPr>
          <w:rStyle w:val="Hyperlink"/>
          <w:sz w:val="24"/>
          <w:szCs w:val="24"/>
          <w:lang w:val="sk-SK"/>
        </w:rPr>
        <w:fldChar w:fldCharType="end"/>
      </w:r>
      <w:r w:rsidRPr="001E0163">
        <w:rPr>
          <w:sz w:val="24"/>
          <w:szCs w:val="24"/>
          <w:lang w:val="sk-SK"/>
        </w:rPr>
        <w:t>).</w:t>
      </w:r>
    </w:p>
  </w:footnote>
  <w:footnote w:id="7">
    <w:p w14:paraId="6DF1AB85" w14:textId="77777777" w:rsidR="00510060" w:rsidRPr="007E522B" w:rsidRDefault="00510060" w:rsidP="00104D1C">
      <w:pPr>
        <w:pStyle w:val="FootnoteText"/>
        <w:ind w:left="567" w:hanging="567"/>
        <w:rPr>
          <w:sz w:val="24"/>
          <w:szCs w:val="24"/>
          <w:lang w:val="sk-SK"/>
        </w:rPr>
      </w:pPr>
      <w:r w:rsidRPr="00B71ED7">
        <w:rPr>
          <w:rStyle w:val="FootnoteReference"/>
          <w:sz w:val="24"/>
          <w:szCs w:val="24"/>
          <w:lang w:val="sk-SK"/>
        </w:rPr>
        <w:footnoteRef/>
      </w:r>
      <w:r w:rsidR="00104D1C" w:rsidRPr="00B71ED7">
        <w:rPr>
          <w:sz w:val="24"/>
          <w:szCs w:val="24"/>
          <w:lang w:val="sk-SK"/>
        </w:rPr>
        <w:t xml:space="preserve"> </w:t>
      </w:r>
      <w:r w:rsidR="00104D1C" w:rsidRPr="00B71ED7">
        <w:rPr>
          <w:sz w:val="24"/>
          <w:szCs w:val="24"/>
          <w:lang w:val="sk-SK"/>
        </w:rPr>
        <w:tab/>
      </w:r>
      <w:r w:rsidR="00BB23BB" w:rsidRPr="001E0163">
        <w:rPr>
          <w:sz w:val="24"/>
          <w:szCs w:val="24"/>
        </w:rPr>
        <w:t>Ú. v. EÚ C 214, 16.6.2023, s. 2</w:t>
      </w:r>
      <w:r w:rsidRPr="007E522B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D8AC3" w14:textId="77777777" w:rsidR="00064002" w:rsidRPr="00104D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2E56" w14:textId="77777777" w:rsidR="00064002" w:rsidRPr="00104D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FB8E2" w14:textId="77777777" w:rsidR="00064002" w:rsidRPr="00104D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4779331">
    <w:abstractNumId w:val="9"/>
  </w:num>
  <w:num w:numId="2" w16cid:durableId="2035305132">
    <w:abstractNumId w:val="9"/>
  </w:num>
  <w:num w:numId="3" w16cid:durableId="1650673072">
    <w:abstractNumId w:val="7"/>
  </w:num>
  <w:num w:numId="4" w16cid:durableId="1087845182">
    <w:abstractNumId w:val="7"/>
  </w:num>
  <w:num w:numId="5" w16cid:durableId="1677070447">
    <w:abstractNumId w:val="6"/>
  </w:num>
  <w:num w:numId="6" w16cid:durableId="597716382">
    <w:abstractNumId w:val="6"/>
  </w:num>
  <w:num w:numId="7" w16cid:durableId="370112416">
    <w:abstractNumId w:val="5"/>
  </w:num>
  <w:num w:numId="8" w16cid:durableId="29958258">
    <w:abstractNumId w:val="5"/>
  </w:num>
  <w:num w:numId="9" w16cid:durableId="1337685635">
    <w:abstractNumId w:val="4"/>
  </w:num>
  <w:num w:numId="10" w16cid:durableId="1204901621">
    <w:abstractNumId w:val="4"/>
  </w:num>
  <w:num w:numId="11" w16cid:durableId="6490371">
    <w:abstractNumId w:val="8"/>
  </w:num>
  <w:num w:numId="12" w16cid:durableId="1887595147">
    <w:abstractNumId w:val="8"/>
  </w:num>
  <w:num w:numId="13" w16cid:durableId="456917301">
    <w:abstractNumId w:val="3"/>
  </w:num>
  <w:num w:numId="14" w16cid:durableId="1805661574">
    <w:abstractNumId w:val="3"/>
  </w:num>
  <w:num w:numId="15" w16cid:durableId="1526208797">
    <w:abstractNumId w:val="2"/>
  </w:num>
  <w:num w:numId="16" w16cid:durableId="1104302800">
    <w:abstractNumId w:val="2"/>
  </w:num>
  <w:num w:numId="17" w16cid:durableId="2044860145">
    <w:abstractNumId w:val="1"/>
  </w:num>
  <w:num w:numId="18" w16cid:durableId="1908957971">
    <w:abstractNumId w:val="1"/>
  </w:num>
  <w:num w:numId="19" w16cid:durableId="1512144177">
    <w:abstractNumId w:val="0"/>
  </w:num>
  <w:num w:numId="20" w16cid:durableId="1729766890">
    <w:abstractNumId w:val="0"/>
  </w:num>
  <w:num w:numId="21" w16cid:durableId="1863546531">
    <w:abstractNumId w:val="9"/>
  </w:num>
  <w:num w:numId="22" w16cid:durableId="119299450">
    <w:abstractNumId w:val="7"/>
  </w:num>
  <w:num w:numId="23" w16cid:durableId="815142513">
    <w:abstractNumId w:val="6"/>
  </w:num>
  <w:num w:numId="24" w16cid:durableId="258486074">
    <w:abstractNumId w:val="5"/>
  </w:num>
  <w:num w:numId="25" w16cid:durableId="1146165195">
    <w:abstractNumId w:val="4"/>
  </w:num>
  <w:num w:numId="26" w16cid:durableId="529029069">
    <w:abstractNumId w:val="8"/>
  </w:num>
  <w:num w:numId="27" w16cid:durableId="1518616522">
    <w:abstractNumId w:val="3"/>
  </w:num>
  <w:num w:numId="28" w16cid:durableId="2118983647">
    <w:abstractNumId w:val="2"/>
  </w:num>
  <w:num w:numId="29" w16cid:durableId="92626197">
    <w:abstractNumId w:val="1"/>
  </w:num>
  <w:num w:numId="30" w16cid:durableId="1590625417">
    <w:abstractNumId w:val="0"/>
  </w:num>
  <w:num w:numId="31" w16cid:durableId="399983485">
    <w:abstractNumId w:val="9"/>
  </w:num>
  <w:num w:numId="32" w16cid:durableId="856306325">
    <w:abstractNumId w:val="7"/>
  </w:num>
  <w:num w:numId="33" w16cid:durableId="1971275910">
    <w:abstractNumId w:val="6"/>
  </w:num>
  <w:num w:numId="34" w16cid:durableId="369384964">
    <w:abstractNumId w:val="5"/>
  </w:num>
  <w:num w:numId="35" w16cid:durableId="74519261">
    <w:abstractNumId w:val="4"/>
  </w:num>
  <w:num w:numId="36" w16cid:durableId="1829903734">
    <w:abstractNumId w:val="8"/>
  </w:num>
  <w:num w:numId="37" w16cid:durableId="871768921">
    <w:abstractNumId w:val="3"/>
  </w:num>
  <w:num w:numId="38" w16cid:durableId="1471701896">
    <w:abstractNumId w:val="2"/>
  </w:num>
  <w:num w:numId="39" w16cid:durableId="2032607636">
    <w:abstractNumId w:val="1"/>
  </w:num>
  <w:num w:numId="40" w16cid:durableId="212739406">
    <w:abstractNumId w:val="0"/>
  </w:num>
  <w:num w:numId="41" w16cid:durableId="494225046">
    <w:abstractNumId w:val="10"/>
  </w:num>
  <w:num w:numId="42" w16cid:durableId="199168135">
    <w:abstractNumId w:val="10"/>
  </w:num>
  <w:num w:numId="43" w16cid:durableId="424425536">
    <w:abstractNumId w:val="10"/>
  </w:num>
  <w:num w:numId="44" w16cid:durableId="2860839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3/2025"/>
    <w:docVar w:name="dvlangue" w:val="SK"/>
    <w:docVar w:name="dvnumam" w:val="0"/>
    <w:docVar w:name="dvpe" w:val="768.068"/>
    <w:docVar w:name="dvrapporteur" w:val="Spravodajca: "/>
    <w:docVar w:name="dvtitre" w:val="Uznesenie Európskeho parlamentu z xx. mája 2025 o rokovaniach Výboru pre petície v roku 2023(2025/2027(INI))"/>
  </w:docVars>
  <w:rsids>
    <w:rsidRoot w:val="006A6B70"/>
    <w:rsid w:val="00002272"/>
    <w:rsid w:val="00064002"/>
    <w:rsid w:val="000677B9"/>
    <w:rsid w:val="000831BA"/>
    <w:rsid w:val="000A42CC"/>
    <w:rsid w:val="000E7DD9"/>
    <w:rsid w:val="0010095E"/>
    <w:rsid w:val="00104D1C"/>
    <w:rsid w:val="00117764"/>
    <w:rsid w:val="00125B37"/>
    <w:rsid w:val="00127E35"/>
    <w:rsid w:val="00187494"/>
    <w:rsid w:val="001912BC"/>
    <w:rsid w:val="001E0163"/>
    <w:rsid w:val="001E4075"/>
    <w:rsid w:val="001F32AE"/>
    <w:rsid w:val="00243EF3"/>
    <w:rsid w:val="002767FF"/>
    <w:rsid w:val="002B18FE"/>
    <w:rsid w:val="002B5493"/>
    <w:rsid w:val="00343214"/>
    <w:rsid w:val="00361C00"/>
    <w:rsid w:val="00393269"/>
    <w:rsid w:val="00395FA1"/>
    <w:rsid w:val="003E15D4"/>
    <w:rsid w:val="00411CCE"/>
    <w:rsid w:val="0041666E"/>
    <w:rsid w:val="00421060"/>
    <w:rsid w:val="00422C37"/>
    <w:rsid w:val="00471C19"/>
    <w:rsid w:val="004867E3"/>
    <w:rsid w:val="00490A58"/>
    <w:rsid w:val="00494A28"/>
    <w:rsid w:val="004B589E"/>
    <w:rsid w:val="004C0004"/>
    <w:rsid w:val="004C5D52"/>
    <w:rsid w:val="0050519A"/>
    <w:rsid w:val="005072A1"/>
    <w:rsid w:val="00510060"/>
    <w:rsid w:val="00514517"/>
    <w:rsid w:val="00540BB8"/>
    <w:rsid w:val="00545827"/>
    <w:rsid w:val="0054661E"/>
    <w:rsid w:val="00560270"/>
    <w:rsid w:val="005C2568"/>
    <w:rsid w:val="005F1B17"/>
    <w:rsid w:val="006037C0"/>
    <w:rsid w:val="0060675B"/>
    <w:rsid w:val="00613A0B"/>
    <w:rsid w:val="006631B6"/>
    <w:rsid w:val="00680577"/>
    <w:rsid w:val="006A6B70"/>
    <w:rsid w:val="006E02C4"/>
    <w:rsid w:val="006E442F"/>
    <w:rsid w:val="006F74FA"/>
    <w:rsid w:val="00731ADD"/>
    <w:rsid w:val="00734777"/>
    <w:rsid w:val="00747932"/>
    <w:rsid w:val="00751A4A"/>
    <w:rsid w:val="00756632"/>
    <w:rsid w:val="00762C74"/>
    <w:rsid w:val="00786EC0"/>
    <w:rsid w:val="007C42A5"/>
    <w:rsid w:val="007D1690"/>
    <w:rsid w:val="007E22AD"/>
    <w:rsid w:val="007E522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7953"/>
    <w:rsid w:val="00A1687D"/>
    <w:rsid w:val="00A43E52"/>
    <w:rsid w:val="00A4678D"/>
    <w:rsid w:val="00A621A1"/>
    <w:rsid w:val="00A778C7"/>
    <w:rsid w:val="00AB441E"/>
    <w:rsid w:val="00AB6293"/>
    <w:rsid w:val="00AE0928"/>
    <w:rsid w:val="00AF3B82"/>
    <w:rsid w:val="00B12E95"/>
    <w:rsid w:val="00B22876"/>
    <w:rsid w:val="00B558F0"/>
    <w:rsid w:val="00B71ED7"/>
    <w:rsid w:val="00BB23BB"/>
    <w:rsid w:val="00BD48FE"/>
    <w:rsid w:val="00BD7BD8"/>
    <w:rsid w:val="00BE6ADC"/>
    <w:rsid w:val="00C05BFE"/>
    <w:rsid w:val="00C23CD4"/>
    <w:rsid w:val="00C4381C"/>
    <w:rsid w:val="00C61C0C"/>
    <w:rsid w:val="00C941CB"/>
    <w:rsid w:val="00C94F36"/>
    <w:rsid w:val="00CC2357"/>
    <w:rsid w:val="00CD058B"/>
    <w:rsid w:val="00CF071A"/>
    <w:rsid w:val="00D058B8"/>
    <w:rsid w:val="00D56C11"/>
    <w:rsid w:val="00D834A0"/>
    <w:rsid w:val="00D872DF"/>
    <w:rsid w:val="00D91E21"/>
    <w:rsid w:val="00DA31D7"/>
    <w:rsid w:val="00DA7FCD"/>
    <w:rsid w:val="00DB74BC"/>
    <w:rsid w:val="00E365E1"/>
    <w:rsid w:val="00E820A4"/>
    <w:rsid w:val="00E953A9"/>
    <w:rsid w:val="00EB006A"/>
    <w:rsid w:val="00EB4772"/>
    <w:rsid w:val="00EB6EC8"/>
    <w:rsid w:val="00ED169E"/>
    <w:rsid w:val="00ED4235"/>
    <w:rsid w:val="00EE765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C12FA"/>
  <w15:chartTrackingRefBased/>
  <w15:docId w15:val="{93D1DB0A-5046-46BF-812C-9FBDF99B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10060"/>
    <w:pPr>
      <w:spacing w:after="240"/>
      <w:ind w:left="567" w:hanging="567"/>
    </w:pPr>
  </w:style>
  <w:style w:type="paragraph" w:customStyle="1" w:styleId="EPComma">
    <w:name w:val="EPComma"/>
    <w:basedOn w:val="Normal"/>
    <w:uiPriority w:val="99"/>
    <w:rsid w:val="00510060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510060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10060"/>
    <w:rPr>
      <w:sz w:val="24"/>
      <w:lang w:val="sk-SK"/>
    </w:rPr>
  </w:style>
  <w:style w:type="paragraph" w:styleId="TOCHeading">
    <w:name w:val="TOC Heading"/>
    <w:basedOn w:val="Heading1"/>
    <w:next w:val="Normal"/>
    <w:uiPriority w:val="39"/>
    <w:qFormat/>
    <w:rsid w:val="006E02C4"/>
    <w:pPr>
      <w:widowControl w:val="0"/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sk-SK" w:eastAsia="en-GB"/>
    </w:rPr>
  </w:style>
  <w:style w:type="paragraph" w:styleId="BalloonText">
    <w:name w:val="Balloon Text"/>
    <w:basedOn w:val="Normal"/>
    <w:link w:val="BalloonTextChar"/>
    <w:rsid w:val="007E52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522B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9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B7D25-B9E8-421D-A7F4-4EA5EEFD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6400</Words>
  <Characters>39443</Characters>
  <Application>Microsoft Office Word</Application>
  <DocSecurity>0</DocSecurity>
  <Lines>328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2025-06-13T12:38:00Z</dcterms:created>
  <dcterms:modified xsi:type="dcterms:W3CDTF">2025-06-13T12:38:00Z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A10-0063/2025</vt:lpwstr>
  </property>
  <property fmtid="{D5CDD505-2E9C-101B-9397-08002B2CF9AE}" pid="4" name="&lt;Type&gt;">
    <vt:lpwstr>RR</vt:lpwstr>
  </property>
</Properties>
</file>